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380" w:right="6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40005</wp:posOffset>
            </wp:positionH>
            <wp:positionV relativeFrom="paragraph">
              <wp:posOffset>-241300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38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40005</wp:posOffset>
            </wp:positionH>
            <wp:positionV relativeFrom="paragraph">
              <wp:posOffset>-694690</wp:posOffset>
            </wp:positionV>
            <wp:extent cx="128905" cy="128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5173345</wp:posOffset>
            </wp:positionH>
            <wp:positionV relativeFrom="paragraph">
              <wp:posOffset>4445</wp:posOffset>
            </wp:positionV>
            <wp:extent cx="59690" cy="6705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70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3900170</wp:posOffset>
            </wp:positionH>
            <wp:positionV relativeFrom="paragraph">
              <wp:posOffset>4445</wp:posOffset>
            </wp:positionV>
            <wp:extent cx="59690" cy="670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70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45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808080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30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jc w:val="center"/>
        <w:ind w:right="2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2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-1734185</wp:posOffset>
            </wp:positionH>
            <wp:positionV relativeFrom="paragraph">
              <wp:posOffset>771525</wp:posOffset>
            </wp:positionV>
            <wp:extent cx="7056120" cy="49980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6120" cy="499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6" w:lineRule="exact"/>
        <w:rPr>
          <w:sz w:val="24"/>
          <w:szCs w:val="24"/>
          <w:color w:val="auto"/>
        </w:rPr>
      </w:pPr>
    </w:p>
    <w:p>
      <w:pPr>
        <w:sectPr>
          <w:pgSz w:w="11920" w:h="16838" w:orient="portrait"/>
          <w:cols w:equalWidth="0" w:num="2">
            <w:col w:w="2300" w:space="420"/>
            <w:col w:w="8380"/>
          </w:cols>
          <w:pgMar w:left="460" w:top="215" w:right="358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 w:line="251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5"/>
                </w:rPr>
                <w:t>Denis Melisa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ind w:left="60"/>
              <w:spacing w:after="0" w:line="109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HYDROFARM HOLDINGS GROUP,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restart"/>
          </w:tcPr>
          <w:p>
            <w:pPr>
              <w:ind w:left="60"/>
              <w:spacing w:after="0" w:line="23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INC.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HYFM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1510 MAIN STREET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06/23/2026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SHOEMAKERSVILLE PA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19555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9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$0.0001 par value per</w:t>
            </w:r>
          </w:p>
        </w:tc>
        <w:tc>
          <w:tcPr>
            <w:tcW w:w="1140" w:type="dxa"/>
            <w:vAlign w:val="bottom"/>
            <w:gridSpan w:val="5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06/23/2026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0"/>
              </w:rPr>
              <w:t>30,000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3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3"/>
              </w:rPr>
              <w:t>0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88,423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righ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Includes 30,000 restricted stock units granted under the Issuer's 2020 Equity Incentive Plan which will vest on June 23, 2027.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Melisa Denis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06/25/2026</w:t>
            </w:r>
          </w:p>
        </w:tc>
      </w:tr>
      <w:tr>
        <w:trPr>
          <w:trHeight w:val="20"/>
        </w:trPr>
        <w:tc>
          <w:tcPr>
            <w:tcW w:w="6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40" w:right="3240" w:firstLine="9"/>
        <w:spacing w:after="0" w:line="351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20" w:h="16838" w:orient="portrait"/>
      <w:cols w:equalWidth="0" w:num="1">
        <w:col w:w="11100"/>
      </w:cols>
      <w:pgMar w:left="460" w:top="215" w:right="358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34132" TargetMode="External"/><Relationship Id="rId14" Type="http://schemas.openxmlformats.org/officeDocument/2006/relationships/hyperlink" Target="http://www.sec.gov/cgi-bin/browse-edgar?action=getcompany&amp;CIK=00016952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2026-06-25T15:46:21Z</dcterms:created>
  <dcterms:modified xsi:type="dcterms:W3CDTF">2026-06-25T15:46:21Z</dcterms:modified>
</cp:coreProperties>
</file>