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hyfm20261008_8k.htm"/>
      <w:bookmarkStart w:id="1" w:name="kshyfm20261008_8k"/>
      <w:bookmarkStart w:id="2" w:name="hyfm20261008_8k.htm"/>
      <w:bookmarkStart w:id="3" w:name="kshyfm20261008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rPr>
        <w:t>October 5, 2026</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Hydrofarm Holdings Group,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220" w:type="dxa"/>
        <w:jc w:val="left"/>
        <w:tblInd w:w="0" w:type="dxa"/>
        <w:tblLayout w:type="fixed"/>
        <w:tblCellMar>
          <w:top w:w="0" w:type="dxa"/>
          <w:left w:w="0" w:type="dxa"/>
          <w:bottom w:w="28" w:type="dxa"/>
          <w:right w:w="0" w:type="dxa"/>
        </w:tblCellMar>
      </w:tblPr>
      <w:tblGrid>
        <w:gridCol w:w="2480"/>
        <w:gridCol w:w="60"/>
        <w:gridCol w:w="1100"/>
        <w:gridCol w:w="60"/>
        <w:gridCol w:w="1520"/>
      </w:tblGrid>
      <w:tr>
        <w:trPr/>
        <w:tc>
          <w:tcPr>
            <w:tcW w:w="24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001-39773</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81-4895761</w:t>
            </w:r>
          </w:p>
        </w:tc>
      </w:tr>
      <w:tr>
        <w:trPr/>
        <w:tc>
          <w:tcPr>
            <w:tcW w:w="24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1510 Main Street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Shoemakersville, PA</w:t>
      </w:r>
      <w:r>
        <w:rPr>
          <w:rFonts w:ascii="Times New Roman" w:hAnsi="Times New Roman"/>
          <w:caps w:val="false"/>
          <w:smallCaps w:val="false"/>
          <w:sz w:val="20"/>
        </w:rPr>
        <w:t> </w:t>
      </w:r>
      <w:r>
        <w:rPr>
          <w:rFonts w:ascii="Times New Roman" w:hAnsi="Times New Roman"/>
          <w:b/>
          <w:caps w:val="false"/>
          <w:smallCaps w:val="false"/>
          <w:sz w:val="20"/>
        </w:rPr>
        <w:t>19555</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(707) 765-9990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85" w:type="dxa"/>
        <w:jc w:val="left"/>
        <w:tblInd w:w="0" w:type="dxa"/>
        <w:tblLayout w:type="fixed"/>
        <w:tblCellMar>
          <w:top w:w="28" w:type="dxa"/>
          <w:left w:w="28" w:type="dxa"/>
          <w:bottom w:w="28" w:type="dxa"/>
          <w:right w:w="0" w:type="dxa"/>
        </w:tblCellMar>
      </w:tblPr>
      <w:tblGrid>
        <w:gridCol w:w="3605"/>
        <w:gridCol w:w="1505"/>
        <w:gridCol w:w="3575"/>
      </w:tblGrid>
      <w:tr>
        <w:trPr/>
        <w:tc>
          <w:tcPr>
            <w:tcW w:w="360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0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6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$0.0001 par value per share</w:t>
            </w:r>
          </w:p>
        </w:tc>
        <w:tc>
          <w:tcPr>
            <w:tcW w:w="15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HYFM</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3.02 Unregistered Sales of Equity Securities.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October 5, 2026, Hydrofarm Holdings Group, Inc. (the "Company") entered into an agreement and mutual release (the “Agreement”) providing for the full, final and complete settlement of all claims by the parties related to their engagement. In connection with the Agreement, the Company agreed to, among other things and subject to certain milestones, issue 300,000 shares of a newly designated non-voting, convertible series of preferred stock of the Company (the “Preferred Shares”). The Preferred Shares will have the designations, powers, preferences, qualifications, limitations and restrictions to be set forth in a Certificate of Designation including that the Preferred Shares will be convertible in the aggregate into 300,000 shares of common stock of the Company (the “Common Stock” and such shares issuable upon conversion, the “Conversion Shares”) upon approval of issuance of the Conversion Shares by the Company’s stockholders as required by applicable rules of The Nasdaq Stock Market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offer and issuance of the Preferred Shares is made in reliance upon the exemption from registration provided by Section 4(a)(2) of the Securities Act of 1933, as amended (the “Securities Act”), and Rule 506(b) of Regulation D promulgated thereunder. The recipient of the Preferred Shares represented to the Company that it is an “accredited investor” as defined in Rule 501(a) of Regulation D under the Securities Act and is acquiring the Preferred Shares and will acquire any Conversion Shares, for its own account and for investment purposes only. No general solicitation or advertising was used in connection with the offer and issuance of the Preferred Shares. The Preferred Shares are subject to restrictions on transfer under applicable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7.01 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October 7, 2026, the Company posted a presentation (the "Presentation") to the "Investors" section of its website at https://www.hydrofarm.com/. The Company intends to use the Presentation, in whole or in part, from time to time in meetings and other communications with investors, analysts, and other market participants. A copy of the Presentation is attached to this Current Report on Form 8-K as Exhibit 99.1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reference to our website is an inactive textual reference only and, except for the specific incorporated documents listed herein, the information contained in or accessible through our website does not constitute a part of this Current Report on Form 8-K and is not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furnished pursuant to this Item 7.01,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28" w:type="dxa"/>
          <w:right w:w="0" w:type="dxa"/>
        </w:tblCellMar>
      </w:tblPr>
      <w:tblGrid>
        <w:gridCol w:w="650"/>
        <w:gridCol w:w="60"/>
        <w:gridCol w:w="6515"/>
        <w:gridCol w:w="60"/>
      </w:tblGrid>
      <w:tr>
        <w:trPr/>
        <w:tc>
          <w:tcPr>
            <w:tcW w:w="6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c>
          <w:tcPr>
            <w:tcW w:w="60" w:type="dxa"/>
            <w:tcBorders>
              <w:bottom w:val="single" w:sz="2" w:space="0" w:color="000000"/>
            </w:tcBorders>
            <w:vAlign w:val="center"/>
          </w:tcPr>
          <w:p>
            <w:pPr>
              <w:pStyle w:val="TableContents"/>
              <w:bidi w:val="0"/>
              <w:spacing w:before="0" w:after="0"/>
              <w:ind w:left="0" w:right="0" w:hanging="0"/>
              <w:jc w:val="left"/>
              <w:rPr/>
            </w:pPr>
            <w:r>
              <w:rPr/>
              <w:t> </w:t>
            </w:r>
          </w:p>
        </w:tc>
      </w:tr>
      <w:tr>
        <w:trPr/>
        <w:tc>
          <w:tcPr>
            <w:tcW w:w="65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65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pPr>
            <w:hyperlink w:anchor="ex_1024240_source.htm">
              <w:r>
                <w:rPr>
                  <w:rStyle w:val="InternetLink"/>
                  <w:rFonts w:ascii="Times New Roman" w:hAnsi="Times New Roman"/>
                  <w:caps w:val="false"/>
                  <w:smallCaps w:val="false"/>
                  <w:sz w:val="20"/>
                </w:rPr>
                <w:t>Presentation dated October 7, 2026</w:t>
              </w:r>
            </w:hyperlink>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65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c>
          <w:tcPr>
            <w:tcW w:w="6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685" w:type="dxa"/>
        <w:jc w:val="left"/>
        <w:tblInd w:w="0" w:type="dxa"/>
        <w:tblLayout w:type="fixed"/>
        <w:tblCellMar>
          <w:top w:w="0" w:type="dxa"/>
          <w:left w:w="0" w:type="dxa"/>
          <w:bottom w:w="0" w:type="dxa"/>
          <w:right w:w="0" w:type="dxa"/>
        </w:tblCellMar>
      </w:tblPr>
      <w:tblGrid>
        <w:gridCol w:w="1805"/>
        <w:gridCol w:w="320"/>
        <w:gridCol w:w="545"/>
        <w:gridCol w:w="5015"/>
      </w:tblGrid>
      <w:tr>
        <w:trPr/>
        <w:tc>
          <w:tcPr>
            <w:tcW w:w="1805" w:type="dxa"/>
            <w:tcBorders/>
            <w:vAlign w:val="center"/>
          </w:tcPr>
          <w:p>
            <w:pPr>
              <w:pStyle w:val="TableContents"/>
              <w:bidi w:val="0"/>
              <w:spacing w:before="0" w:after="0"/>
              <w:ind w:left="0" w:right="0" w:hanging="0"/>
              <w:jc w:val="left"/>
              <w:rPr/>
            </w:pPr>
            <w:r>
              <w:rPr/>
              <w:t> </w:t>
            </w:r>
          </w:p>
        </w:tc>
        <w:tc>
          <w:tcPr>
            <w:tcW w:w="5880"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Hydrofarm Holdings Group, Inc.</w:t>
            </w:r>
          </w:p>
        </w:tc>
      </w:tr>
      <w:tr>
        <w:trPr/>
        <w:tc>
          <w:tcPr>
            <w:tcW w:w="18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pPr>
            <w:r>
              <w:rPr/>
              <w:t> </w:t>
            </w:r>
          </w:p>
        </w:tc>
      </w:tr>
      <w:tr>
        <w:trPr/>
        <w:tc>
          <w:tcPr>
            <w:tcW w:w="1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9,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56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Toler</w:t>
            </w:r>
          </w:p>
        </w:tc>
      </w:tr>
      <w:tr>
        <w:trPr/>
        <w:tc>
          <w:tcPr>
            <w:tcW w:w="18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Toler</w:t>
            </w:r>
          </w:p>
        </w:tc>
      </w:tr>
      <w:tr>
        <w:trPr/>
        <w:tc>
          <w:tcPr>
            <w:tcW w:w="18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&amp; Chairman of the Board of Directors</w:t>
            </w:r>
          </w:p>
        </w:tc>
      </w:tr>
      <w:tr>
        <w:trPr/>
        <w:tc>
          <w:tcPr>
            <w:tcW w:w="18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jc w:val="right"/>
        <w:rPr>
          <w:rFonts w:ascii="Times New Roman" w:hAnsi="Times New Roman"/>
          <w:sz w:val="20"/>
        </w:rPr>
      </w:pPr>
      <w:bookmarkStart w:id="4" w:name="ex_1024240_source.htm"/>
      <w:bookmarkStart w:id="5" w:name="ksex_1024240_source"/>
      <w:bookmarkEnd w:id="4"/>
      <w:bookmarkEnd w:id="5"/>
      <w:r>
        <w:rPr>
          <w:rFonts w:ascii="Times New Roman;Times;serif" w:hAnsi="Times New Roman;Times;serif"/>
          <w:b/>
          <w:sz w:val="20"/>
        </w:rPr>
        <w:t>Exhibit 99.1</w:t>
      </w:r>
      <w:r>
        <w:rPr>
          <w:rFonts w:ascii="Times New Roman" w:hAnsi="Times New Roman"/>
          <w:sz w:val="20"/>
        </w:rPr>
        <w:t xml:space="preserve"> </w:t>
      </w:r>
      <w:r>
        <w:br w:type="page"/>
      </w:r>
    </w:p>
    <w:p>
      <w:pPr>
        <w:pStyle w:val="TextBody"/>
        <w:bidi w:val="0"/>
        <w:spacing w:before="0" w:after="0"/>
        <w:jc w:val="left"/>
        <w:rPr/>
      </w:pPr>
      <w:r>
        <w:rPr/>
        <w:t> </w:t>
      </w:r>
    </w:p>
    <w:p>
      <w:pPr>
        <w:pStyle w:val="TextBody"/>
        <w:bidi w:val="0"/>
        <w:spacing w:before="0" w:after="0"/>
        <w:jc w:val="right"/>
        <w:rPr/>
      </w:pPr>
      <w:r>
        <w:rPr/>
        <w:t> </w:t>
      </w:r>
    </w:p>
    <w:p>
      <w:pPr>
        <w:pStyle w:val="TextBody"/>
        <w:bidi w:val="0"/>
        <w:spacing w:before="0" w:after="0"/>
        <w:jc w:val="left"/>
        <w:rPr/>
      </w:pPr>
      <w:r>
        <w:rPr/>
        <w:t xml:space="preserve">  </w:t>
      </w:r>
    </w:p>
    <w:p>
      <w:pPr>
        <w:pStyle w:val="TextBody"/>
        <w:bidi w:val="0"/>
        <w:spacing w:before="0" w:after="0"/>
        <w:ind w:left="0" w:right="0" w:hanging="0"/>
        <w:jc w:val="center"/>
        <w:rPr/>
      </w:pPr>
      <w:r>
        <w:rPr/>
        <w:drawing>
          <wp:inline distT="0" distB="0" distL="0" distR="0">
            <wp:extent cx="12193270" cy="685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3270" cy="685800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195175" cy="68599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5175" cy="685990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195175" cy="68599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5175" cy="685990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195175" cy="68599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5175" cy="685990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195175" cy="68599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5175" cy="685990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195175" cy="68599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5175" cy="685990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195175" cy="68599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5175" cy="685990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195175" cy="68599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5175" cy="685990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195175" cy="68599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5175" cy="685990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195175" cy="68599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5175" cy="685990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195175" cy="68599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5175" cy="685990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195175" cy="685990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195175" cy="685990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12195175" cy="685990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195175" cy="685990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857</Words>
  <Characters>4715</Characters>
  <CharactersWithSpaces>5619</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