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184785</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191135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001-39773</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81-4895761</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1510 Main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Shoemakersville, PA 19555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40005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(707) 765-9990</w:t>
      </w:r>
    </w:p>
    <w:p>
      <w:pPr>
        <w:spacing w:after="0" w:line="22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HYFM</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October 27, 2026, Hydrofarm Holdings Group, Inc. (the “Company”) entered into a securities purchase agreement (the “Purchase Agreement”) with certain institutional investors, pursuant to which the Company agreed to sell to such investors in a registered direct offering (the “Registered Direct Offering”) 1,599,400 shares (the “Registered Shares”) of common stock, par value $0.0001, of the Company (the “Common Stock”) at a price per share of $0.905. The Registered Shares were offered by the Company pursuant to its shelf registration statement on Form S-3 (File No. 333-291444), which was declared effective by the Securities and Exchange Commission (“SEC”) on December 10, 2025.</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in a concurrent private placement (the “Private Placement” together with the Registered Direct Offering, the “Offering”) subject to the terms of the Purchase Agreement, the Company issued to such investors (i) 6,971,575 shares (the “Unregistered Shares” together with the Registered Shares, the “Shares”) of Common Stock at $0.905 per share and (ii) pre-funded warrants (the “Pre-Funded Warrants”) to purchase up to 640,000 shares of Common Stock (the “Pre-Funded Warrant Shares”), having an exercise price of $0.0001 per share, at a purchase price of $0.9049 per share of Common Stock and an exercise price of $0.0001 per Pre-Funded Warrant. For no additional consideration, each investor received common stock purchase warrants (the "Common Warrants" and together with the Pre-Funded Warrants, the "Warrants") to purchase up to a number of shares of Common Stock equal to 100% of such investor’s Registered Shares, Unregistered Shares and/or Pre-Funded Warrants, being an aggregate of 9,210,975 shares of Common Stock, at an exercise price of $0.78 per share (the “Common Warrant Shares” and together with the Pre-Funded Warrant Shares, the “Warrant Shares”).</w:t>
      </w:r>
    </w:p>
    <w:p>
      <w:pPr>
        <w:spacing w:after="0" w:line="192" w:lineRule="exact"/>
        <w:rPr>
          <w:sz w:val="20"/>
          <w:szCs w:val="20"/>
          <w:color w:val="auto"/>
        </w:rPr>
      </w:pPr>
    </w:p>
    <w:p>
      <w:pPr>
        <w:jc w:val="both"/>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Unregistered Shares, Warrants and Warrant Shares (collectively, the “Private Placement Securities”) were offered pursuant to the exemption provided in Section 4(a)(2) of the Securities Act of 1933, as amended (the “Securities Act”) and/or Rule 506(b) of Regulation D promulgated thereunder.</w:t>
      </w:r>
    </w:p>
    <w:p>
      <w:pPr>
        <w:spacing w:after="0" w:line="14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Pre-Funded Warrants are immediately exercisable and may be exercised at a nominal consideration of $0.0001 per share of Common Stock at any time until all of the Pre-Funded Warrants are exercised in full. The Common Warrants are immediately exercisable and expire 5.5 years following the issue date. Holders of the Warrants will not have the right to exercise any portion of the Warrants if the holder (together with certain of its affiliates) would beneficially own in excess of 4.99% (or, upon election of the holder, 9.99%) of the number of shares of Common Stock outstanding immediately after giving effect to the exercise, as such percentage ownership is determined in accordance with the terms of the Warrants. However, any holder may increase or decrease such percentage, provided that any increase will not be effective until the 61st day after such election.</w:t>
      </w:r>
    </w:p>
    <w:p>
      <w:pPr>
        <w:spacing w:after="0" w:line="187"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The Purchase Agreement contains customary representations, warranties and agreements by the Company, customary conditions to closing, indemnification obligations of the Company, including for liabilities arising under the Securities Act, other obligations of the parties, and termination provisions. The representations, warranties and covenants contained in the Purchase Agreement were made only for the purposes of such agreement and as of the specific dates, were solely for the benefit of the parties to such agreement and may be subject to limitations agreed upon by the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on October 27, 2026, the Company entered into a registration rights agreement (the “Registration Rights Agreement”) with certain institutional investors, pursuant to which the Company agreed to file a registration statement on Form S-3 (the “Offering Resale Registration Statement”) with the SEC relating to the offer and resale by the investors of the Private Placement Securities by the 15th calendar date following the date of the Registration Rights Agreement and to use reasonable best efforts to cause such Offering Resale Registration Statement to become effective by the 45th calendar day following the filing of the Offering Resale Registration Statement (or, in the event of a “full review” by the SEC, the 75th calendar day following the filing of the Offering Resale Registration Statement). If the Company fails to satisfy certain filing, effectiveness or other registration-related obligations under the Registration Rights Agreement, the Company may be required to pay each affected holder partial liquidated damages in cash equal to 2.0% of the aggregate subscription amount paid by such holder on the date of such failure and on each monthly anniversary thereof until such failure is cured, with such amount prorated for partial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7"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In connection with the Offering, on October 27, 2026, certain directors and executive officers and 10% or greater stockholders of the Company entered into lock-up agreements (the “Lock-Up Agreements”) restricting certain transactions in the Company’s securities from the date of the Lock-Up Agreements until the date that is 120 days following the Effective Date (as defined in the Purchase Agreement), which generally means the date on which the Private Placement Securities have been registered for resale or otherwise become freely tradeable without volume or manner-of-sale restrictions.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Agreement</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on October 9, 2026, the Company entered into an escrow agreement (the “Escrow Agreement”) with CSC Delaware Trust Company, as escrow agent (the “Escrow Agent”), pursuant to which the Escrow Agent established and maintains an escrow fund for the investors, at their election, to deliver the purchase price of the securities in the Offering by wire transfer of immediately available funds to the account of the Escrow Agent, to be released in accordance with the Escrow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Agency Agreement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on October 27, 2026, the Company entered into a placement agency agreement (the “Placement Agency Agreement”) with ThinkEquity LLC, pursuant to which ThinkEquity LLC acted as the Company’s exclusive placement agent in the Offering (the “Placement Agent”), except with respect to the participation of the Company’s officers, directors or their respective affiliates. The Company agreed to pay the Placement Agent a cash fee equal to 8% of the aggregate purchase price paid by the investors. The Company has also agreed to reimburse the Placement Agent for all reasonable and out-of-pocket expenses incurred in connection with the Placement Agent’s engagement, including reasonable fees and expenses of the Placement Agent’s legal counsel and due diligence analysis up to $125,000. In addition, the Company agreed to issue to the Placement Agent or its designees such number of Common Warrants equal to 8% of the Shares and Pre-Funded Warrants sold in the Offering (the “Placement Agent Warrants”). The Placement Agent Warrants have substantially the same terms as the Common Warrants except that the Placement Agent Warrants have an exercise price of $0.78 and will be exercisable from the date of issuance and expire on October 27, 2031.</w:t>
      </w:r>
    </w:p>
    <w:p>
      <w:pPr>
        <w:spacing w:after="0" w:line="1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closing of the Offering took place on October 27, 2026 (the “Closing Date”). On the Closing Date, the Company received gross proceeds of $8.3 million from the Offering, before deducting Offering expenses payable by the Company, including the Placement Agent’s fees. The Company will use the proceeds from the Offering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Side Letter</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Restructuring Transactions (as defined below), on October 27, 2026, the Company entered into a letter agreement (the “Side Letter”) with the Lenders (as defined below) and the Agent. Pursuant to the Side Letter each Lender agreed from the Payoff Date (as defined in the Payoff Letter) to the later of (i) the date on which the approval by the stockholders of the Company in accordance with Nasdaq Listing Rule 5635 is obtained of the issuance of all Lender Conversion Shares and Lender Warrant Shares (each as defined below and such approval the “Stockholder Approval”) and (ii) the date that is 120 days after the effectiveness of the Offering Resale Registration Statement; provided, that in no event shall the Lock-Up Expiration Date be later than (iii) the date that is 120 days after the shares of Common Stock, Pre-Funded Warrants and Common Warrants issued to the Purchasers in the Private Placement of the Offering first become eligible for resale under Rule 144 under the Securities Act (such later date “the Lock-Up Expiration Date”) not to, and to cause its controlled affiliates not, to without the prior written consent of the Company, directly or indirectly, sell, transfer, or otherwise dispose of any Lender Preferred Shares Lender Warrants, Lender Conversion Shares or Lender Warrant Shares. In addition, the Company agreed to (i) file a preliminary proxy statement with the SEC seeking Stockholder Approval as promptly as practicable, (ii) mail a definitive proxy statement to its stockholders as promptly as practicable thereafter, and (iii) hold an annual or special meeting of its stockholders to obtain Stockholder Approval as promptly as practicable after the date of the Side Letter. Pursuant to the Side Letter, the Lenders that have the ability to designate directors shall be entitled to designate 1 director (the “Initial Lender Designee”) of the Company and subject to Stockholder Approval, and up to 3 additional directors of the Company (the “Additional Lender Designees” and together with the Initial Lender Designee, the “Lender Designees”) provided that the number of Lender Designees shall at all times be limited to the extent necessary to comply with Nasdaq listing requirements, to the greatest whole number of directors that as a percentage of the entire Board of Directors, does not exceed the Lenders’ relative contribution to the Company. The Company agreed to take all necessary actions to cause the Lender Designee to be appointed to the board of directors no later than the later of 30 days after the Payoff Date and 10 days after communication of the Initial Lender Designee by the Lenders to the Company and to use its reasonable best efforts to cause such Additional Lender Designees to be appointed to the Board of Directors no later than the later of the earlier of thirty (30) days after the date upon which Stockholder Approval is obtained and the date Nasdaq has otherwise confirmed such appointment does not violate Nasdaq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Lender Registration Rights Agreement</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Restructuring Transactions (as defined below), on October 27, 2026, the Company entered into a registration rights agreement (the “Lender Registration Rights Agreement”) with the Lenders pursuant to which, upon the Lock-Up Expiration Date, the Company agreed to file a registration statement on Form S-3 (the “Lender Resale Registration Statement”) with the SEC relating to the offer and resale by the Lenders of the Lender Warrant Shares and Lender Conversion Shares (each as defined below) and to use reasonable best efforts to cause such Lender Resale Registration Statement to become effective by the 45th calendar day following the filing of the Lender Resale Registration Statement (or, in the event of a “full review” by the SEC, the 75th calendar day following the filing of the Lender Resale Registration Statement). If the Company fails to satisfy certain filing, effectiveness or other registration-related obligations under the Registration Rights Agreement, the Company may be required to pay each affected holder partial liquidated damages in cash equal to 2.0% multiplied by the aggregate Stated Value (as defined below) of the Lender Preferred Shares (as defined below) from which Conversion Shares included in the Registrable Securities were subject, with such amount prorated for partial months.</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foregoing summaries of the Securities Purchase Agreement, Registration Rights Agreement, Placement Agency Agreement, Escrow Agreement, Side Letter, Lender Registration Rights Agreement, form of Lock-Up Agreement, form of the Common Warrant, form of the Pre-Funded Warrant, and form of the Placement Agent Warrant are not complete and are qualified in their entirety by reference to the Securities Purchase Agreement, Registration Rights Agreement, Placement Agency Agreement, form of Lock-Up Agreement, Escrow Agreement, Side Letter, Lender Registration Rights Agreement, form of the Common Warrant, form of the Pre-Funded Warrant, and form of the Placement Agent Warrant, copies of which are filed as Exhibits 10.1, 10.2, 10.3, 10.4 ,10.5, 10.6, 10.7, 4.1, 4.2, and 4.3 to this Current Report on Form 8-K, respectively and are incorporated by reference herein.</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copy of the legal opinion and consent of Cozen O’Connor relating to the Registered Shares is filed as Exhibit 5.1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into this Item 1.02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4" w:name="page5"/>
    <w:bookmarkEnd w:id="4"/>
    <w:p>
      <w:pPr>
        <w:ind w:firstLine="810"/>
        <w:spacing w:after="0" w:line="252" w:lineRule="auto"/>
        <w:rPr>
          <w:sz w:val="20"/>
          <w:szCs w:val="20"/>
          <w:color w:val="auto"/>
        </w:rPr>
      </w:pPr>
      <w:r>
        <w:rPr>
          <w:rFonts w:ascii="Times New Roman" w:cs="Times New Roman" w:eastAsia="Times New Roman" w:hAnsi="Times New Roman"/>
          <w:sz w:val="18"/>
          <w:szCs w:val="18"/>
          <w:color w:val="auto"/>
        </w:rPr>
        <w:t>In connection with the Offering, on October 27, 2026, the Company entered into a payoff letter (the “Payoff Letter” and such transactions contemplated by the Payoff Letter, the “Restructuring Transactions” and together with the Offering the “Transactions”) with the Lenders (as defined below) and Agent (as defined below), pursuant to which the Agent and the Lenders agreed to discharge and release the Company and other Credit Parties’ Obligations (as defined in the Credit Agreement) owed by the Company under that certain Credit and Guaranty Agreement, dated as of October 25, 2021 (as amended, restated, supplemented or otherwise modified from time to time, the “Credit Agreement”), by and among the Company, the other Credit Parties (as defined in the Credit Agreement) from time to time party thereto, the lenders from time to time party thereto (the “Lenders”), FEAC Agent, LLC (as successor to JPMorgan Chase Bank, N.A.) in its capacities as collateral agent and administrative agent (in such capacities, collectively, the “Agent”), and the other Credit Documents (as defined in the Credit Agreement) and all guaranties, security agreements, mortgages, subordination agreements, intercreditor agreements, pledge agreements, deposit account control agreements, notes and other documents and instruments relating thereto (together with the Credit Agreement, collectively, the “Loan Documents”), subject to the satisfaction of the terms outlined therein, which include the exchange of (i) the issuance to the Lenders of 27.5 million shares of Series 1 Non-Voting Convertible Preferred Stock, par value $0.0001 per share (the "Lender Preferred Shares"); and (ii) the issuance to the Lenders of warrants (the "Lender Warrants" together with the Lender Preferred Shares, the “Lender Securities”) to purchase up to 27.5 million shares of the Common Stock at an exercise price of $0.78 (“Lender Warrant Shares”). The Lender Warrants will become exercisable following receipt of Stockholder Approval and will be subject to the beneficial ownership limitations set forth therein. As of the close of business on September 30, 2026, the outstanding principal balance of all Loans (as defined in the Credit Agreement) under the Credit Agreement was approximately $109 million, provided that such amount does not include interest, fees, expenses and other amounts that are chargeable or otherwise reimbursable under the Credit Agreement and the other Loan Documents).</w:t>
      </w:r>
    </w:p>
    <w:p>
      <w:pPr>
        <w:spacing w:after="0" w:line="193"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On the Closing Date, pursuant to the terms and conditions of the Payoff Letter, upon satisfaction of the conditions set forth therein, (i) all indebtedness, liabilities and obligations of the Credit Parties to the Lenders under the Loan Documents (including, without limitation, principal, interest and fees), and the Loan Documents themselves, were immediately, automatically, unconditionally and without further action deemed paid, discharged and satisfied in full and terminated and released and of no further force or effect; (ii) all unfunded commitments to make credit extensions or financial accommodations to the Company or any other person under the Loan Documents were immediately, automatically, unconditionally and without further action terminated; (iii) all mortgages, charges, Liens (as defined in the Credit Agreement), assignments, guarantees, security interests and other security or liens granted to or held by the Agent or the Lenders as security for such indebtedness, liabilities and obligations, were immediately, automatically, unconditionally and without any further action forever satisfied, released and discharged and of no further force or effect; and (iv) each Credit Party (as defined in the Credit Agreement) was authorized to file the releases contemplated by the Payoff Letter.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and Lender Offering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Items 1.01 and 1.02 of this Current Report on Form 8-K is incorporated into this Item 3.02 by reference.</w:t>
      </w:r>
    </w:p>
    <w:p>
      <w:pPr>
        <w:spacing w:after="0" w:line="225"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The Private Placement Securities, Placement Agent Warrants, Lender Securities, Lender Warrant Shares, and the shares of Common Stock issuable upon their conversion of the Lender Preferred Shares (the “Lender Conversion Shares”) have not been registered under the Securities Act, or the securities laws of any state, and are being offered and sold in reliance on the exemption from registration under the Securities Act, afforded by Section 4(a)</w:t>
      </w:r>
    </w:p>
    <w:p>
      <w:pPr>
        <w:spacing w:after="0" w:line="2" w:lineRule="exact"/>
        <w:rPr>
          <w:sz w:val="20"/>
          <w:szCs w:val="20"/>
          <w:color w:val="auto"/>
        </w:rPr>
      </w:pPr>
    </w:p>
    <w:p>
      <w:pPr>
        <w:jc w:val="both"/>
        <w:ind w:right="100" w:firstLine="8"/>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Rule 506 promulgated thereunder. Each of the institutional investors and the Lenders represented to the Company that it is an “accredited investor” as defined in Rule 501(a) of Regulation D under the Securities Act. No general solicitation or advertising was used in connection with the Offering or the issuance of the Lender Securities (the “Lender Offering”). No underwriters were engaged, and no commissions or other remuneration were paid in connection with the Lender Offering. The Private Placement Securities, Placement Agent Warrants, Lender Securities, Lender Warrant Shares, and Lender Conversion Shares are subject to restrictions on transfer under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Items 1.02 and 5.03 of this Current Report on Form 8-K is incorporated into this Item 3.03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1.02 of this Current Report on Form 8-K is incorporated into this Item 5.03 by reference.</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50 million shares of preferred stock, par value $0.0001 per share in one or more series. On October 27, 2026, the Company filed with the Secretary of State of the State of Delaware the Certificate of Designation of Preferences, Rights and Limitations of Series 1 Non-Voting Convertible Preferred Stock (the “Certificate of Designation”), which sets forth the rights, preferences, and privileges of the Series 1 Non-Voting Convertible Preferred Stock. Each share of Series 1 Non-Voting Convertible Preferred Stock has a par value of $0.0001 per share and a stated value equal to $1.00 (the “Stated Value”). Twenty seven million eight hundred thousand shares of Series 1 Non-Voting Convertible Preferred Stock were authorized under the Certificate of Designation.</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Series 1 Non-Voting Convertible Preferred Stock ranks senior to the Common Stock and any other class or series of capital stock of the Company hereafter created, the terms of which specifically provide that such class or series shall rank junior to the Series 1 Non-Voting Convertible Preferred Stock, and (ii) pari passu with any class or series of capital stock of the Company hereafter created specifically ranking, by its terms, on par with the Series 1 Non-Voting Convertible Preferred Stock.</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Each share of Series 1 Non-Voting Convertible Preferred Stock shall be convertible at any time following the Stockholder Approval, at the option of the holder thereof, into that number of shares of Common Stock (subject to the limitations set forth in Section 6(d) of the Certificate of Designation) determined by dividing the Stated Value by $1.00; provided however, the Company shall not effect any conversion of Series 1 Non-Voting Convertible Preferred Stock, and the holder will not have the right to convert any portion of the Series 1 Non-Voting Convertible Preferred Stock, if after giving effect to the conversion, the holder (together with certain of its affiliates) would beneficially own in excess of 4.99%.</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Other than those rights provided by law or the Certificate of Designation, the Series 1 Non-Voting Convertible Preferred Stock has no voting rights. Holders of the Series 1 Non-Voting Convertible Preferred Stock shall be entitled to receive dividends, on an as-if convertible basis, of any dividends payable on the Common Stock. In the event of any voluntary or involuntary liquidation, dissolution, or winding up, or sale of the Company, each holder of Series 1 Non-Voting Convertible Preferred Stock shall be entitled to receive, (i) after and subject to the payment in full of all amounts required to be distributed to the holders of another class or series of stock of the Company ranking on liquidation prior and in preference to the Series 1 Non-Voting Convertible Preferred Stock, (ii) ratably with any class or series of stock ranking on liquidation on parity with the Series 1 Non-Voting Convertible Preferred Stock and (iii) in preference and priority to the holders of the shares of Common Stock, an amount equal to the greater of: (x) 100% of the Stated Value and no more, in proportion to the full and preferential amount that all shares of the Series 1 Non-Voting Convertible Preferred Stock are entitled to receive or (y) such amount per share as would have been payable had all shares of Series 1 Non-Voting Convertible Preferred Stock had been converted into Common Stock (without regard to any limitations on conversion set forth therein or otherwise).</w:t>
      </w:r>
    </w:p>
    <w:p>
      <w:pPr>
        <w:spacing w:after="0" w:line="194"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Certificate of Designation is not complete and is qualified in its entirety by reference to the Certificate of Designation, a copy of which was filed as Exhibit 3.1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120" w:firstLine="810"/>
        <w:spacing w:after="0" w:line="266" w:lineRule="auto"/>
        <w:rPr>
          <w:sz w:val="20"/>
          <w:szCs w:val="20"/>
          <w:color w:val="auto"/>
        </w:rPr>
      </w:pPr>
      <w:r>
        <w:rPr>
          <w:rFonts w:ascii="Times New Roman" w:cs="Times New Roman" w:eastAsia="Times New Roman" w:hAnsi="Times New Roman"/>
          <w:sz w:val="18"/>
          <w:szCs w:val="18"/>
          <w:color w:val="auto"/>
        </w:rPr>
        <w:t>As previously disclosed, on April 1, 2026, the Company received a letter from the Listing Qualifications Department of Nasdaq stating that the Company did not meet the $2.5 million minimum stockholders' equity requirement under Listing Rule 5550(b)(1) (the "Equity Rule"). On June 16, 2026, after reviewing the Company's compliance plan, Nasdaq granted the Company an extension to regain compliance.</w:t>
      </w:r>
    </w:p>
    <w:p>
      <w:pPr>
        <w:spacing w:after="0" w:line="176" w:lineRule="exact"/>
        <w:rPr>
          <w:sz w:val="20"/>
          <w:szCs w:val="20"/>
          <w:color w:val="auto"/>
        </w:rPr>
      </w:pPr>
    </w:p>
    <w:p>
      <w:pPr>
        <w:ind w:firstLine="810"/>
        <w:spacing w:after="0" w:line="261" w:lineRule="auto"/>
        <w:rPr>
          <w:sz w:val="20"/>
          <w:szCs w:val="20"/>
          <w:color w:val="auto"/>
        </w:rPr>
      </w:pPr>
      <w:r>
        <w:rPr>
          <w:rFonts w:ascii="Times New Roman" w:cs="Times New Roman" w:eastAsia="Times New Roman" w:hAnsi="Times New Roman"/>
          <w:sz w:val="18"/>
          <w:szCs w:val="18"/>
          <w:color w:val="auto"/>
        </w:rPr>
        <w:t>On July 2, 2026, Nasdaq notified the Company that it had not met the terms of the extension. On July 9, 2026, the Company timely requested a hearing before the Nasdaq Hearings Panel (the "Panel"), which stayed any further action by Nasdaq pending the hearing process. Following the hearing, the Panel granted the Company an extension until October 16, 2026 to demonstrate compliance with the Equity Rule. The Panel later extended this deadline to October 27, 2026.</w:t>
      </w:r>
    </w:p>
    <w:p>
      <w:pPr>
        <w:spacing w:after="0" w:line="180" w:lineRule="exact"/>
        <w:rPr>
          <w:sz w:val="20"/>
          <w:szCs w:val="20"/>
          <w:color w:val="auto"/>
        </w:rPr>
      </w:pPr>
    </w:p>
    <w:p>
      <w:pPr>
        <w:ind w:right="260" w:firstLine="810"/>
        <w:spacing w:after="0" w:line="258" w:lineRule="auto"/>
        <w:rPr>
          <w:sz w:val="20"/>
          <w:szCs w:val="20"/>
          <w:color w:val="auto"/>
        </w:rPr>
      </w:pPr>
      <w:r>
        <w:rPr>
          <w:rFonts w:ascii="Times New Roman" w:cs="Times New Roman" w:eastAsia="Times New Roman" w:hAnsi="Times New Roman"/>
          <w:sz w:val="18"/>
          <w:szCs w:val="18"/>
          <w:color w:val="auto"/>
        </w:rPr>
        <w:t>The Company has prepared an unaudited pro forma condensed balance sheet that gives effect to the Transactions described in Item 1.01 and Item 2.01 of this Current Report on Form 8-K. The Company intends to provide the pro forma condensed balance sheet to Nasdaq in support of its compliance with the Equity Rule. The pro forma balance sheet shows pro forma stockholders' equity that exceeds the $2.5 million minimum required by the Equity Rule. As a result, the Company believes that, as of the date of this Current Report on Form 8-K, it has regained compliance with the Equity Rule. The pro forma balance sheet is not included in, and is not incorporated by reference into, this Current Report on Form 8-K.</w:t>
      </w:r>
    </w:p>
    <w:p>
      <w:pPr>
        <w:spacing w:after="0" w:line="183" w:lineRule="exact"/>
        <w:rPr>
          <w:sz w:val="20"/>
          <w:szCs w:val="20"/>
          <w:color w:val="auto"/>
        </w:rPr>
      </w:pPr>
    </w:p>
    <w:p>
      <w:pPr>
        <w:ind w:right="280" w:firstLine="810"/>
        <w:spacing w:after="0" w:line="266" w:lineRule="auto"/>
        <w:rPr>
          <w:sz w:val="20"/>
          <w:szCs w:val="20"/>
          <w:color w:val="auto"/>
        </w:rPr>
      </w:pPr>
      <w:r>
        <w:rPr>
          <w:rFonts w:ascii="Times New Roman" w:cs="Times New Roman" w:eastAsia="Times New Roman" w:hAnsi="Times New Roman"/>
          <w:sz w:val="18"/>
          <w:szCs w:val="18"/>
          <w:color w:val="auto"/>
        </w:rPr>
        <w:t>The Company will remain subject to the Panel's review and to Nasdaq's continued monitoring of its compliance with the Equity Rule and the other Nasdaq Listing Rules, including the minimum bid-price rule. There can be no assurance that the Panel will find that the Company has regained compliance, or that the Company will remain in compliance with the Equity Rule or other applicable Nasdaq Listing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227"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Section 21E of the Securities Exchange Act of 1934, as amended (the “Exchange Act”), and the Private Securities Litigation Reform Act of 1995. These statements include statements made about the Company’s intent or ability to regain compliance with the Equity Rule, and other continued listing requirements. Such statements are based on current assumptions that involve risks and uncertainties that could cause actual outcomes and results to differ materially. These risks and uncertainties, many of which are beyond the Company’s control, include risks described in the section entitled “Risk Factors” and elsewhere in the Company’s Annual Report on Form 10-K filing made with the U.S. Securities Exchange Commission on March 27, 2026, and the Company’s other Exchange Act filings. In addition, these forward-looking statements may be subject to risks and uncertainties related to the Company’s ability to meet the continued listing standards of Nasdaq; the Company’s ability to maintain and preserve liquidity due to a variety of reasons, including industry conditions such as oversupply, fluctuations in the price of products and competitive industry pressures; and the Company’s ability to access additional sources of capital. These forward-looking statements speak only as of the date hereof and should not be unduly relied upon. The Company disclaims any obligation to update these forward-looking statements. All forward-looking statements in this document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010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0000EE"/>
              </w:rPr>
              <w:t>Certificate of Designation of Series 1 Non-Voting Convertible Preferred Stock</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56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of Common Warrant</w:t>
            </w:r>
          </w:p>
        </w:tc>
        <w:tc>
          <w:tcPr>
            <w:tcW w:w="4460" w:type="dxa"/>
            <w:vAlign w:val="bottom"/>
            <w:gridSpan w:val="8"/>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Pre-Funded Warrant</w:t>
            </w:r>
          </w:p>
        </w:tc>
        <w:tc>
          <w:tcPr>
            <w:tcW w:w="8000" w:type="dxa"/>
            <w:vAlign w:val="bottom"/>
            <w:gridSpan w:val="1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Form of Placement Agent Warrant</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24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Form of Lender Warrant</w:t>
            </w:r>
          </w:p>
        </w:tc>
        <w:tc>
          <w:tcPr>
            <w:tcW w:w="762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Opinion of Cozen O’Connor</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95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Purchase Agreement dated October 27, 2026 by and among Hydrofarm Holdings Group, Inc. and the purchasers signatory</w:t>
            </w:r>
          </w:p>
        </w:tc>
        <w:tc>
          <w:tcPr>
            <w:tcW w:w="52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thereto.</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95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Registration Rights Agreement dated October 27, 2026 by and among Hydrofarm Holdings Group, Inc. and the purchasers signatory</w:t>
            </w:r>
          </w:p>
        </w:tc>
        <w:tc>
          <w:tcPr>
            <w:tcW w:w="5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thereto.</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92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Placement Agency Agreement dated October 27, 2026 by and between Hydrofarm Holdings Group, Inc. and ThinkEquity LLC.</w:t>
            </w:r>
          </w:p>
        </w:tc>
        <w:tc>
          <w:tcPr>
            <w:tcW w:w="88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Form of Lock-up Agreement</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7"/>
                <w:szCs w:val="17"/>
                <w:color w:val="auto"/>
              </w:rPr>
            </w:pPr>
          </w:p>
        </w:tc>
        <w:tc>
          <w:tcPr>
            <w:tcW w:w="9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Escrow Agreement dated October 9, 2026 by and among Hydrofarm Holdings Group, Inc. and CSC Delaware Trust Company.</w:t>
            </w:r>
          </w:p>
        </w:tc>
        <w:tc>
          <w:tcPr>
            <w:tcW w:w="96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Letter agreement dated October 27, 2026 by and between Hydrofarm Holdings Group, Inc., the lenders party from time to time thereto, and</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FEAC Agent, LLC, as administrative for the lenders and collateral agent for all the secured parties.</w:t>
            </w:r>
          </w:p>
        </w:tc>
        <w:tc>
          <w:tcPr>
            <w:tcW w:w="290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 dated October 27, 2026 by and among Hydrofarm Holdings Group, Inc. and the securityholders signatory</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thereto.</w:t>
            </w:r>
          </w:p>
        </w:tc>
        <w:tc>
          <w:tcPr>
            <w:tcW w:w="22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Cozen O’Connor (included in Exhibit 5.1 above)</w:t>
            </w:r>
          </w:p>
        </w:tc>
        <w:tc>
          <w:tcPr>
            <w:tcW w:w="5740" w:type="dxa"/>
            <w:vAlign w:val="bottom"/>
            <w:gridSpan w:val="9"/>
          </w:tcPr>
          <w:p>
            <w:pPr>
              <w:spacing w:after="0"/>
              <w:rPr>
                <w:sz w:val="17"/>
                <w:szCs w:val="17"/>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4"/>
          <w:szCs w:val="14"/>
          <w:color w:val="auto"/>
        </w:rPr>
        <w:t>*Certain schedules and exhibits to the Purchase Agreement have been omitted pursuant to Item 601(a)(5) of Regulation S-K. The Company agrees to furnish supplementally a copy of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904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9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By:  /s/ William Toler</w:t>
            </w:r>
          </w:p>
        </w:tc>
      </w:tr>
      <w:tr>
        <w:trPr>
          <w:trHeight w:val="191"/>
        </w:trPr>
        <w:tc>
          <w:tcPr>
            <w:tcW w:w="2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44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William Toler</w:t>
            </w:r>
          </w:p>
        </w:tc>
      </w:tr>
      <w:tr>
        <w:trPr>
          <w:trHeight w:val="216"/>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&amp; Chairman of the Board of Directors</w:t>
            </w:r>
          </w:p>
        </w:tc>
      </w:tr>
      <w:tr>
        <w:trPr>
          <w:trHeight w:val="234"/>
        </w:trPr>
        <w:tc>
          <w:tcPr>
            <w:tcW w:w="2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1 NON-VOTING CONVERTIBLE PREFERRED STOCK</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PURSUANT TO SECTION 151(G) OF THE DELAWARE GENERAL CORPORATION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William Toler, does hereby certify that:</w:t>
      </w:r>
    </w:p>
    <w:p>
      <w:pPr>
        <w:spacing w:after="0" w:line="225"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Chief Executive Officer of Hydrofarm Holdings Group,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authorized to issue fifty million (50,000,000) shares of preferred stock, $0.0001 par value per share.</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2026, the following resolutions were duly adopted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Corporation’s Certificate of Incorporation, authorizes the issuance of fifty million (50,000,000) shares of undesignated preferred stock, $0.0001 par value per share, issuable from time to time in one or more series;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Board of Directors is authorized to divide the preferred stock into any number of series, fix the designation and number of each such series, and determine or change the designation, relative rights (including voting powers), preferences and limitations of any series of preferred stock;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it is the desire of the Board of Directors, pursuant to its authority as aforesaid, to fix the designation and number of a series of the preferred stock and to determine the designation, relative rights (including voting powers), preferences and limitations thereof, which shall consist of twenty seven million eight hundred thousand (27,800,000) shares of the preferred stock which the Corporation has the authority to issue, as follows: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BE IT RESOLVED, that the Board of Directors does hereby provide for the issuance of a series of preferred stock for cash or exchange of other securities, rights or property and does hereby fix and determine the powers, designations, rights, preferences, restrictions and other matters relating to such series of preferred stock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the following terms shall have the following meanings: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Corporation’s common stock, par value $0.0001 per share, and stock of any other class of securities into which such securities may hereafter be reclassified or changed.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have the meaning set forth in Section 6(b).</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collectively, (i) the shares of Common Stock issuable upon conversion of the shares of Preferred Stock in accordance with the terms hereof and (ii) any capital stock or other securities into which such shares of Common Stock are changed and any capital stock or other securities resulting from or compromising a reclassification, combination or subdivision of, or a stock dividend on, any such shares of Common Stock.</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Lenders</w:t>
      </w:r>
      <w:r>
        <w:rPr>
          <w:rFonts w:ascii="Times New Roman" w:cs="Times New Roman" w:eastAsia="Times New Roman" w:hAnsi="Times New Roman"/>
          <w:sz w:val="18"/>
          <w:szCs w:val="18"/>
          <w:color w:val="auto"/>
        </w:rPr>
        <w:t>” shall have the meaning given to such term in that certain Side Letter – Lock-Up and Stockholder Approval Covenant Relating to Series 1 Non-Voting Convertible Preferred Stock and Warrants, dated October 27, 2026, between the Corporation and the Lenders party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shall have the meaning set forth in Section 7(c).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Freely Convertible Shares</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have the meaning given such term in Section 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Designees</w:t>
      </w:r>
      <w:r>
        <w:rPr>
          <w:rFonts w:ascii="Times New Roman" w:cs="Times New Roman" w:eastAsia="Times New Roman" w:hAnsi="Times New Roman"/>
          <w:sz w:val="18"/>
          <w:szCs w:val="18"/>
          <w:color w:val="auto"/>
        </w:rPr>
        <w:t>” means any directors of the Corporation designated by the Designating Lenders.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Holder</w:t>
      </w:r>
      <w:r>
        <w:rPr>
          <w:rFonts w:ascii="Times New Roman" w:cs="Times New Roman" w:eastAsia="Times New Roman" w:hAnsi="Times New Roman"/>
          <w:sz w:val="18"/>
          <w:szCs w:val="18"/>
          <w:color w:val="auto"/>
        </w:rPr>
        <w:t>” means a Holder that is a Lender as defined in that certain Payoff Letter, dated as of October 27, 2026, by and among the Corporation, FEAC Agent, LLC as Agent and the lenders party thereto, and any permitted transferee of a Lender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Holder Representative</w:t>
      </w:r>
      <w:r>
        <w:rPr>
          <w:rFonts w:ascii="Times New Roman" w:cs="Times New Roman" w:eastAsia="Times New Roman" w:hAnsi="Times New Roman"/>
          <w:sz w:val="18"/>
          <w:szCs w:val="18"/>
          <w:color w:val="auto"/>
        </w:rPr>
        <w:t>” means the designated representative of the Lender Holders authorized to act on the behalf of the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shall have the meaning set forth in Section 5.</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any Person and a specified result, all actions (to the extent such actions are not prohibited by applicable law and reasonably within such Person’s control, and in the case of any action that requires a vote or other action on the part of the Board of Directors, to the extent such action is consistent with fiduciary duties that the Corporation’s directors may have in such capacity) necessary or desirable to cause such result, including (i) calling special meetings of stockholders, (ii) voting or providing a written consent or proxy, if applicable in each case, with respect to all shares of Common Stock, (iii) causing the adoption of stockholders’ resolutions and amendments to the Corporation’s Certificate of Incorporation or bylaws, (iv) executing agreements and instruments, (v) making, or causing to be made, with governmental authorities, all filings, registrations or similar actions that are required to achieve such result and (vi) nominating certain Persons for election to the Board of Directors in connection with the annual or special meeting of stockholders of the Corporation.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the first issuance of any shares of the Preferred Stock regardless of the number of transfers of any particular shares of Preferred Stock and regardless of the number of certificates, if any, which may be issued to evidence such Preferred Stock.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set forth in Section 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shall have the meaning set forth in Section 7(b).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shall have the meaning set forth in Section 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the approval of the issuance of the Conversion Shares pursuant to the rules of the Nasdaq Stock Market.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OTCQB or OTCQX (or any successors to any of the foregoing).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Corporation and any successor transfer agent of the Corporation.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 Amount, Par Value and Subordination</w:t>
      </w:r>
      <w:r>
        <w:rPr>
          <w:rFonts w:ascii="Times New Roman" w:cs="Times New Roman" w:eastAsia="Times New Roman" w:hAnsi="Times New Roman"/>
          <w:sz w:val="18"/>
          <w:szCs w:val="18"/>
          <w:color w:val="auto"/>
        </w:rPr>
        <w:t>. The series of preferred stock shall be designated as Series 1 Non-Voting Convertible Preferred Stock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the number of shares so designated shall be twenty seven million eight hundred thousand (27,800,000) (which shall not be subject to increase without the written consent of the holders of a majority of the then outstanding shares of the Preferred Stock voting as a separate class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Each share of Preferred Stock shall have a par value of $0.0001 per share and a stated value equal to $1.00 (the “</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xml:space="preserve">”). The Preferred Stock shall rank (i) senior to the Common Stock and any other class or series of capital stock of the Corporation hereafter created, the terms of which specifically provide that such class or series shall rank junior to the Preferred Stock, and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class or series of capital stock of the Corporation hereafter created specifically ranking, by its terms, on par with the Preferred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Except for stock dividends or distributions for which adjustments are to be made pursuant to Section 7, from and after the Original Issue Date, Holders shall be entitled to receive, and the Corporation shall pay, dividends on shares of Preferred Stock equal (on an as-if-converted-to-Common-Stock basis, disregarding for such purpose any conversion limitations hereunder) to and in the same form as dividends actually paid on shares of the Common Stock when, as and if such dividends are paid on shares of the Common Stock. No other dividends shall be paid on shares of Preferred Stock. The Corporation shall not pay any dividends on the Common Stock unless the Corporation simultaneously complies with this provision.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Rights; Director Removal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Preferred Stock have no voting power except as otherwise required by the Delaware General Corporation Law. Notwithstanding the foregoing, in addition, as long as any shares of Preferred Stock are outstanding, the Corporation shall not, without the affirmative vote of the Holders of a majority of the then outstanding shares of the Preferred Stock, voting as a separate class, (a) alter or amend this Certificate of Designation, amend or repeal any provision of or add any provision to the Corporation’s Certificate of Incorporation or bylaws, or file any article of amendment, certificate of designations, preferences, limitations and relative rights of all series of Preferred Stock, in each case if such action would change adversely the powers, preferences or rights given to the Preferred Stock in this Certificate of Designation, (b) increase or decrease (other than by conversion) the number of authorized shares of Preferred Stock, (c) authorize or issue an additional class or series of capital stock that ranks senior to the Preferred Stock with respect to the distribution of assets on liquidation, or (d) enter into any agreement with respect to any of the foregoing.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Removal Rights</w:t>
      </w:r>
      <w:r>
        <w:rPr>
          <w:rFonts w:ascii="Times New Roman" w:cs="Times New Roman" w:eastAsia="Times New Roman" w:hAnsi="Times New Roman"/>
          <w:sz w:val="18"/>
          <w:szCs w:val="18"/>
          <w:color w:val="auto"/>
        </w:rPr>
        <w:t>. The Designating Lenders shall have the exclusive right to remove one or more of the Lender Designees from the Board of Directors for a reason other than for cause, and the Corporation shall take all Necessary Action to cause the removal of any such Lender Designee(s) at the written request of the Lender Holder Representative.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winding-up of the Corporation, whether voluntary or involuntary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each Holder shall be entitled to receive out of the assets available for distribution to stockholders, (i) after and subject to the payment in full of all amounts required to be distributed to the holders of another class or series of stock of the Corporation ranking on liquidation prior and in preference to the Preferred Stock, (ii) ratably with any class or series of stock ranking on liquidation on parity with the Preferred Stock and (iii) in preference and priority to the holders of the shares of Common Stock, an amount equal to the greater of: (x) 100% of the Stated Value per share and no more, in proportion to the full and preferential amount that all shares of the Preferred Stock are entitled to receive or (y) such amount per share as would have been payable had all shares of Preferred Stock been converted into Common Stock (without regard to any limitations on conversion set forth herein or otherwise) pursuant to Section 6 immediately prior to such Liquidation. The Corporation shall mail written notice of any such Liquidation not less than 20 days prior to the payment date stated therein, to each Holder.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Conversions at Option of Holder</w:t>
      </w:r>
      <w:r>
        <w:rPr>
          <w:rFonts w:ascii="Times New Roman" w:cs="Times New Roman" w:eastAsia="Times New Roman" w:hAnsi="Times New Roman"/>
          <w:sz w:val="18"/>
          <w:szCs w:val="18"/>
          <w:color w:val="auto"/>
        </w:rPr>
        <w:t xml:space="preserve">. Subject to the limitations set forth in Section 6(d), each share of Preferred Stock shall be convertible, at any time at the option of the Holder thereof, into that number of shares of Common Stock determined by dividing the Stated Value of such share of Preferred Stock by the Conversion Price (as defined below). Holders shall effect conversions by providing the Corporation with the form of conversion notice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email such Notice of Conversion to the Corporation (such date,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From and after the Conversion Date, until presented for transfer or exchange, certificates that previously represented shares of Preferred Stock, if any, shall represent, in lieu of the number of shares of Preferred Stock previously represented by such certificate, the number of shares of Preferred Stock, if any, previously represented by such certificate that were not converted pursuant to the Notice of Conversion, plus the number of shares of Conversion Shares into which the shares of Preferred Stock previously represented by such certificate were converted. To effect conversions of shares of Preferred Stock, a Holder shall not be required to surrender the certificate(s), if any, representing the shares of Preferred Stock to the Corporation unless all of the shares of Preferred Stock represented thereby are so converted, in which case such Holder shall deliver the certificate, if any, representing such shares of Preferred Stock promptly following the Conversion Date at issue. Shares of Preferred Stock converted into Common Stock in accordance with the terms hereof shall be canceled and shall not be reissued as shares of Preferred Stock and shall automatically and without further action by the Corporation be retired and restored to the status of authorized but unissued shares of preferred stock of the Corporation.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left="1580" w:hanging="276"/>
        <w:spacing w:after="0"/>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conversion price for the Preferred Stock shall equal $1.00 per share, subject to adjustment herein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Conversion Shares Upon Conversion</w:t>
      </w:r>
      <w:r>
        <w:rPr>
          <w:rFonts w:ascii="Times New Roman" w:cs="Times New Roman" w:eastAsia="Times New Roman" w:hAnsi="Times New Roman"/>
          <w:sz w:val="18"/>
          <w:szCs w:val="18"/>
          <w:color w:val="auto"/>
        </w:rPr>
        <w:t>. Not later than the earlier of (x) two (2) Trading Days and (y) the number of Trading Days comprising the Standard Settlement Period (as defined below) after each Conversion Date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Corporation shall deliver, or cause to be delivered, to the converting Holder the number of Conversion Shares being acquired upon the conversion of the Preferred Stock.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Corporation’s primary Trading Market with respect to the Common Stock as in effect on the date of delivery of the Notice of Conversion.</w:t>
      </w:r>
    </w:p>
    <w:p>
      <w:pPr>
        <w:spacing w:after="0" w:line="183"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0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Deliver Conversion Shares</w:t>
      </w:r>
      <w:r>
        <w:rPr>
          <w:rFonts w:ascii="Times New Roman" w:cs="Times New Roman" w:eastAsia="Times New Roman" w:hAnsi="Times New Roman"/>
          <w:sz w:val="18"/>
          <w:szCs w:val="18"/>
          <w:color w:val="auto"/>
        </w:rPr>
        <w:t>. In addition to any other rights available to the Holder, if the Corporation fails to cause its Transfer Agent to transmit to the Holder the Conversion Shares pursuant to a conversion on or before the Share Delivery Date, and if after such date the Holder is required by its broker to purchase (in an open market transaction or otherwise) or the Holder’s brokerage firm otherwise purchases, Common Stock to deliver in satisfaction of a sale by the Holder of the Conversion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Corporation shall (A) pay in cash to the Holder the amount, if any, by which (x) the Holder’s total purchase price (including brokerage commissions, if any) for the Common Stock so purchased exceeds (y) the amount obtained by multiplying (1) the number of Conversion Shares that the Corporation was required to deliver to the Holder in connection with the conversion at issue times (2) the price at which the sell order giving rise to such purchase obligation was executed, and (B) at the option of the Holder, either reinstate the portion of the Preferred Stock and equivalent number of Conversion Shares for which such conversion was not honored (in which case such conversion shall be deemed rescinded) or deliver to the Holder the number of shares of Common Stock that would have been issued had the Corporation timely complied with its conversion and delivery obligations hereunder. For example, if the Holder purchases Common Stock having a total purchase price of $11,000 to cover a Buy-In with respect to an attempted exercise of Common Stock with an aggregate sale price giving rise to such purchase obligation of $10,000, under clause (A) of the immediately preceding sentence the Corporation shall be required to pay the Holder $1,000. The Holder shall provide the Corporation written notice indicating the amounts payable to the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Common Stock upon conversion of the Preferred Stock as required pursuant to the terms hereof.</w:t>
      </w:r>
    </w:p>
    <w:p>
      <w:pPr>
        <w:spacing w:after="0" w:line="19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Absolute</w:t>
      </w:r>
      <w:r>
        <w:rPr>
          <w:rFonts w:ascii="Times New Roman" w:cs="Times New Roman" w:eastAsia="Times New Roman" w:hAnsi="Times New Roman"/>
          <w:sz w:val="18"/>
          <w:szCs w:val="18"/>
          <w:color w:val="auto"/>
        </w:rPr>
        <w:t xml:space="preserve">.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delivery shall not operate as a waiver by the Corporation of any such action that the Corporation may have against such Holder.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1952"/>
        <w:spacing w:after="0" w:line="255" w:lineRule="auto"/>
        <w:tabs>
          <w:tab w:leader="none" w:pos="22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The Corporation covenants that it will at all times reserve and keep available out of its authorized and unissued shares of Common Stock for the sole purpose of issuance upon conversion of the Preferred Stock as herein provided, free from preemptive rights or any other actual contingent purchase rights of Persons other than the Holder (and the other holders of the Preferred Stock), not less than such aggregate number of shares of the Common Stock as shall be issuable (taking into account the adjustments and restrictions of Section 7) upon the conversion of the then outstanding shares of Preferred Stock into Common Stock. The Corporation covenants that all shares of Common Stock that shall be so issuable shall, upon issue, be duly authorized, validly issued, fully paid and nonassessable and free and clear of all liens and other encumbrances.</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shall be issued upon the conversion of the Preferred Stock. As to any fraction of a share of Common Stock which the Holder would otherwise be entitled to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spacing w:after="0" w:line="18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 and Expenses</w:t>
      </w:r>
      <w:r>
        <w:rPr>
          <w:rFonts w:ascii="Times New Roman" w:cs="Times New Roman" w:eastAsia="Times New Roman" w:hAnsi="Times New Roman"/>
          <w:sz w:val="18"/>
          <w:szCs w:val="18"/>
          <w:color w:val="auto"/>
        </w:rPr>
        <w:t>. The issuance of Conversion Shares on conversion of the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Notwithstanding anything to the contrary set forth herein, the Corporation shall not effect any conversion of the Preferred Stock, and a Holder shall not have the right to convert any portion of the Preferred Stock, if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(A) conversion of the remaining, unconverted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beneficially owned by such Holder or any of its Affiliates or Attribution Parties. Except as set forth in the preceding sentence, for purposes of this Section 6(d)(i), beneficial ownership shall be calculated in accordance with Section 13(d) of the Exchange Act and the rules and regulations promulgated thereunder. To the extent that the limitation contained in this Section 6(d)(i) applies, the determination of whether the Preferred Stock is convertible (in relation to other securities owned by such Holder together with any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provided that the Corporation has complied with its obligations under this Certificate of Designation (including Section 7(f)(i)),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The Holder understands and acknowledges that the Corporation is not representing to the Holder that the calculations and determinations set forth in this Section 6(d)(i) are in compliance with Section 13(d) of the Exchange Act and the Holder is solely responsible for any schedules required to be filed in accordance therewith. For purposes of this Section 6(d)(i),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(B) a more recent public announcement by the Corporation or (iii) a more recent written notice by the Corporation or the Transfer Agent setting forth the number of shares of Common Stock outstanding. Upon the written or oral request (which may be via email) of a Holder, the Corporation shall within one Trading Day confirm orally and in writing to such Holder the number of shares of Common Stock then outstanding and the current Conversion Price. In any case, the number of outstanding shares of Common Stock shall be determined after giving effect to the conversion or exercise of securities of the Corporation, including the Preferred Stock, by such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conversion of Preferred Stock held by the applicable Holder. Notwithstanding the foregoing, by written notice to the</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Corporation, which will not be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written notice is delivered to the Corporation, the holder may increase or decrease the Beneficial Ownership Limitation provisions of this Section 6(d)(i), provided that the Beneficial Ownership Limitation in no event exceeds 9.99% of the number of shares of Common Stock outstanding immediately after giving effect to the issuance of Common Stock upon conversion of the Preferred Stock held by the Holder and the provisions of this Section 6(d)(i) shall continue to apply. In the event that the issuance of Common Stock to a Holder upon conversion of the Preferred Stock results in the Holder, together with any of its Affiliates and Attribution Parties, collectively being deemed to beneficially own, in the aggregate, more than the Beneficial Ownership Limitation, the number of shares so issued by which the aggregate beneficial ownership of the Holder, together with any of its Affiliates and Attribution Parties, exceeds such limitation (the “Excess Shares”) shall be deemed to be null and void and shall be cancelled ab initio, and none of the Holder, its Affiliates or its Attribution Parties, shall have the power to vote or to transfer the Excess Shares. As soon as reasonably practicable after the issuance of the Excess Shares has been deemed null and void, the Holder shall return the Excess Shares to the Company. For the avoidance of doubt, such Excess Shares shall not be forfeited by the Holder but shall instead be returned to their status as unconverted shares underlying the Preferred Stock. The provisions of this paragraph shall be construed and implemented in a manner otherwise than in strict conformity with the terms of this Section 6(d)(i)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firstLine="1952"/>
        <w:spacing w:after="0" w:line="253" w:lineRule="auto"/>
        <w:tabs>
          <w:tab w:leader="none" w:pos="22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Market Regulation</w:t>
      </w:r>
      <w:r>
        <w:rPr>
          <w:rFonts w:ascii="Times New Roman" w:cs="Times New Roman" w:eastAsia="Times New Roman" w:hAnsi="Times New Roman"/>
          <w:sz w:val="18"/>
          <w:szCs w:val="18"/>
          <w:color w:val="auto"/>
        </w:rPr>
        <w:t>. The Corporation shall not issue any shares of Common Stock upon conversion of any Preferred Stock or otherwise pursuant to the terms of this Series 1 Certificate of Designation prior to the date on which the Corporation obtains the approval of its stockholders as required by the applicable rules and regulations of the Trading Market for issuances of shares of Common Stock upon conversion of the Preferred Stock (the “</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Notwithstanding the foregoing, if Stockholder Approval is not required for the conversion of some or all of the Preferred Stock (the “</w:t>
      </w:r>
      <w:r>
        <w:rPr>
          <w:rFonts w:ascii="Times New Roman" w:cs="Times New Roman" w:eastAsia="Times New Roman" w:hAnsi="Times New Roman"/>
          <w:sz w:val="18"/>
          <w:szCs w:val="18"/>
          <w:u w:val="single" w:color="auto"/>
          <w:color w:val="auto"/>
        </w:rPr>
        <w:t>Freely Convertible Shares</w:t>
      </w:r>
      <w:r>
        <w:rPr>
          <w:rFonts w:ascii="Times New Roman" w:cs="Times New Roman" w:eastAsia="Times New Roman" w:hAnsi="Times New Roman"/>
          <w:sz w:val="18"/>
          <w:szCs w:val="18"/>
          <w:color w:val="auto"/>
        </w:rPr>
        <w:t xml:space="preserve">”), the Corporation shall permit each Lender Holder to convert such number of Freely Convertible Shares equal to its pro rata portion of all shares of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conversion shall be subject in all respects to the Beneficial Ownership Limitation, and no Lender Holder shall be entitled to convert any Freely Convertible Shares to the extent that, after giving effect to such conversion, such Lender Holder (together with its Affiliates and any other Persons whose beneficial ownership of Common Stock would be aggregated with such Lender Holder's for purposes of Section 13(d) of the Exchange Act) would beneficially own Common Stock in excess of the Beneficial Ownership Limitation. .</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Corporation, at any time while the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the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firstLine="1304"/>
        <w:spacing w:after="0" w:line="253" w:lineRule="auto"/>
        <w:tabs>
          <w:tab w:leader="none" w:pos="15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w:t>
      </w:r>
      <w:r>
        <w:rPr>
          <w:rFonts w:ascii="Times New Roman" w:cs="Times New Roman" w:eastAsia="Times New Roman" w:hAnsi="Times New Roman"/>
          <w:sz w:val="18"/>
          <w:szCs w:val="18"/>
          <w:color w:val="auto"/>
        </w:rPr>
        <w:t>. In addition to any adjustments pursuant to Section 7(a) above, if the Corporation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each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conversion set forth herein or otherwise)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prior to the Stockholder Approval Date, or if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the Stockholder Approval Date or such time, if ever, as its right thereto would not result in the Holder exceeding the Beneficial Ownership Limitation, as applicable).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the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any dividend or distribution as to which an adjustment was effected pursuant to Section 7(a))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then, in each such case, each Holder shall be entitled to participate in such Distribution to the same extent that the Holder would have participated therein if the Holder had held the number of shares of Common Stock acquirable upon complete conversion of the Preferred Stock (without regard to any limitations on conversion set forth herein or otherwise)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firstLine="1304"/>
        <w:spacing w:after="0" w:line="251" w:lineRule="auto"/>
        <w:tabs>
          <w:tab w:leader="none" w:pos="15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the Preferred Stock is outstanding, (i) the Corporation, directly or indirectly, in one or more related transactions effects any merger or consolidation of the Corporation with or into another Person, (ii) the Corporation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at the closing of such Fundamental Transaction, without any action on the part of the Holder, the Holder shall have the right to receive, for each Conversion Share that would have been issuable upon such conversion immediately prior to the occurrence of such Fundamental Transaction, (without regard to any limitation on conversion set forth herein or otherwise), the number of shares of Common Stock of the successor or acquiring corporation or of the Corporation, if it is the surviving corporation, and any additional consideration (the “</w:t>
      </w:r>
      <w:r>
        <w:rPr>
          <w:rFonts w:ascii="Times New Roman" w:cs="Times New Roman" w:eastAsia="Times New Roman" w:hAnsi="Times New Roman"/>
          <w:sz w:val="18"/>
          <w:szCs w:val="18"/>
          <w:u w:val="single" w:color="auto"/>
          <w:color w:val="auto"/>
        </w:rPr>
        <w:t>Alternate Conversion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the Preferred Stock is convertible immediately prior to such Fundamental Transaction (without regard to any limitation on conversion set forth herein or otherwise). For purposes of any such conversion, the determination of the Conversion Price shall be appropriately adjusted to reflect the relative value or benefits of any different components of the Alternate Conversion Consideration. If holders of Common Stock are given any choice as to the securities, cash or property to be received in a Fundamental Transaction, then the Holder shall be given the same choice as to the Alternate Conversion Consideration it receives upon any conversion of the Preferred Stock following such Fundamental Transaction. For avoidance of doubt, if the Conversion Price at the time of conversion is already adjusted to reflect the value or benefits of the Alternative Conversion Consideration, then no additional value or benefits shall be allocated to the Conversion Shares issued or issuable upon the conversion. The Corporation shall cause any successor entity in a Fundamental Transaction in which the Corporation is not the survivor (the “Successor Entity”) to assume in writing all of the obligations of the Corporation under the Preferred Stock in accordance with the provisions of this Section 7(d) pursuant to written agreements in form and substance reasonably satisfactory to the Holder and approved by the Holder (without unreasonable delay) prior to such Fundamental Transaction and shall, at the option of the Holder, deliver to the Holder in exchange for the Preferred Stock a security of the Successor Entity evidenced by a written instrument substantially similar in form and substance to the Preferred Stock which is convertible for a corresponding number of shares of capital stock of such Successor Entity (or its parent entity) equivalent to the Common Stock acquirable and receivable upon conversion of the Preferred Stock (without regard to any limitation on conversion set forth herein or otherwise) prior to such Fundamental Transaction, and with a conversion price which applies the conversion price hereunder to such shares of capital stock (but taking into account the relative value of the Common Stock pursuant to such Fundamental Transaction and the value of such shares of capital stock, such number of shares of capital stock and such conversion price being for the purpose of protecting the economic value of the Preferred Stock immediately prior to the consummation of such Fundamental Transaction), and which is reasonably satisfactory in form and substance to the Holder.</w:t>
      </w:r>
    </w:p>
    <w:p>
      <w:pPr>
        <w:spacing w:after="0" w:line="19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the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Price</w:t>
      </w:r>
      <w:r>
        <w:rPr>
          <w:rFonts w:ascii="Times New Roman" w:cs="Times New Roman" w:eastAsia="Times New Roman" w:hAnsi="Times New Roman"/>
          <w:sz w:val="18"/>
          <w:szCs w:val="18"/>
          <w:color w:val="auto"/>
        </w:rPr>
        <w:t>. Whenever the Conversion Price is adjusted pursuant to any provision of this Section 7, the Corporation shall promptly deliver to each Holder by email at its last email address as it shall appear upon the books of the Corporation a notice setting forth the Conversion Price after such adjustment and setting forth a brief statement of the facts requiring, and reasonable detail of the calculation of, such adjustment, provided that the failure to deliver such notice or any defect therein or in the delivery thereof shall not affect the validity of the adjustment required to be specified in such notice.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1952"/>
        <w:spacing w:after="0" w:line="252" w:lineRule="auto"/>
        <w:tabs>
          <w:tab w:leader="none" w:pos="22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If (A) the Corporation shall declare a dividend (or any other distribution in whatever form) on the Common Stock, (B) the Corporation shall declare a special nonrecurring cash dividend on the Common Stock or shall repurchase the Common Stock, (C) the Corporation shall authorize the granting to all holders of the Common Stock in their capacities as such rights or warrants to subscribe for or purchase any shares of capital stock of any class or of any rights, including Purchase Rights, (D) the approval of any stockholders of the Corporation shall be required in connection with any Fundamental Transaction or (E) the Corporation shall authorize the Liquidation of the Corporation, then, in each case, the Corporation shall email to each Holder at its last email address as it shall appear upon the books of the Corporation, at least ten (10) calendar days prior to the applicable record or, if a record is not to be taken, effective date hereinafter specified, a notice stating (x) the date on which a record is to be taken for the purpose of such dividend, distribution, repurchase, rights or warrants or stockholder approval, or if a record is not to be taken, the date as of which the holders of the Common Stock of record to be entitled to such dividend, distribution, repurchase, rights or warrants are to be determined or (y) the date on which such Fundamental Transaction is expected to become effective or close, and the date as of which it is expected that holders of the Common Stock shall be entitled to exchange their shares of the Common Stock for securities, cash or other property deliverable upon such Fundamental Transaction, provided that the failure to deliver such notice or any defect therein or in the delivery thereof shall not affect the validity of the corporate action required to be specified in such notice. The Holder shall remain entitled to convert its Preferred Stock (or any part hereof) during the 10-day period commencing on the date of such notice through the effective date of the event triggering such notice except as may otherwise be expressly set forth herein.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Restriction on Transfer of Assets</w:t>
      </w:r>
      <w:r>
        <w:rPr>
          <w:rFonts w:ascii="Times New Roman" w:cs="Times New Roman" w:eastAsia="Times New Roman" w:hAnsi="Times New Roman"/>
          <w:sz w:val="18"/>
          <w:szCs w:val="18"/>
          <w:color w:val="auto"/>
        </w:rPr>
        <w:t>. Prior to the later of (i) the Stockholder Approval Date and (ii) the effectiveness of the registration statement covering all Conversion Shares and Common Stock underlying the warrants issued to the Lender Holders on the Original Issue Date, the Corporation shall not, and the Corporation shall cause each of its Subsidiaries to not, directly or indirectly, sell, lease, license, assign, transfer, spin-off, split-off, close, convey or otherwise dispose of all or substantially all of its assets or rights of the Corporation or any Subsidiary owned or hereafter acquired whether in a single transaction or a series of related transactions, other than (x) sales, leases, licenses, assignments, transfers, conveyances and other dispositions of such assets or rights by the Corporation and its Subsidiaries in the ordinary course of business consistent with its past practice and (y) sales of inventory and product in the ordinary course of business.</w:t>
      </w:r>
    </w:p>
    <w:p>
      <w:pPr>
        <w:spacing w:after="0" w:line="189" w:lineRule="exact"/>
        <w:rPr>
          <w:sz w:val="20"/>
          <w:szCs w:val="20"/>
          <w:color w:val="auto"/>
        </w:rPr>
      </w:pPr>
    </w:p>
    <w:p>
      <w:pPr>
        <w:jc w:val="both"/>
        <w:ind w:firstLine="1304"/>
        <w:spacing w:after="0" w:line="258" w:lineRule="auto"/>
        <w:tabs>
          <w:tab w:leader="none" w:pos="15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Prior to the later of (i) the Stockholder Approval Date and (ii) the effectiveness of the registration statement covering all Conversion Shares and Common Stock underlying the warrants issued to the Lender Holders on the Original Issue Date, the Corporation shall not, and the Corporation shall cause each of its Subsidiaries to not, directly or indirectly, engage in any material line of business substantially different from those lines of business conducted by or publicly contemplated to be conducted by the Corporation and each of its Subsidiaries, as applicable, on the Original Issue Date or any business substantially related or incidental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Conversion, shall be in writing and delivered personally, by e-mail, or sent by a nationally recognized overnight courier service, addressed to the Corporation, at Hydrofarm Holdings Group, Inc., Attention: Chief Financial Officer, 1510 Main Street, Shoemakersville, Pennsylvania 19555, or such other e-mail address or address as the Corporation may specify for such purposes by notice to the Holders delivered in accordance with this Section 9. Any and all notices or other communications or deliveries to be provided by the Corporation hereunder shall be in writing and delivered personally, by e-mail, or sent by a nationally recognized overnight courier service addressed to each Holder at the e-mail address or address of such Holder appearing on the books of the Corporation. Any notice or other communication or deliveries hereunder shall be deemed given and effective on the earliest of (i) the time of transmission, if such notice or communication is delivered via e-mail at the e-mail address set forth in this Section 9 prior to 5:30 p.m. (New York City time) on any date, (ii) the next Trading Day after the time of transmission, if such notice or communication is delivered via e-mail to kevin.obrien@hydrofarm.com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Mutilated Preferred Stock Certificate</w:t>
      </w:r>
      <w:r>
        <w:rPr>
          <w:rFonts w:ascii="Times New Roman" w:cs="Times New Roman" w:eastAsia="Times New Roman" w:hAnsi="Times New Roman"/>
          <w:sz w:val="18"/>
          <w:szCs w:val="18"/>
          <w:color w:val="auto"/>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uncertificated shares or a new certificate for the shares of Preferred Stock represented by the certificate so mutilated, lost, stolen or destroyed, but only upon receipt of evidence of such loss, theft or destruction of such certificate, and of the ownership thereof reasonably satisfactory to the Corporation (which shall not include the requirement of posting of any bond).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1304"/>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any provision of this Certificate of Designation or any breach thereof shall not operate as or be construed to be a waiver of any other provision of this Certificate of Designation or any breach thereof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Preferred Stock</w:t>
      </w:r>
      <w:r>
        <w:rPr>
          <w:rFonts w:ascii="Times New Roman" w:cs="Times New Roman" w:eastAsia="Times New Roman" w:hAnsi="Times New Roman"/>
          <w:sz w:val="18"/>
          <w:szCs w:val="18"/>
          <w:color w:val="auto"/>
        </w:rPr>
        <w:t>. If any shares of Preferred Stock shall be converted or reacquired by the Corporation, such shares may not be reissued as Preferred Stock and shall automatically be retired and shall resume the status of authorized but unissued shares of preferred stock and shall no longer be designated as Preferred Stock.</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Lender Holders</w:t>
      </w:r>
      <w:r>
        <w:rPr>
          <w:rFonts w:ascii="Times New Roman" w:cs="Times New Roman" w:eastAsia="Times New Roman" w:hAnsi="Times New Roman"/>
          <w:sz w:val="18"/>
          <w:szCs w:val="18"/>
          <w:color w:val="auto"/>
        </w:rPr>
        <w:t>. Each Lender Holder is acting independently and severally, and not as part of a group (within the meaning of Section 13(d) of the Exchange Act) with any other Lender older or any other Person with respect to any securities of the Company. No Lender Holder has any agreement, arrangement or understanding with any other Lender Holder or any other Person to act together for the purpose of acquiring, holding, voting or disposing of any securities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firstLine="648"/>
        <w:spacing w:after="0" w:line="292" w:lineRule="auto"/>
        <w:rPr>
          <w:sz w:val="20"/>
          <w:szCs w:val="20"/>
          <w:color w:val="auto"/>
        </w:rPr>
      </w:pPr>
      <w:r>
        <w:rPr>
          <w:rFonts w:ascii="Times New Roman" w:cs="Times New Roman" w:eastAsia="Times New Roman" w:hAnsi="Times New Roman"/>
          <w:sz w:val="18"/>
          <w:szCs w:val="18"/>
          <w:color w:val="auto"/>
        </w:rPr>
        <w:t xml:space="preserve">IN WITNESS WHEREOF, Hydrofarm Holdings Group, Inc. has caused this Certificate of Designations to be signed by a duly authorized officer on this </w:t>
      </w: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color w:val="auto"/>
        </w:rPr>
        <w:t xml:space="preserve"> day of October, 2026.</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Toler</w:t>
            </w:r>
          </w:p>
        </w:tc>
      </w:tr>
      <w:tr>
        <w:trPr>
          <w:trHeight w:val="191"/>
        </w:trPr>
        <w:tc>
          <w:tcPr>
            <w:tcW w:w="1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Wiliam Toler</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Series 1 Certificate of Designation]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 SHARES OF PREFERRED STOCK)</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elects to convert the number of shares of Series 1 Non-Voting Convertible Preferred Stock indicated below into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Hydrofarm Holdings Group,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No fee will be charged to the Holders for any conversion, except for any such transfer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0637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0637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063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Value of shares of Preferred Stock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63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Conversion Price, as last communicated to the Holder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0637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063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Preferred Stock subsequent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063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5715</wp:posOffset>
            </wp:positionV>
            <wp:extent cx="39173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337" w:right="1440" w:bottom="1440" w:gutter="0" w:footer="0" w:header="0"/>
        </w:sectPr>
      </w:pPr>
    </w:p>
    <w:bookmarkStart w:id="24" w:name="page25"/>
    <w:bookmarkEnd w:id="24"/>
    <w:p>
      <w:pPr>
        <w:ind w:left="10420"/>
        <w:spacing w:after="0"/>
        <w:rPr>
          <w:sz w:val="20"/>
          <w:szCs w:val="20"/>
          <w:color w:val="auto"/>
        </w:rPr>
      </w:pPr>
      <w:r>
        <w:rPr>
          <w:rFonts w:ascii="Times New Roman" w:cs="Times New Roman" w:eastAsia="Times New Roman" w:hAnsi="Times New Roman"/>
          <w:sz w:val="17"/>
          <w:szCs w:val="17"/>
          <w:b w:val="1"/>
          <w:bCs w:val="1"/>
          <w:i w:val="1"/>
          <w:iCs w:val="1"/>
          <w:color w:val="auto"/>
        </w:rPr>
        <w:t>Exhibit 4.1</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UNITED STATES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FOR WHICH THIS SECURITY IS EXERCISABLE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w:t>
      </w:r>
    </w:p>
    <w:p>
      <w:pPr>
        <w:spacing w:after="0" w:line="2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Issue Date: __________, 2026</w:t>
      </w:r>
    </w:p>
    <w:p>
      <w:pPr>
        <w:spacing w:after="0" w:line="200" w:lineRule="exact"/>
        <w:rPr>
          <w:sz w:val="20"/>
          <w:szCs w:val="20"/>
          <w:color w:val="auto"/>
        </w:rPr>
      </w:pP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WARRANT TO PURCHASE COMMON STOCK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Issue Date and on or prior to 5:00 p.m. (New York time) on the date that is five and a half (5.5) years following the Issue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of Common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as subject to adjustment hereunder. The purchase price of one Warrant Share under this Warrant shall be equal to the Exercise Price, as defined in Section 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herein, the following terms have the meanings indicated in this Section 1:</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Trading Market as reported by Bloomberg as of such time of determination, or, if the Trading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fair market value shall be determined pursuant to the provisions set forth in clause (d) of the definition of VWAP. All such determinations to be appropriately adjusted for any share dividend, share split, share consolidation, reclassification or other similar transaction during the applicable calculation period.</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common stock, par value $0.0001, of the Company,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its subsidiaries which would entitle the holder thereof to acquire at any time Common Stock, including, without limitation, any debt, preferred shares,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October [•], 2026, by and between the Company and the purchasers signatory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are listed or quoted for trading on the date in question: the OTCQB, OTCQX or Pink Open Market operated by OTC Markets Group,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“United States” as that term is defined in Regulation S under the Securities Act.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are then listed or quoted for trading on a Trading Market other than the OTCQB, OTCQX or Pink Open Market operated by OTC Markets Group, the daily volume weighted average price of the Common Stock for such date (or the nearest preceding date) on the Trading Market on which the Common Stock are then listed or quoted as reported by Bloomberg L.P. (based on a Trading Day from 9:30 a.m. (New York City time) to 4:02 p.m. (New York City time)), (b) if the Common Stock are then quoted for trading on the OTCQB or OTCQX operated by OTC Markets Group, the volume weighted average price of the Common Stock for such date (or the nearest preceding date) on OTCQB or OTCQX as applicable, (c) if the Common Stock is then quoted for trading on the Pink Open Market operated by OTC Markets Group (or a similar organization or agency succeeding to its functions of reporting prices), the most recent Bid Price per share of Common Stock reported on the Pink Open Market, or (d) in all other cases, the fair market value of one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the other Common Stock Purchase Warrants issued pursuant to the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otherwise defined herein shall have the meanings set forth in the Purchase Agreement.</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60" w:firstLine="640"/>
        <w:spacing w:after="0" w:line="252" w:lineRule="auto"/>
        <w:tabs>
          <w:tab w:leader="none" w:pos="2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purchase rights represented by this Warrant may be made, in whole or in part, at any time or times on or after the Issue Date and on or before the Termination Date by delivery to the Company of a duly executed facsimile copy (or e-mail attachment) of the Notice of Exercise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one (1) Trading Day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Times New Roman" w:cs="Times New Roman" w:eastAsia="Times New Roman" w:hAnsi="Times New Roman"/>
          <w:sz w:val="18"/>
          <w:szCs w:val="18"/>
          <w:b w:val="1"/>
          <w:bCs w:val="1"/>
          <w:color w:val="auto"/>
        </w:rPr>
        <w:t>The Holder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1060" w:firstLine="640"/>
        <w:spacing w:after="0" w:line="282" w:lineRule="auto"/>
        <w:tabs>
          <w:tab w:leader="none" w:pos="27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060" w:firstLine="640"/>
        <w:spacing w:after="0" w:line="258" w:lineRule="auto"/>
        <w:tabs>
          <w:tab w:leader="none" w:pos="28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on or after the date that is six (6) months following the Issue Date, there is no effective resale registration statement registering the resale of the Warrant Shares by the Holder, or the prospectus contained therein is not available for such resale, then this Warrant may also be exercised, in whole or in part, at such time by means of a "cashless exercise" in which the Holder shall be entitled to receive a number of Warrant Shares equal to the quotient obtained by dividing [(A-B) (X)] by (A), where:</w:t>
      </w:r>
    </w:p>
    <w:p>
      <w:pPr>
        <w:spacing w:after="0" w:line="399" w:lineRule="exact"/>
        <w:rPr>
          <w:sz w:val="20"/>
          <w:szCs w:val="20"/>
          <w:color w:val="auto"/>
        </w:rPr>
      </w:pPr>
    </w:p>
    <w:p>
      <w:pPr>
        <w:ind w:left="2180" w:hanging="480"/>
        <w:spacing w:after="0" w:line="253" w:lineRule="auto"/>
        <w:tabs>
          <w:tab w:leader="none" w:pos="19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within two (2) hours of the time of the Holder’s delivery of the Notice of Exercise if such Notice of Exercise is delivered during “regular trading hours” or within two (2) hours after the close of “regular trading hours” on a Trading Day pursuant to Section 2(a) hereof or (iii) the VWAP on the Trading Day immediately preceding the applicable Notice of Exercise if the date of such Notice of Exercise is a Trading Day and such Notice of Exercise is delivered pursuant to Section 2(a) hereof at least two (2) hours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1980" w:hanging="28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rFonts w:ascii="Times New Roman" w:cs="Times New Roman" w:eastAsia="Times New Roman" w:hAnsi="Times New Roman"/>
          <w:sz w:val="18"/>
          <w:szCs w:val="18"/>
          <w:color w:val="auto"/>
        </w:rPr>
      </w:pPr>
    </w:p>
    <w:p>
      <w:pPr>
        <w:ind w:left="2280" w:right="20" w:hanging="580"/>
        <w:spacing w:after="0" w:line="282" w:lineRule="auto"/>
        <w:tabs>
          <w:tab w:leader="none" w:pos="20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w:t>
      </w:r>
    </w:p>
    <w:p>
      <w:pPr>
        <w:spacing w:after="0" w:line="27" w:lineRule="exact"/>
        <w:rPr>
          <w:sz w:val="20"/>
          <w:szCs w:val="20"/>
          <w:color w:val="auto"/>
        </w:rPr>
      </w:pPr>
    </w:p>
    <w:p>
      <w:pPr>
        <w:jc w:val="both"/>
        <w:ind w:left="1060" w:hanging="8"/>
        <w:spacing w:after="0" w:line="255" w:lineRule="auto"/>
        <w:tabs>
          <w:tab w:leader="none" w:pos="1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1500" w:hanging="920"/>
        <w:spacing w:after="0"/>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60" w:hanging="652"/>
        <w:spacing w:after="0" w:line="251"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its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the Warrant Shares are eligible to be sold pursuant to Rule 144, and otherwise by physical delivery of a certificate or held electronically through the Company’s transfer agent,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(as defined in the Purchase Agreement),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If the Warrant Shares can be delivered via DWAC, the Transfer Agent shall have received from the Company, at the expense of the Company, any legal opinions or other documentation required by it to deliver such Warrant Shares without legend (subject to receipt by the Company of reasonable back up documentation from the Holder with respect to affiliate status) and, if applicable and requested by the Company prior to the Warrant Share Delivery Date. The Company hereby covenants and agrees with the Holder to cause its counsel to deliver such legal opinion to its Transfer Agent prior to the Warrant Share Delivery Date. The Warrant Shares shall be deemed to have been issued, and Holder or any other person so designated to be named therein shall be deemed for purposes of Regulation SHO to have become a holder of record of such shares for all purposes, as of the date the Warrant has been exercised, provided that payment to the Company of the Exercise Price (or by cashless exercise, if permitted) and all taxes required to be paid by the Holder, if any, pursuant to Section 2(d)(vi) is made prior to the issuance of such shares. If the Company fails for any reason to deliver to the Holder the Warrant Shares subject to a Notice of Exercise by the Trading Day following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w:t>
      </w: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9" w:name="page30"/>
    <w:bookmarkEnd w:id="29"/>
    <w:p>
      <w:pPr>
        <w:jc w:val="both"/>
        <w:ind w:left="1220" w:firstLine="2618"/>
        <w:spacing w:after="0" w:line="258" w:lineRule="auto"/>
        <w:tabs>
          <w:tab w:leader="none" w:pos="479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3" w:lineRule="exact"/>
        <w:rPr>
          <w:rFonts w:ascii="Times New Roman" w:cs="Times New Roman" w:eastAsia="Times New Roman" w:hAnsi="Times New Roman"/>
          <w:sz w:val="18"/>
          <w:szCs w:val="18"/>
          <w:color w:val="auto"/>
        </w:rPr>
      </w:pPr>
    </w:p>
    <w:p>
      <w:pPr>
        <w:jc w:val="both"/>
        <w:ind w:left="1220" w:firstLine="2438"/>
        <w:spacing w:after="0" w:line="255" w:lineRule="auto"/>
        <w:tabs>
          <w:tab w:leader="none" w:pos="49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xml:space="preserve">. If the Company fails to cause its Transfer Agent to deliver to the Holder the Warrant Shares pursuant to Section 2(d)(i) by the Warrant Share Delivery Date (for avoidance of doubt, other than any such failure that is due solely to any action or inaction by the Holder), then the Holder will have the right to rescind such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be required to return any Warrant Shares or Common Stock subject to any such rescinded Notice of Exercise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188" w:lineRule="exact"/>
        <w:rPr>
          <w:rFonts w:ascii="Times New Roman" w:cs="Times New Roman" w:eastAsia="Times New Roman" w:hAnsi="Times New Roman"/>
          <w:sz w:val="18"/>
          <w:szCs w:val="18"/>
          <w:color w:val="auto"/>
        </w:rPr>
      </w:pPr>
    </w:p>
    <w:p>
      <w:pPr>
        <w:jc w:val="both"/>
        <w:ind w:left="1220" w:firstLine="2438"/>
        <w:spacing w:after="0" w:line="252" w:lineRule="auto"/>
        <w:tabs>
          <w:tab w:leader="none" w:pos="48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its Transfer Agent to transmit to the Holder the Warrant Shares pursuant to an exercise on or before the Warrant Share Delivery Date, and if after such date the Holder is required by its broker to purchase (in an open market transaction or otherwise) or the Holder’s brokerage firm otherwise purchases,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Stock upon exercise of the Warrant as required pursuant to the terms hereof.</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0" w:name="page31"/>
    <w:bookmarkEnd w:id="30"/>
    <w:p>
      <w:pPr>
        <w:jc w:val="both"/>
        <w:ind w:left="1220" w:firstLine="2600"/>
        <w:spacing w:after="0" w:line="258" w:lineRule="auto"/>
        <w:tabs>
          <w:tab w:leader="none" w:pos="483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3" w:lineRule="exact"/>
        <w:rPr>
          <w:rFonts w:ascii="Times New Roman" w:cs="Times New Roman" w:eastAsia="Times New Roman" w:hAnsi="Times New Roman"/>
          <w:sz w:val="18"/>
          <w:szCs w:val="18"/>
          <w:color w:val="auto"/>
        </w:rPr>
      </w:pPr>
    </w:p>
    <w:p>
      <w:pPr>
        <w:jc w:val="both"/>
        <w:ind w:left="1220" w:firstLine="2438"/>
        <w:spacing w:after="0" w:line="253" w:lineRule="auto"/>
        <w:tabs>
          <w:tab w:leader="none" w:pos="48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4" w:lineRule="exact"/>
        <w:rPr>
          <w:rFonts w:ascii="Times New Roman" w:cs="Times New Roman" w:eastAsia="Times New Roman" w:hAnsi="Times New Roman"/>
          <w:sz w:val="18"/>
          <w:szCs w:val="18"/>
          <w:color w:val="auto"/>
        </w:rPr>
      </w:pPr>
    </w:p>
    <w:p>
      <w:pPr>
        <w:ind w:left="4820" w:hanging="1270"/>
        <w:spacing w:after="0"/>
        <w:tabs>
          <w:tab w:leader="none" w:pos="4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in any manner which prevents the timely exercise of this Warrant, pursuant to the terms hereof.</w:t>
      </w:r>
    </w:p>
    <w:p>
      <w:pPr>
        <w:spacing w:after="0" w:line="207" w:lineRule="exact"/>
        <w:rPr>
          <w:sz w:val="20"/>
          <w:szCs w:val="20"/>
          <w:color w:val="auto"/>
        </w:rPr>
      </w:pPr>
    </w:p>
    <w:p>
      <w:pPr>
        <w:jc w:val="both"/>
        <w:ind w:left="1220" w:firstLine="2402"/>
        <w:spacing w:after="0" w:line="255" w:lineRule="auto"/>
        <w:tabs>
          <w:tab w:leader="none" w:pos="48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This Section 2 and the exercise form attached hereto set forth the totality of the procedures required of the Holder in order to exercise this Warrant. Without limiting the preceding sentences, no ink-original exercise form shall be required, nor shall any medallion guarantee (or other type of guarantee or notarization) of any exercise form be required in order to exercise this Warrant. No additional legal opinion, other information or instructions shall be required of the Holder to exercise this Warrant. The Company shall honor exercises of this Warrant and shall deliver Shares underlying this Warrant in accordance with the terms, conditions and time periods set forth herein.</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1" w:name="page32"/>
    <w:bookmarkEnd w:id="31"/>
    <w:p>
      <w:pPr>
        <w:jc w:val="both"/>
        <w:ind w:firstLine="640"/>
        <w:spacing w:after="0" w:line="251" w:lineRule="auto"/>
        <w:tabs>
          <w:tab w:leader="none" w:pos="15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xml:space="preserve"> Notwithstanding anything to the contrary contained herein,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Common Stock would or could be aggregated with the Holder’s for purposes of Section 13(d)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shall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 Stock outstanding immediately after giving effect to the issuance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Common Stock upon exercise of this Warrant held by the Holder and the provisions of this Section 2(e) shall continue to apply. Any increase in the Beneficial Ownership Limitation will not be</w:t>
      </w:r>
    </w:p>
    <w:p>
      <w:pPr>
        <w:jc w:val="both"/>
        <w:spacing w:after="0" w:line="241" w:lineRule="auto"/>
        <w:rPr>
          <w:sz w:val="20"/>
          <w:szCs w:val="20"/>
          <w:color w:val="auto"/>
        </w:rPr>
      </w:pPr>
      <w:r>
        <w:rPr>
          <w:rFonts w:ascii="Times New Roman" w:cs="Times New Roman" w:eastAsia="Times New Roman" w:hAnsi="Times New Roman"/>
          <w:sz w:val="18"/>
          <w:szCs w:val="18"/>
          <w:color w:val="auto"/>
        </w:rPr>
        <w:t>effective until the sixty 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In the event that the issuance of Common Stock to a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shall be deemed to be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the Excess Shares to the Company. The provisions of this paragraph shall not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80" w:top="337" w:right="339" w:bottom="1440" w:gutter="0" w:footer="0" w:header="0"/>
        </w:sectPr>
      </w:pPr>
    </w:p>
    <w:bookmarkStart w:id="32" w:name="page33"/>
    <w:bookmarkEnd w:id="32"/>
    <w:p>
      <w:pPr>
        <w:ind w:left="10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80" w:hanging="972"/>
        <w:spacing w:after="0" w:line="25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its Common Stock or any other equity or equity equivalent securities payable in Common Stock (which, for avoidance of doubt, shall not include any Common Stock issued by the Company upon exercise of this Warrant), (ii) subdivides outstanding Common Stock into a larger number of shares, (iii) combines (including by way of consolidation or reverse stock split) outstanding Common Stock into a smaller number of shares, or (iv) issues by reclassification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For the purposes of clarification, the Exercise Price of this Warrant will not be adjusted in the event that the Company or any Subsidiary thereof, as applicable, sells or grants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left="980" w:hanging="972"/>
        <w:spacing w:after="0" w:line="253"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shares, warrants, securities or other property pro rata to the record holders of any class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980" w:hanging="972"/>
        <w:spacing w:after="0" w:line="25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left="980" w:hanging="972"/>
        <w:spacing w:after="0" w:line="251"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Common Stock of the Company or greater than 50% of the voting power of the outstanding common and preferred shares of the Company, (iv) the Company, directly or indirectly, in one or more related transactions effects any reclassification, reorganization or recapitalization of the Common Stock or any compulsory share exchange pursuant to which the Common Stock are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(other than a stock split)) with another Person or group of Persons whereby such other Person or group acquires greater than 50% of the Common Stock of the Company or greater than 50% of the voting power of the outstanding common and preferred shares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the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100 day volatility obtained from the HVT function on Bloomberg (determined utilizing a 365 day annualization factor) as of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contemplated Fundamental Transaction (or the consummation of the applicable Fundamental Transaction, if earlier) and ending on the Trading Day of the Holder’s request pursuant to this Section 3(d), (D) a remaining option time equal to the time between the date of the public announcement of the applicable contemplated Fundamental Transaction and the Termination Date, and (E) a zero cost of borrow.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52" w:lineRule="auto"/>
        <w:rPr>
          <w:sz w:val="20"/>
          <w:szCs w:val="20"/>
          <w:color w:val="auto"/>
        </w:rPr>
      </w:pPr>
      <w:r>
        <w:rPr>
          <w:rFonts w:ascii="Times New Roman" w:cs="Times New Roman" w:eastAsia="Times New Roman" w:hAnsi="Times New Roman"/>
          <w:sz w:val="18"/>
          <w:szCs w:val="18"/>
          <w:color w:val="auto"/>
        </w:rPr>
        <w:t>The settlement of the Black Scholes Value will be made by wire transfer of immediately available funds (or such other consideration) within five (5) Trading Days of the Holder’s election (or, if later, on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the provisions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7" w:right="339" w:bottom="1440" w:gutter="0" w:footer="0" w:header="0"/>
        </w:sectPr>
      </w:pPr>
    </w:p>
    <w:bookmarkStart w:id="36" w:name="page37"/>
    <w:bookmarkEnd w:id="36"/>
    <w:p>
      <w:pPr>
        <w:ind w:left="980" w:right="40" w:hanging="972"/>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340" w:firstLine="2762"/>
        <w:spacing w:after="0" w:line="261" w:lineRule="auto"/>
        <w:tabs>
          <w:tab w:leader="none" w:pos="609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2340" w:firstLine="2762"/>
        <w:spacing w:after="0" w:line="251" w:lineRule="auto"/>
        <w:tabs>
          <w:tab w:leader="none" w:pos="60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the Company of any class or of any rights, (D) the approval of any stockholders of the Company shall be required in connection with any reclassification of the Common Stock, any consolidation, merger, amalgamation or arrangement to which the Company is a party, any sale or transfer of all or substantially all of the assets of the Company, or any compulsory share exchange whereby the Common Stock are converted into other securities, cash or property, or (E) the Company shall authorize the voluntary or involuntary dissolution, liquidation or winding up of the affairs of the Company, then, in each case, the Company shall cause to be delivered by facsimile or email a notice to the Holder at its last address as it shall appear upon the Warrant Register of the Company, at least twenty (20) calendar days prior to the applicable record or effective date hereinafter specified,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amalgamation, arrangement, sale, transfer or share exchange is expected to become effective or close, and the date as of which it is expected that holders of the Common Stock of record shall be entitled to exchange their Common Stock for securities, cash or other property deliverable upon such reclassification, consolidation, merger, amalgamation, arrangement,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ind w:firstLine="1304"/>
        <w:spacing w:after="0" w:line="266"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on which the Common Stock is then listed,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60" w:firstLine="658"/>
        <w:spacing w:after="0" w:line="253" w:lineRule="auto"/>
        <w:tabs>
          <w:tab w:leader="none" w:pos="2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left="1060" w:firstLine="640"/>
        <w:spacing w:after="0" w:line="256" w:lineRule="auto"/>
        <w:tabs>
          <w:tab w:leader="none" w:pos="262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left="1060" w:firstLine="640"/>
        <w:spacing w:after="0" w:line="261" w:lineRule="auto"/>
        <w:tabs>
          <w:tab w:leader="none" w:pos="27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8"/>
        <w:spacing w:after="0" w:line="266" w:lineRule="auto"/>
        <w:tabs>
          <w:tab w:leader="none" w:pos="16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75" w:lineRule="exact"/>
        <w:rPr>
          <w:rFonts w:ascii="Times New Roman" w:cs="Times New Roman" w:eastAsia="Times New Roman" w:hAnsi="Times New Roman"/>
          <w:sz w:val="18"/>
          <w:szCs w:val="18"/>
          <w:color w:val="auto"/>
        </w:rPr>
      </w:pPr>
    </w:p>
    <w:p>
      <w:pPr>
        <w:jc w:val="both"/>
        <w:ind w:firstLine="640"/>
        <w:spacing w:after="0" w:line="256" w:lineRule="auto"/>
        <w:tabs>
          <w:tab w:leader="none" w:pos="181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7" w:lineRule="exact"/>
        <w:rPr>
          <w:rFonts w:ascii="Times New Roman" w:cs="Times New Roman" w:eastAsia="Times New Roman" w:hAnsi="Times New Roman"/>
          <w:sz w:val="18"/>
          <w:szCs w:val="18"/>
          <w:color w:val="auto"/>
        </w:rPr>
      </w:pPr>
    </w:p>
    <w:p>
      <w:pPr>
        <w:jc w:val="both"/>
        <w:ind w:firstLine="640"/>
        <w:spacing w:after="0" w:line="266" w:lineRule="auto"/>
        <w:tabs>
          <w:tab w:leader="none" w:pos="15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5" w:lineRule="exact"/>
        <w:rPr>
          <w:rFonts w:ascii="Times New Roman" w:cs="Times New Roman" w:eastAsia="Times New Roman" w:hAnsi="Times New Roman"/>
          <w:sz w:val="18"/>
          <w:szCs w:val="18"/>
          <w:color w:val="auto"/>
        </w:rPr>
      </w:pPr>
    </w:p>
    <w:p>
      <w:pPr>
        <w:ind w:left="1560" w:hanging="920"/>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or quoted for trading.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80" w:top="337" w:right="339" w:bottom="1440" w:gutter="0" w:footer="0" w:header="0"/>
        </w:sectPr>
      </w:pPr>
    </w:p>
    <w:bookmarkStart w:id="39" w:name="page40"/>
    <w:bookmarkEnd w:id="39"/>
    <w:p>
      <w:pPr>
        <w:jc w:val="both"/>
        <w:ind w:left="5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amalgamation, arrangement,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5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60" w:right="20" w:firstLine="640"/>
        <w:spacing w:after="0" w:line="282" w:lineRule="auto"/>
        <w:tabs>
          <w:tab w:leader="none" w:pos="15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60" w:firstLine="640"/>
        <w:spacing w:after="0" w:line="266" w:lineRule="auto"/>
        <w:tabs>
          <w:tab w:leader="none" w:pos="174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The Holder acknowledges that the Warrant Shares acquired upon the exercise of this Warrant, if not registered, or otherwise eligible to be resold or transferred without restriction pursuant to an exemption from registration under the Securities Act,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ind w:left="1500" w:hanging="920"/>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xml:space="preserve"> As used herein, “$” refers to U.S. dollars.</w:t>
      </w:r>
    </w:p>
    <w:p>
      <w:pPr>
        <w:spacing w:after="0" w:line="225" w:lineRule="exact"/>
        <w:rPr>
          <w:rFonts w:ascii="Times New Roman" w:cs="Times New Roman" w:eastAsia="Times New Roman" w:hAnsi="Times New Roman"/>
          <w:sz w:val="18"/>
          <w:szCs w:val="18"/>
          <w:color w:val="auto"/>
        </w:rPr>
      </w:pPr>
    </w:p>
    <w:p>
      <w:pPr>
        <w:jc w:val="both"/>
        <w:ind w:left="-60" w:firstLine="640"/>
        <w:spacing w:after="0" w:line="256" w:lineRule="auto"/>
        <w:tabs>
          <w:tab w:leader="none" w:pos="16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0" w:name="page41"/>
    <w:bookmarkEnd w:id="40"/>
    <w:p>
      <w:pPr>
        <w:jc w:val="both"/>
        <w:ind w:firstLine="640"/>
        <w:spacing w:after="0" w:line="253" w:lineRule="auto"/>
        <w:tabs>
          <w:tab w:leader="none" w:pos="157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Exercise, shall be in writing and delivered personally, by facsimile or by e-mail, or sent by a nationally recognized overnight courier service, in accordance with the Purchase Agreement,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prior to 5:30 p.m. (New York City time) on any date, (ii) the next Trading Day after the date of transmission, if such notice or communication is delivered via facsimile at the facsimile number or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rFonts w:ascii="Times New Roman" w:cs="Times New Roman" w:eastAsia="Times New Roman" w:hAnsi="Times New Roman"/>
          <w:sz w:val="18"/>
          <w:szCs w:val="18"/>
          <w:color w:val="auto"/>
        </w:rPr>
      </w:pPr>
    </w:p>
    <w:p>
      <w:pPr>
        <w:jc w:val="both"/>
        <w:ind w:firstLine="640"/>
        <w:spacing w:after="0" w:line="261" w:lineRule="auto"/>
        <w:tabs>
          <w:tab w:leader="none" w:pos="17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0"/>
        <w:spacing w:after="0" w:line="261" w:lineRule="auto"/>
        <w:tabs>
          <w:tab w:leader="none" w:pos="1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0"/>
        <w:spacing w:after="0" w:line="261" w:lineRule="auto"/>
        <w:tabs>
          <w:tab w:leader="none" w:pos="16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firstLine="640"/>
        <w:spacing w:after="0" w:line="282" w:lineRule="auto"/>
        <w:tabs>
          <w:tab w:leader="none" w:pos="1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Section 2(e) and this Section 5(m), which may not be amended, modified or waived,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0"/>
        <w:spacing w:after="0" w:line="261" w:lineRule="auto"/>
        <w:tabs>
          <w:tab w:leader="none" w:pos="16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jc w:val="both"/>
        <w:ind w:firstLine="640"/>
        <w:spacing w:after="0" w:line="266" w:lineRule="auto"/>
        <w:tabs>
          <w:tab w:leader="none" w:pos="157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Expense Reimbursement</w:t>
      </w:r>
      <w:r>
        <w:rPr>
          <w:rFonts w:ascii="Times New Roman" w:cs="Times New Roman" w:eastAsia="Times New Roman" w:hAnsi="Times New Roman"/>
          <w:sz w:val="18"/>
          <w:szCs w:val="18"/>
          <w:color w:val="auto"/>
        </w:rPr>
        <w:t>. The Holder shall in no way be required to pay, or to reimburse the Company for, any fees or expenses of the Company’s Transfer Agent in connection with the issuance or holding or sale of the Common Stock, Warrants and/or Warrant Shares. The Company shall solely be responsible for any and all such fees and expenses.</w:t>
      </w:r>
    </w:p>
    <w:p>
      <w:pPr>
        <w:spacing w:after="0" w:line="175" w:lineRule="exact"/>
        <w:rPr>
          <w:rFonts w:ascii="Times New Roman" w:cs="Times New Roman" w:eastAsia="Times New Roman" w:hAnsi="Times New Roman"/>
          <w:sz w:val="18"/>
          <w:szCs w:val="18"/>
          <w:color w:val="auto"/>
        </w:rPr>
      </w:pPr>
    </w:p>
    <w:p>
      <w:pPr>
        <w:ind w:firstLine="640"/>
        <w:spacing w:after="0" w:line="282" w:lineRule="auto"/>
        <w:tabs>
          <w:tab w:leader="none" w:pos="1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37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80" w:top="337" w:right="339" w:bottom="1440" w:gutter="0" w:footer="0" w:header="0"/>
        </w:sectPr>
      </w:pPr>
    </w:p>
    <w:bookmarkStart w:id="41" w:name="page42"/>
    <w:bookmarkEnd w:id="4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By:__________________________________________</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HYDROFARM HOLDINGS GROUP,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ectPr>
          <w:pgSz w:w="11900" w:h="16838" w:orient="portrait"/>
          <w:cols w:equalWidth="0" w:num="2">
            <w:col w:w="620" w:space="40"/>
            <w:col w:w="10580"/>
          </w:cols>
          <w:pgMar w:left="320" w:top="333" w:right="339" w:bottom="1440" w:gutter="0" w:footer="0" w:header="0"/>
          <w:type w:val="continuous"/>
        </w:sectPr>
      </w:pPr>
    </w:p>
    <w:p>
      <w:pPr>
        <w:spacing w:after="0" w:line="7" w:lineRule="exact"/>
        <w:rPr>
          <w:sz w:val="20"/>
          <w:szCs w:val="20"/>
          <w:color w:val="auto"/>
        </w:rPr>
      </w:pPr>
    </w:p>
    <w:p>
      <w:pPr>
        <w:ind w:firstLine="1304"/>
        <w:spacing w:after="0" w:line="282" w:lineRule="auto"/>
        <w:tabs>
          <w:tab w:leader="none" w:pos="15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and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delivery of a certificate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 not use this form to purchase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VALUE RECEIVED, [____] all of or [_______] shares of the foregoing Warrant and all rights evidenced thereby are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assigned to</w:t>
      </w:r>
    </w:p>
    <w:p>
      <w:pPr>
        <w:spacing w:after="0" w:line="200" w:lineRule="exact"/>
        <w:rPr>
          <w:sz w:val="20"/>
          <w:szCs w:val="20"/>
          <w:color w:val="auto"/>
        </w:rPr>
      </w:pP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204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20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204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20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19" w:lineRule="exact"/>
        <w:rPr>
          <w:sz w:val="20"/>
          <w:szCs w:val="20"/>
          <w:color w:val="auto"/>
        </w:rPr>
      </w:pPr>
    </w:p>
    <w:p>
      <w:pPr>
        <w:ind w:left="600"/>
        <w:spacing w:after="0"/>
        <w:tabs>
          <w:tab w:leader="none" w:pos="1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-7620</wp:posOffset>
            </wp:positionV>
            <wp:extent cx="628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20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204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333" w:right="339" w:bottom="1440" w:gutter="0" w:footer="0" w:header="0"/>
        </w:sectPr>
      </w:pPr>
    </w:p>
    <w:bookmarkStart w:id="44" w:name="page45"/>
    <w:bookmarkEnd w:id="44"/>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UNITED STATES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FOR WHICH THIS SECURITY IS EXERCISABLE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w:t>
      </w:r>
    </w:p>
    <w:p>
      <w:pPr>
        <w:spacing w:after="0" w:line="2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7"/>
          <w:szCs w:val="17"/>
          <w:color w:val="auto"/>
        </w:rPr>
        <w:t>Initial Exercise Date: __________, 2027</w:t>
      </w:r>
    </w:p>
    <w:p>
      <w:pPr>
        <w:spacing w:after="0" w:line="200" w:lineRule="exact"/>
        <w:rPr>
          <w:sz w:val="20"/>
          <w:szCs w:val="20"/>
          <w:color w:val="auto"/>
        </w:rPr>
      </w:pP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WARRANT  TO  PURCHASE  COMMON  STOCK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of Common Stock (the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as subject to adjustment hereunder. The purchase price of one Warrant Share under this Warrant shall be equal to the Exercise Price, as defined in Section 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herein, the following terms have the meanings indicated in this Section 1:</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Trading Market as reported by Bloomberg as of such time of determination, or, if the Trading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fair market value shall be determined pursuant to the provisions set forth in clause (d) of the definition of VWAP. All such determinations to be appropriately adjusted for any share dividend, share split, share consolidation, reclassification or other similar transaction during the applicable calculation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common stock, par value $0.0001, of the Company,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its subsidiaries which would entitle the holder thereof to acquire at any time Common Stock, including, without limitation, any debt, preferred shares,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October [•], 2026, by and between the Company and the purchasers signatory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are listed or quoted for trading on the date in question: the OTCQB, OTCQX or Pink Open Market operated by OTC Markets Group,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“United States” as that term is defined in Regulation S under the Securities Act.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are then listed or quoted for trading on a Trading Market other than the OTCQB, OTCQX or Pink Open Market operated by OTC Markets Group, the daily volume weighted average price of the Common Stock for such date (or the nearest preceding date) on the Trading Market on which the Common Stock are then listed or quoted as reported by Bloomberg L.P. (based on a Trading Day from 9:30 a.m. (New York City time) to 4:02 p.m. (New York City time)), (b) if the Common Stock are then quoted for trading on the OTCQB or OTCQX operated by OTC Markets Group, the volume weighted average price of the Common Stock for such date (or the nearest preceding date) on OTCQB or OTCQX as applicable, (c) if the Common Stock is then quoted for trading on the Pink Open Market operated by OTC Markets Group (or a similar organization or agency succeeding to its functions of reporting prices), the most recent Bid Price per share of Common Stock reported on the Pink Open Market, or (d) in all other cases, the fair market value of one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the other Pre-Funded Common Stock Purchase Warrants issued pursuant to the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otherwise defined herein shall have the meanings set forth in the Purchase Agreement.</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60" w:firstLine="640"/>
        <w:spacing w:after="0" w:line="252" w:lineRule="auto"/>
        <w:tabs>
          <w:tab w:leader="none" w:pos="25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purchase rights represented by this Warrant may be made, in whole or in part, at any time or times on or after the Initial Exercise Date and on or before the Termination Date by delivery to the Company of a duly executed facsimile copy (or e-mail attachment) of the Notice of Exercise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one (1) Trading Day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Times New Roman" w:cs="Times New Roman" w:eastAsia="Times New Roman" w:hAnsi="Times New Roman"/>
          <w:sz w:val="18"/>
          <w:szCs w:val="18"/>
          <w:b w:val="1"/>
          <w:bCs w:val="1"/>
          <w:color w:val="auto"/>
        </w:rPr>
        <w:t>The Holder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left="8" w:firstLine="640"/>
        <w:spacing w:after="0" w:line="256" w:lineRule="auto"/>
        <w:tabs>
          <w:tab w:leader="none" w:pos="15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Share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8" w:firstLine="640"/>
        <w:spacing w:after="0" w:line="266" w:lineRule="auto"/>
        <w:tabs>
          <w:tab w:leader="none" w:pos="17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any time by means of a "cashless exercise" in which the Holder shall be entitled to receive a number of Warrant Shares equal to the quotient obtained by dividing [(A-B) (X)] by (A), where:</w:t>
      </w:r>
    </w:p>
    <w:p>
      <w:pPr>
        <w:spacing w:after="0" w:line="176" w:lineRule="exact"/>
        <w:rPr>
          <w:sz w:val="20"/>
          <w:szCs w:val="20"/>
          <w:color w:val="auto"/>
        </w:rPr>
      </w:pPr>
    </w:p>
    <w:p>
      <w:pPr>
        <w:ind w:left="1128" w:hanging="480"/>
        <w:spacing w:after="0" w:line="253" w:lineRule="auto"/>
        <w:tabs>
          <w:tab w:leader="none" w:pos="9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within two (2) hours of the time of the Holder’s delivery of the Notice of Exercise if such Notice of Exercise is delivered during “regular trading hours” or within two (2) hours after the close of “regular trading hours” on a Trading Day pursuant to Section 2(a) hereof or (iii) the VWAP on the Trading Day immediately preceding the applicable Notice of Exercise if the date of such Notice of Exercise is a Trading Day and such Notice of Exercise is delivered pursuant to Section 2(a) hereof at least two (2) hours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928" w:hanging="280"/>
        <w:spacing w:after="0"/>
        <w:tabs>
          <w:tab w:leader="none" w:pos="9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rFonts w:ascii="Times New Roman" w:cs="Times New Roman" w:eastAsia="Times New Roman" w:hAnsi="Times New Roman"/>
          <w:sz w:val="18"/>
          <w:szCs w:val="18"/>
          <w:color w:val="auto"/>
        </w:rPr>
      </w:pPr>
    </w:p>
    <w:p>
      <w:pPr>
        <w:ind w:left="1228" w:right="20" w:hanging="580"/>
        <w:spacing w:after="0" w:line="282" w:lineRule="auto"/>
        <w:tabs>
          <w:tab w:leader="none" w:pos="9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w:t>
      </w:r>
    </w:p>
    <w:p>
      <w:pPr>
        <w:spacing w:after="0" w:line="27" w:lineRule="exact"/>
        <w:rPr>
          <w:sz w:val="20"/>
          <w:szCs w:val="20"/>
          <w:color w:val="auto"/>
        </w:rPr>
      </w:pPr>
    </w:p>
    <w:p>
      <w:pPr>
        <w:jc w:val="both"/>
        <w:ind w:left="8" w:hanging="8"/>
        <w:spacing w:after="0" w:line="255" w:lineRule="auto"/>
        <w:tabs>
          <w:tab w:leader="none" w:pos="2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86" w:lineRule="exact"/>
        <w:rPr>
          <w:sz w:val="20"/>
          <w:szCs w:val="20"/>
          <w:color w:val="auto"/>
        </w:rPr>
      </w:pPr>
    </w:p>
    <w:p>
      <w:pPr>
        <w:ind w:left="4528"/>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337" w:right="3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162" w:lineRule="exact"/>
        <w:rPr>
          <w:sz w:val="20"/>
          <w:szCs w:val="20"/>
          <w:color w:val="auto"/>
        </w:rPr>
      </w:pPr>
    </w:p>
    <w:p>
      <w:pPr>
        <w:ind w:left="2520" w:hanging="820"/>
        <w:spacing w:after="0"/>
        <w:tabs>
          <w:tab w:leader="none" w:pos="25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280" w:hanging="652"/>
        <w:spacing w:after="0" w:line="251" w:lineRule="auto"/>
        <w:tabs>
          <w:tab w:leader="none" w:pos="2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its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the Warrant Shares are eligible to be sold pursuant to Rule 144, and otherwise by physical delivery of a certificate or held electronically through the Company’s transfer agent,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(as defined in the Purchase Agreement),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If the Warrant Shares can be delivered via DWAC, the Transfer Agent shall have received from the Company, at the expense of the Company, any legal opinions or other documentation required by it to deliver such Warrant Shares without legend (subject to receipt by the Company of reasonable back up documentation from the Holder with respect to affiliate status) and, if applicable and requested by the Company prior to the Warrant Share Delivery Date. The Company hereby covenants and agrees with the Holder to cause its counsel to deliver such legal opinion to its Transfer Agent prior to the Warrant Share Delivery Date. The Warrant Shares shall be deemed to have been issued, and Holder or any other person so designated to be named therein shall be deemed for purposes of Regulation SHO to have become a holder of record of such shares for all purposes, as of the date the Warrant has been exercised, provided that payment to the Company of the Exercise Price (or by cashless exercise, if permitted) and all taxes required to be paid by the Holder, if any, pursuant to Section 2(d)(vi) is made prior to the issuance of such shares. If the Company fails for any reason to deliver to the Holder the Warrant Shares subject to a Notice of Exercise by the Trading Day following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left="1220" w:firstLine="2618"/>
        <w:spacing w:after="0" w:line="258" w:lineRule="auto"/>
        <w:tabs>
          <w:tab w:leader="none" w:pos="47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3" w:lineRule="exact"/>
        <w:rPr>
          <w:rFonts w:ascii="Times New Roman" w:cs="Times New Roman" w:eastAsia="Times New Roman" w:hAnsi="Times New Roman"/>
          <w:sz w:val="18"/>
          <w:szCs w:val="18"/>
          <w:color w:val="auto"/>
        </w:rPr>
      </w:pPr>
    </w:p>
    <w:p>
      <w:pPr>
        <w:jc w:val="both"/>
        <w:ind w:left="1220" w:firstLine="2438"/>
        <w:spacing w:after="0" w:line="255" w:lineRule="auto"/>
        <w:tabs>
          <w:tab w:leader="none" w:pos="45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xml:space="preserve">. If the Company fails to cause its Transfer Agent to deliver to the Holder the Warrant Shares pursuant to Section 2(d)(i) by the Warrant Share Delivery Date (for avoidance of doubt, other than any such failure that is due solely to any action or inaction by the Holder), then the Holder will have the right to rescind such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be required to return any Warrant Shares or Common Stock subject to any such rescinded Notice of Exercise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left="1220" w:firstLine="2438"/>
        <w:spacing w:after="0" w:line="252" w:lineRule="auto"/>
        <w:tabs>
          <w:tab w:leader="none" w:pos="45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its Transfer Agent to transmit to the Holder the Warrant Shares pursuant to an exercise on or before the Warrant Share Delivery Date, and if after such date the Holder is required by its broker to purchase (in an open market transaction or otherwise) or the Holder’s brokerage firm otherwise purchases,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Stock upon exercise of the Warrant as required pursuant to the terms hereof.</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0" w:name="page51"/>
    <w:bookmarkEnd w:id="50"/>
    <w:p>
      <w:pPr>
        <w:jc w:val="both"/>
        <w:ind w:left="1220" w:firstLine="2600"/>
        <w:spacing w:after="0" w:line="258" w:lineRule="auto"/>
        <w:tabs>
          <w:tab w:leader="none" w:pos="4785"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3" w:lineRule="exact"/>
        <w:rPr>
          <w:rFonts w:ascii="Times New Roman" w:cs="Times New Roman" w:eastAsia="Times New Roman" w:hAnsi="Times New Roman"/>
          <w:sz w:val="18"/>
          <w:szCs w:val="18"/>
          <w:color w:val="auto"/>
        </w:rPr>
      </w:pPr>
    </w:p>
    <w:p>
      <w:pPr>
        <w:jc w:val="both"/>
        <w:ind w:left="1220" w:firstLine="2438"/>
        <w:spacing w:after="0" w:line="253" w:lineRule="auto"/>
        <w:tabs>
          <w:tab w:leader="none" w:pos="473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4" w:lineRule="exact"/>
        <w:rPr>
          <w:rFonts w:ascii="Times New Roman" w:cs="Times New Roman" w:eastAsia="Times New Roman" w:hAnsi="Times New Roman"/>
          <w:sz w:val="18"/>
          <w:szCs w:val="18"/>
          <w:color w:val="auto"/>
        </w:rPr>
      </w:pPr>
    </w:p>
    <w:p>
      <w:pPr>
        <w:ind w:left="4740" w:hanging="1190"/>
        <w:spacing w:after="0"/>
        <w:tabs>
          <w:tab w:leader="none" w:pos="4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in any manner which prevents the timely exercise of this Warrant, pursuant to the terms hereof.</w:t>
      </w:r>
    </w:p>
    <w:p>
      <w:pPr>
        <w:spacing w:after="0" w:line="200" w:lineRule="exact"/>
        <w:rPr>
          <w:sz w:val="20"/>
          <w:szCs w:val="20"/>
          <w:color w:val="auto"/>
        </w:rPr>
      </w:pPr>
    </w:p>
    <w:p>
      <w:pPr>
        <w:spacing w:after="0" w:line="223" w:lineRule="exact"/>
        <w:rPr>
          <w:sz w:val="20"/>
          <w:szCs w:val="20"/>
          <w:color w:val="auto"/>
        </w:rPr>
      </w:pPr>
    </w:p>
    <w:p>
      <w:pPr>
        <w:jc w:val="both"/>
        <w:ind w:left="1220" w:firstLine="2402"/>
        <w:spacing w:after="0" w:line="255" w:lineRule="auto"/>
        <w:tabs>
          <w:tab w:leader="none" w:pos="46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This Section 2 and the exercise form attached hereto set forth the totality of the procedures required of the Holder in order to exercise this Warrant. Without limiting the preceding sentences, no ink-original exercise form shall be required, nor shall any medallion guarantee (or other type of guarantee or notarization) of any exercise form be required in order to exercise this Warrant. No additional legal opinion, other information or instructions shall be required of the Holder to exercise this Warrant. The Company shall honor exercises of this Warrant and shall deliver Shares underlying this Warrant in accordance with the terms, conditions and time periods set forth herein.</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1" w:name="page52"/>
    <w:bookmarkEnd w:id="51"/>
    <w:p>
      <w:pPr>
        <w:jc w:val="both"/>
        <w:ind w:firstLine="640"/>
        <w:spacing w:after="0" w:line="251" w:lineRule="auto"/>
        <w:tabs>
          <w:tab w:leader="none" w:pos="1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xml:space="preserve"> Notwithstanding anything to the contrary contained herein,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Common Stock would or could be aggregated with the Holder’s for purposes of Section 13(d)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shall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 Stock outstanding immediately after giving effect to the issuance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Common Stock upon exercise of this Warrant held by the Holder and the provisions of this Section 2(e) shall continue to apply. Any increase in the Beneficial Ownership Limitation will not be</w:t>
      </w:r>
    </w:p>
    <w:p>
      <w:pPr>
        <w:jc w:val="both"/>
        <w:spacing w:after="0" w:line="231" w:lineRule="auto"/>
        <w:rPr>
          <w:sz w:val="20"/>
          <w:szCs w:val="20"/>
          <w:color w:val="auto"/>
        </w:rPr>
      </w:pPr>
      <w:r>
        <w:rPr>
          <w:rFonts w:ascii="Times New Roman" w:cs="Times New Roman" w:eastAsia="Times New Roman" w:hAnsi="Times New Roman"/>
          <w:sz w:val="18"/>
          <w:szCs w:val="18"/>
          <w:color w:val="auto"/>
        </w:rPr>
        <w:t>effective until the sixty 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The provisions of this paragraph shall not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80" w:top="337" w:right="339" w:bottom="1440" w:gutter="0" w:footer="0" w:header="0"/>
        </w:sectPr>
      </w:pPr>
    </w:p>
    <w:bookmarkStart w:id="52" w:name="page53"/>
    <w:bookmarkEnd w:id="52"/>
    <w:p>
      <w:pPr>
        <w:ind w:left="10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left="980" w:hanging="972"/>
        <w:spacing w:after="0" w:line="25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its Common Stock or any other equity or equity equivalent securities payable in Common Stock (which, for avoidance of doubt, shall not include any Common Stock issued by the Company upon exercise of this Warrant), (ii) subdivides outstanding Common Stock into a larger number of shares, (iii) combines (including by way of consolidation or reverse stock split) outstanding Common Stock into a smaller number of shares, or (iv) issues by reclassification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For the purposes of clarification, the Exercise Price of this Warrant will not be adjusted in the event that the Company or any Subsidiary thereof, as applicable, sells or grants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left="980" w:hanging="972"/>
        <w:spacing w:after="0" w:line="253"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shares, warrants, securities or other property pro rata to the record holders of any class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980" w:hanging="972"/>
        <w:spacing w:after="0" w:line="25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left="980" w:hanging="972"/>
        <w:spacing w:after="0" w:line="25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Common Stock of the Company or greater than 50% of the voting power of the outstanding common and preferred shares of the Company, (iv) the Company, directly or indirectly, in one or more related transactions effects any reclassification, reorganization or recapitalization of the Common Stock or any compulsory share exchange pursuant to which the Common Stock are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(other than a stock split)) with another Person or group of Persons whereby such other Person or group acquires greater than 50% of the Common Stock of the Company or greater than 50% of the voting power of the outstanding common and preferred shares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the provisions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left="980" w:hanging="972"/>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340" w:firstLine="2780"/>
        <w:spacing w:after="0" w:line="261" w:lineRule="auto"/>
        <w:tabs>
          <w:tab w:leader="none" w:pos="6043"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395" w:lineRule="exact"/>
        <w:rPr>
          <w:rFonts w:ascii="Times New Roman" w:cs="Times New Roman" w:eastAsia="Times New Roman" w:hAnsi="Times New Roman"/>
          <w:sz w:val="18"/>
          <w:szCs w:val="18"/>
          <w:color w:val="auto"/>
        </w:rPr>
      </w:pPr>
    </w:p>
    <w:p>
      <w:pPr>
        <w:jc w:val="both"/>
        <w:ind w:left="2340" w:firstLine="2780"/>
        <w:spacing w:after="0" w:line="251" w:lineRule="auto"/>
        <w:tabs>
          <w:tab w:leader="none" w:pos="598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the Company of any class or of any rights, (D) the approval of any stockholders of the Company shall be required in connection with any reclassification of the Common Stock, any consolidation, merger, amalgamation or arrangement to which the Company is a party, any sale or transfer of all or substantially all of the assets of the Company, or any compulsory share exchange whereby the Common Stock are converted into other securities, cash or property, or (E) the Company shall authorize the voluntary or involuntary dissolution, liquidation or winding up of the affairs of the Company, then, in each case, the Company shall cause to be delivered by facsimile or email a notice to the Holder at its last address as it shall appear upon the Warrant Register of the Company, at least twenty (20) calendar days prior to the applicable record or effective date hereinafter specified,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amalgamation, arrangement, sale, transfer or share exchange is expected to become effective or close, and the date as of which it is expected that holders of the Common Stock of record shall be entitled to exchange their Common Stock for securities, cash or other property deliverable upon such reclassification, consolidation, merger, amalgamation, arrangement,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8"/>
        <w:spacing w:after="0" w:line="253" w:lineRule="auto"/>
        <w:tabs>
          <w:tab w:leader="none" w:pos="18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0"/>
        <w:spacing w:after="0" w:line="256" w:lineRule="auto"/>
        <w:tabs>
          <w:tab w:leader="none" w:pos="15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of this Warrant and shall be identical with this Warrant except as to the number of Warrant Shares issuable pursuant thereto.</w:t>
      </w:r>
    </w:p>
    <w:p>
      <w:pPr>
        <w:spacing w:after="0" w:line="18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80" w:top="337" w:right="339" w:bottom="1440" w:gutter="0" w:footer="0" w:header="0"/>
        </w:sectPr>
      </w:pPr>
    </w:p>
    <w:bookmarkStart w:id="57" w:name="page58"/>
    <w:bookmarkEnd w:id="57"/>
    <w:p>
      <w:pPr>
        <w:jc w:val="both"/>
        <w:ind w:firstLine="640"/>
        <w:spacing w:after="0" w:line="261" w:lineRule="auto"/>
        <w:tabs>
          <w:tab w:leader="none" w:pos="16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8"/>
        <w:spacing w:after="0" w:line="266" w:lineRule="auto"/>
        <w:tabs>
          <w:tab w:leader="none" w:pos="164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75" w:lineRule="exact"/>
        <w:rPr>
          <w:rFonts w:ascii="Times New Roman" w:cs="Times New Roman" w:eastAsia="Times New Roman" w:hAnsi="Times New Roman"/>
          <w:sz w:val="18"/>
          <w:szCs w:val="18"/>
          <w:color w:val="auto"/>
        </w:rPr>
      </w:pPr>
    </w:p>
    <w:p>
      <w:pPr>
        <w:jc w:val="both"/>
        <w:ind w:firstLine="640"/>
        <w:spacing w:after="0" w:line="256" w:lineRule="auto"/>
        <w:tabs>
          <w:tab w:leader="none" w:pos="175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7" w:lineRule="exact"/>
        <w:rPr>
          <w:rFonts w:ascii="Times New Roman" w:cs="Times New Roman" w:eastAsia="Times New Roman" w:hAnsi="Times New Roman"/>
          <w:sz w:val="18"/>
          <w:szCs w:val="18"/>
          <w:color w:val="auto"/>
        </w:rPr>
      </w:pPr>
    </w:p>
    <w:p>
      <w:pPr>
        <w:jc w:val="both"/>
        <w:ind w:firstLine="640"/>
        <w:spacing w:after="0" w:line="266" w:lineRule="auto"/>
        <w:tabs>
          <w:tab w:leader="none" w:pos="15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5" w:lineRule="exact"/>
        <w:rPr>
          <w:rFonts w:ascii="Times New Roman" w:cs="Times New Roman" w:eastAsia="Times New Roman" w:hAnsi="Times New Roman"/>
          <w:sz w:val="18"/>
          <w:szCs w:val="18"/>
          <w:color w:val="auto"/>
        </w:rPr>
      </w:pPr>
    </w:p>
    <w:p>
      <w:pPr>
        <w:ind w:left="1460" w:hanging="820"/>
        <w:spacing w:after="0"/>
        <w:tabs>
          <w:tab w:leader="none" w:pos="1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or quoted for trading.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80" w:top="337" w:right="339" w:bottom="1440" w:gutter="0" w:footer="0" w:header="0"/>
        </w:sectPr>
      </w:pPr>
    </w:p>
    <w:bookmarkStart w:id="58" w:name="page59"/>
    <w:bookmarkEnd w:id="58"/>
    <w:p>
      <w:pPr>
        <w:jc w:val="both"/>
        <w:ind w:left="5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amalgamation, arrangement,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5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60" w:firstLine="640"/>
        <w:spacing w:after="0" w:line="282" w:lineRule="auto"/>
        <w:tabs>
          <w:tab w:leader="none" w:pos="14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60" w:firstLine="640"/>
        <w:spacing w:after="0" w:line="266" w:lineRule="auto"/>
        <w:tabs>
          <w:tab w:leader="none" w:pos="16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The Holder acknowledges that the Warrant Shares acquired upon the exercise of this Warrant, if not registered, or otherwise eligible to be resold or transferred without restriction pursuant to an exemption from registration under the Securities Act,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ind w:left="1400" w:hanging="820"/>
        <w:spacing w:after="0"/>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xml:space="preserve"> As used herein, “$” refers to U.S. dollars.</w:t>
      </w:r>
    </w:p>
    <w:p>
      <w:pPr>
        <w:spacing w:after="0" w:line="225" w:lineRule="exact"/>
        <w:rPr>
          <w:rFonts w:ascii="Times New Roman" w:cs="Times New Roman" w:eastAsia="Times New Roman" w:hAnsi="Times New Roman"/>
          <w:sz w:val="18"/>
          <w:szCs w:val="18"/>
          <w:color w:val="auto"/>
        </w:rPr>
      </w:pPr>
    </w:p>
    <w:p>
      <w:pPr>
        <w:jc w:val="both"/>
        <w:ind w:left="-60" w:firstLine="640"/>
        <w:spacing w:after="0" w:line="256" w:lineRule="auto"/>
        <w:tabs>
          <w:tab w:leader="none" w:pos="15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9" w:name="page60"/>
    <w:bookmarkEnd w:id="59"/>
    <w:p>
      <w:pPr>
        <w:jc w:val="both"/>
        <w:ind w:firstLine="640"/>
        <w:spacing w:after="0" w:line="253" w:lineRule="auto"/>
        <w:tabs>
          <w:tab w:leader="none" w:pos="15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Exercise, shall be in writing and delivered personally, by facsimile or by e-mail, or sent by a nationally recognized overnight courier service, in accordance with the Purchase Agreement,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prior to 5:30 p.m. (New York City time) on any date, (ii) the next Trading Day after the date of transmission, if such notice or communication is delivered via facsimile at the facsimile number or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rFonts w:ascii="Times New Roman" w:cs="Times New Roman" w:eastAsia="Times New Roman" w:hAnsi="Times New Roman"/>
          <w:sz w:val="18"/>
          <w:szCs w:val="18"/>
          <w:color w:val="auto"/>
        </w:rPr>
      </w:pPr>
    </w:p>
    <w:p>
      <w:pPr>
        <w:jc w:val="both"/>
        <w:ind w:firstLine="640"/>
        <w:spacing w:after="0" w:line="261" w:lineRule="auto"/>
        <w:tabs>
          <w:tab w:leader="none" w:pos="16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0"/>
        <w:spacing w:after="0" w:line="261" w:lineRule="auto"/>
        <w:tabs>
          <w:tab w:leader="none" w:pos="14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right="20" w:firstLine="640"/>
        <w:spacing w:after="0" w:line="261" w:lineRule="auto"/>
        <w:tabs>
          <w:tab w:leader="none" w:pos="16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firstLine="640"/>
        <w:spacing w:after="0" w:line="282" w:lineRule="auto"/>
        <w:tabs>
          <w:tab w:leader="none" w:pos="15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0"/>
        <w:spacing w:after="0" w:line="261" w:lineRule="auto"/>
        <w:tabs>
          <w:tab w:leader="none" w:pos="14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jc w:val="both"/>
        <w:ind w:firstLine="640"/>
        <w:spacing w:after="0" w:line="266" w:lineRule="auto"/>
        <w:tabs>
          <w:tab w:leader="none" w:pos="15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Expense Reimbursement</w:t>
      </w:r>
      <w:r>
        <w:rPr>
          <w:rFonts w:ascii="Times New Roman" w:cs="Times New Roman" w:eastAsia="Times New Roman" w:hAnsi="Times New Roman"/>
          <w:sz w:val="18"/>
          <w:szCs w:val="18"/>
          <w:color w:val="auto"/>
        </w:rPr>
        <w:t>. The Holder shall in no way be required to pay, or to reimburse the Company for, any fees or expenses of the Company’s Transfer Agent in connection with the issuance or holding or sale of the Common Stock, Warrants and/or Warrant Shares. The Company shall solely be responsible for any and all such fees and expenses.</w:t>
      </w:r>
    </w:p>
    <w:p>
      <w:pPr>
        <w:spacing w:after="0" w:line="175" w:lineRule="exact"/>
        <w:rPr>
          <w:rFonts w:ascii="Times New Roman" w:cs="Times New Roman" w:eastAsia="Times New Roman" w:hAnsi="Times New Roman"/>
          <w:sz w:val="18"/>
          <w:szCs w:val="18"/>
          <w:color w:val="auto"/>
        </w:rPr>
      </w:pPr>
    </w:p>
    <w:p>
      <w:pPr>
        <w:ind w:right="20" w:firstLine="640"/>
        <w:spacing w:after="0" w:line="282" w:lineRule="auto"/>
        <w:tabs>
          <w:tab w:leader="none" w:pos="14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37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80" w:top="337" w:right="339" w:bottom="1440" w:gutter="0" w:footer="0" w:header="0"/>
        </w:sectPr>
      </w:pPr>
    </w:p>
    <w:bookmarkStart w:id="60" w:name="page61"/>
    <w:bookmarkEnd w:id="6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By:__________________________________________</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HYDROFARM HOLDINGS GROUP,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ectPr>
          <w:pgSz w:w="11900" w:h="16838" w:orient="portrait"/>
          <w:cols w:equalWidth="0" w:num="2">
            <w:col w:w="620" w:space="40"/>
            <w:col w:w="10580"/>
          </w:cols>
          <w:pgMar w:left="320" w:top="333" w:right="339" w:bottom="1440" w:gutter="0" w:footer="0" w:header="0"/>
          <w:type w:val="continuous"/>
        </w:sectPr>
      </w:pPr>
    </w:p>
    <w:p>
      <w:pPr>
        <w:spacing w:after="0" w:line="7" w:lineRule="exact"/>
        <w:rPr>
          <w:sz w:val="20"/>
          <w:szCs w:val="20"/>
          <w:color w:val="auto"/>
        </w:rPr>
      </w:pPr>
    </w:p>
    <w:p>
      <w:pPr>
        <w:ind w:firstLine="1304"/>
        <w:spacing w:after="0" w:line="282" w:lineRule="auto"/>
        <w:tabs>
          <w:tab w:leader="none" w:pos="156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and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delivery of a certificate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 not use this form to purchase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VALUE RECEIVED, [____] all of or [_______] shares of the foregoing Warrant and all rights evidenced thereby are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assigned to</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300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300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ind w:left="960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300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300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3" w:lineRule="exact"/>
        <w:rPr>
          <w:sz w:val="20"/>
          <w:szCs w:val="20"/>
          <w:color w:val="auto"/>
        </w:rPr>
      </w:pPr>
    </w:p>
    <w:p>
      <w:pPr>
        <w:ind w:left="680"/>
        <w:spacing w:after="0"/>
        <w:tabs>
          <w:tab w:leader="none" w:pos="15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-10795</wp:posOffset>
            </wp:positionV>
            <wp:extent cx="628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300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300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333" w:right="339" w:bottom="1440" w:gutter="0" w:footer="0" w:header="0"/>
        </w:sectPr>
      </w:pPr>
    </w:p>
    <w:bookmarkStart w:id="63" w:name="page64"/>
    <w:bookmarkEnd w:id="63"/>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UNITED STATES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FOR WHICH THIS SECURITY IS EXERCISABLE MAY BE PLEDGED IN CONNECTION WITH A BONA FIDE MARGIN ACCOUNT REGISTERED BROKER-DEALER OR OTHER LOAN WITH A FINANCIAL INSTITUTION THAT IS AN “ACCREDITED INVESTOR” AS DEFINED IN RULE 501(a) UNDER THE SECURITIES ACT OR OTHER LOAN SECURED BY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18"/>
          <w:szCs w:val="18"/>
          <w:color w:val="auto"/>
        </w:rPr>
        <w:t>Warrant Shares: [●]</w:t>
      </w:r>
      <w:r>
        <w:rPr>
          <w:sz w:val="20"/>
          <w:szCs w:val="20"/>
          <w:color w:val="auto"/>
        </w:rPr>
        <w:tab/>
      </w:r>
      <w:r>
        <w:rPr>
          <w:rFonts w:ascii="Times New Roman" w:cs="Times New Roman" w:eastAsia="Times New Roman" w:hAnsi="Times New Roman"/>
          <w:sz w:val="17"/>
          <w:szCs w:val="17"/>
          <w:color w:val="auto"/>
        </w:rPr>
        <w:t>Initial Exercise Date: [●], 2026</w:t>
      </w: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COMMON STOCK PURCHASE WARRANT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and on or prior to 5:00 p.m. (New York time) on the date that is five (5) years following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 ] shares of Common Stock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Warrant Share shall be equal to the Exercise Price, as defined in Section 2(b).</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September [●], 2026, among the Company and the purchasers signatory thereto.</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Trading Market as reported by Bloomberg as of such time of determination, or, if the Trading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fair market value shall be determined pursuant to the provisions set forth in clause (d) of the definition of VWAP. All such determinations to be appropriately adjusted for any share dividend, share split, share consolidation, reclassification or other similar transaction during the applicable calculation period.</w:t>
      </w:r>
    </w:p>
    <w:p>
      <w:pPr>
        <w:spacing w:after="0" w:line="19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for trading on a Trading Market and if prices for the Common Stock are then reported in the OTC Pink published by OTC Markets Group, Inc. (or a similar organization or agency succeeding to its functions of reporting prices), the most recent bid price per share of the Common Stock so reported, or (c)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right="20" w:firstLine="644"/>
        <w:spacing w:after="0" w:line="252" w:lineRule="auto"/>
        <w:tabs>
          <w:tab w:leader="none" w:pos="16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below) following the date the holder delivers the Notice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-2360295</wp:posOffset>
            </wp:positionV>
            <wp:extent cx="1024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4890" cy="8890"/>
                    </a:xfrm>
                    <a:prstGeom prst="rect">
                      <a:avLst/>
                    </a:prstGeom>
                    <a:noFill/>
                  </pic:spPr>
                </pic:pic>
              </a:graphicData>
            </a:graphic>
          </wp:anchor>
        </w:drawing>
      </w:r>
    </w:p>
    <w:p>
      <w:pPr>
        <w:sectPr>
          <w:pgSz w:w="11900" w:h="16838" w:orient="portrait"/>
          <w:cols w:equalWidth="0" w:num="1">
            <w:col w:w="11240"/>
          </w:cols>
          <w:pgMar w:left="320" w:top="117" w:right="339" w:bottom="144" w:gutter="0" w:footer="0" w:header="0"/>
        </w:sectPr>
      </w:pPr>
    </w:p>
    <w:bookmarkStart w:id="64" w:name="page65"/>
    <w:bookmarkEnd w:id="64"/>
    <w:p>
      <w:pPr>
        <w:ind w:right="100" w:firstLine="644"/>
        <w:spacing w:after="0" w:line="286" w:lineRule="auto"/>
        <w:tabs>
          <w:tab w:leader="none" w:pos="9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Price. The exercise price per share of the Common Stock under this Warrant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right="40" w:firstLine="644"/>
        <w:spacing w:after="0" w:line="266" w:lineRule="auto"/>
        <w:tabs>
          <w:tab w:leader="none" w:pos="9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Exercise. In lieu of exercising this Warrant by delivering the aggregate Exercise Price by wire transfer or cashier’s check, at the election of the Holder this Warrant may also be exercised, in whole or in part, at such time by means of a “cashless exercise” in which the Holder shall be entitled to receive a number of Warrant Shares equal to the quotient obtained by dividing [(A-B) (X)] by (A), where:</w:t>
      </w:r>
    </w:p>
    <w:p>
      <w:pPr>
        <w:spacing w:after="0" w:line="175" w:lineRule="exact"/>
        <w:rPr>
          <w:rFonts w:ascii="Times New Roman" w:cs="Times New Roman" w:eastAsia="Times New Roman" w:hAnsi="Times New Roman"/>
          <w:sz w:val="18"/>
          <w:szCs w:val="18"/>
          <w:color w:val="auto"/>
        </w:rPr>
      </w:pPr>
    </w:p>
    <w:p>
      <w:pPr>
        <w:ind w:left="1020" w:right="20" w:hanging="322"/>
        <w:spacing w:after="0" w:line="253"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-2221865</wp:posOffset>
            </wp:positionV>
            <wp:extent cx="770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0890"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-1810385</wp:posOffset>
            </wp:positionV>
            <wp:extent cx="935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 the existing Exercise Price of this Warrant at the time of such exercise; and</w:t>
      </w:r>
    </w:p>
    <w:p>
      <w:pPr>
        <w:spacing w:after="0" w:line="225" w:lineRule="exact"/>
        <w:rPr>
          <w:sz w:val="20"/>
          <w:szCs w:val="20"/>
          <w:color w:val="auto"/>
        </w:rPr>
      </w:pPr>
    </w:p>
    <w:p>
      <w:pPr>
        <w:ind w:left="1220" w:hanging="576"/>
        <w:spacing w:after="0" w:line="282" w:lineRule="auto"/>
        <w:tabs>
          <w:tab w:leader="none" w:pos="9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Termination Date, if there is no effective Registration Statement registering, or no current prospectus available for, the resale of the Warrant Shares by the Holder, this Warrant shall be automatically exercised via cashless exercise pursuant to this Section 2(c).</w:t>
      </w:r>
    </w:p>
    <w:p>
      <w:pPr>
        <w:spacing w:after="0" w:line="162" w:lineRule="exact"/>
        <w:rPr>
          <w:sz w:val="20"/>
          <w:szCs w:val="20"/>
          <w:color w:val="auto"/>
        </w:rPr>
      </w:pPr>
    </w:p>
    <w:p>
      <w:pPr>
        <w:ind w:left="960" w:hanging="316"/>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hanging="330"/>
        <w:spacing w:after="0" w:line="251" w:lineRule="auto"/>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Warrant Shares purchased hereunder shall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one (1) Trading Day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If the Warrant Shares can be delivered via DWAC, the Transfer Agent shall have received from the Company, at the expense of the Company, any legal opinions or other documentation required by it to deliver such Warrant Shares without legend (subject to receipt by the Company of reasonable back up documentation from the Holder, including with respect to affiliate status) and, if applicable and requested by the Company prior to the Warrant Share Delivery Date, the Transfer Agent shall have received from the Holder a confirmation of sale of the Warrant Shares (provided the requirement of the Holder to provide a confirmation as to the sale of Warrant Shares shall not be applicable to the issuance of unlegended Warrant Shares upon a cashless exercise of this Warrant if the Warrant Shares are then eligible for resale pursuant to Rule 144(b)(1)). Upon delivery of the Notice of Exercise the Holder shall be deemed for all corporate purposes to have become the holder of record of the Warrant Shares with respect to which this Warrant has been exercised, irrespective of the date of delivery of the Warrant Shares; provided payment of the aggregate Exercise Price (other than in the case of a Cashless Exercise) is received within the earlier of (i) two Trading Days and (ii) the number of Trading Days comprising the Standard Settlement Period of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w:t>
      </w:r>
    </w:p>
    <w:p>
      <w:pPr>
        <w:spacing w:after="0" w:line="5" w:lineRule="exact"/>
        <w:rPr>
          <w:rFonts w:ascii="Times New Roman" w:cs="Times New Roman" w:eastAsia="Times New Roman" w:hAnsi="Times New Roman"/>
          <w:sz w:val="18"/>
          <w:szCs w:val="18"/>
          <w:color w:val="auto"/>
        </w:rPr>
      </w:pPr>
    </w:p>
    <w:p>
      <w:pPr>
        <w:ind w:left="146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81" w:lineRule="exact"/>
        <w:rPr>
          <w:rFonts w:ascii="Times New Roman" w:cs="Times New Roman" w:eastAsia="Times New Roman" w:hAnsi="Times New Roman"/>
          <w:sz w:val="18"/>
          <w:szCs w:val="18"/>
          <w:color w:val="auto"/>
        </w:rPr>
      </w:pPr>
    </w:p>
    <w:p>
      <w:pPr>
        <w:ind w:left="1460" w:right="40" w:firstLine="570"/>
        <w:spacing w:after="0" w:line="261" w:lineRule="auto"/>
        <w:tabs>
          <w:tab w:leader="none" w:pos="2361"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New Warrants Upon Exercise.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460" w:right="380" w:firstLine="642"/>
        <w:spacing w:after="0" w:line="266" w:lineRule="auto"/>
        <w:tabs>
          <w:tab w:leader="none" w:pos="2483"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Rescission Rights. If the Company fails to cause the Transfer Agent to transmit to the Holder the Warrant Shares pursuant to Section 2(d)(i) by the Warrant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ind w:left="1460" w:right="40" w:firstLine="642"/>
        <w:spacing w:after="0" w:line="258" w:lineRule="auto"/>
        <w:tabs>
          <w:tab w:leader="none" w:pos="2461"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Buy-In on Failure to Timely Deliver Warrant Shares Upon Exercise.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-1817370</wp:posOffset>
            </wp:positionV>
            <wp:extent cx="20243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24380" cy="889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-1131570</wp:posOffset>
            </wp:positionV>
            <wp:extent cx="9302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0275"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-582930</wp:posOffset>
            </wp:positionV>
            <wp:extent cx="40576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57650" cy="8255"/>
                    </a:xfrm>
                    <a:prstGeom prst="rect">
                      <a:avLst/>
                    </a:prstGeom>
                    <a:noFill/>
                  </pic:spPr>
                </pic:pic>
              </a:graphicData>
            </a:graphic>
          </wp:anchor>
        </w:drawing>
      </w:r>
    </w:p>
    <w:p>
      <w:pPr>
        <w:sectPr>
          <w:pgSz w:w="11900" w:h="16838" w:orient="portrait"/>
          <w:cols w:equalWidth="0" w:num="1">
            <w:col w:w="10580"/>
          </w:cols>
          <w:pgMar w:left="980" w:top="117" w:right="339" w:bottom="0" w:gutter="0" w:footer="0" w:header="0"/>
        </w:sectPr>
      </w:pPr>
    </w:p>
    <w:bookmarkStart w:id="65" w:name="page66"/>
    <w:bookmarkEnd w:id="65"/>
    <w:p>
      <w:pPr>
        <w:ind w:left="1000"/>
        <w:spacing w:after="0" w:line="252" w:lineRule="auto"/>
        <w:rPr>
          <w:sz w:val="20"/>
          <w:szCs w:val="20"/>
          <w:color w:val="auto"/>
        </w:rPr>
      </w:pPr>
      <w:r>
        <w:rPr>
          <w:rFonts w:ascii="Times New Roman" w:cs="Times New Roman" w:eastAsia="Times New Roman" w:hAnsi="Times New Roman"/>
          <w:sz w:val="18"/>
          <w:szCs w:val="18"/>
          <w:color w:val="auto"/>
        </w:rPr>
        <w:t>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5" w:lineRule="exact"/>
        <w:rPr>
          <w:sz w:val="20"/>
          <w:szCs w:val="20"/>
          <w:color w:val="auto"/>
        </w:rPr>
      </w:pPr>
    </w:p>
    <w:p>
      <w:pPr>
        <w:ind w:left="1000" w:right="20" w:firstLine="642"/>
        <w:spacing w:after="0" w:line="261" w:lineRule="auto"/>
        <w:tabs>
          <w:tab w:leader="none" w:pos="195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Scrip.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ind w:left="1000" w:right="60" w:firstLine="642"/>
        <w:spacing w:after="0" w:line="254" w:lineRule="auto"/>
        <w:tabs>
          <w:tab w:leader="none" w:pos="201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Taxes and Expenses.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000" w:right="120" w:firstLine="642"/>
        <w:spacing w:after="0" w:line="282" w:lineRule="auto"/>
        <w:tabs>
          <w:tab w:leader="none" w:pos="206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Books.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1000" w:right="120" w:firstLine="642"/>
        <w:spacing w:after="0" w:line="256" w:lineRule="auto"/>
        <w:tabs>
          <w:tab w:leader="none" w:pos="211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This Section 2 and the Notice of Exercise form attached hereto set forth the totality of the procedures required of the Holder in order to exercise this Warrant. Without limiting the preceding sentences, no ink-original exercise form shall be required, nor shall any medallion guarantee (or other type of guarantee or notarization) of any exercise form be required in order to exercise this Warrant. No additional legal opinion, other information or instructions shall be required of the Holder to exercise this Warrant. The Company shall honor exercises of this Warrant and shall deliver the Warrant Shares in accordance with the terms, conditions and time periods set forth herein.</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13"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Notwithstanding anything to the contrary contained herein,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Common Stock would or could be aggregated with the Holder’s for purposes of Section 13(d)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(or, upon election by the Holder prior to the issuance of any Warrants, 9.99%) of the number of shares of the Common Stock outstanding immediately after giving effect to the issuance of shares of Common Stock issuable upon exercise of this Warrant. The Holder, upon notice to the Company,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-7845425</wp:posOffset>
            </wp:positionV>
            <wp:extent cx="14719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71930" cy="8255"/>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-7159625</wp:posOffset>
            </wp:positionV>
            <wp:extent cx="14624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240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-5788025</wp:posOffset>
            </wp:positionV>
            <wp:extent cx="9137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1223645</wp:posOffset>
            </wp:positionH>
            <wp:positionV relativeFrom="paragraph">
              <wp:posOffset>-5376545</wp:posOffset>
            </wp:positionV>
            <wp:extent cx="5518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ectPr>
          <w:pgSz w:w="11900" w:h="16838" w:orient="portrait"/>
          <w:cols w:equalWidth="0" w:num="1">
            <w:col w:w="10120"/>
          </w:cols>
          <w:pgMar w:left="1440" w:top="121" w:right="339" w:bottom="0" w:gutter="0" w:footer="0" w:header="0"/>
        </w:sectPr>
      </w:pPr>
    </w:p>
    <w:bookmarkStart w:id="66" w:name="page67"/>
    <w:bookmarkEnd w:id="66"/>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w:t>
      </w:r>
    </w:p>
    <w:p>
      <w:pPr>
        <w:spacing w:after="0" w:line="1" w:lineRule="exact"/>
        <w:rPr>
          <w:sz w:val="20"/>
          <w:szCs w:val="20"/>
          <w:color w:val="auto"/>
        </w:rPr>
      </w:pPr>
    </w:p>
    <w:p>
      <w:pPr>
        <w:jc w:val="both"/>
        <w:ind w:left="640"/>
        <w:spacing w:after="0" w:line="234" w:lineRule="auto"/>
        <w:rPr>
          <w:sz w:val="20"/>
          <w:szCs w:val="20"/>
          <w:color w:val="auto"/>
        </w:rPr>
      </w:pPr>
      <w:r>
        <w:rPr>
          <w:rFonts w:ascii="Times New Roman" w:cs="Times New Roman" w:eastAsia="Times New Roman" w:hAnsi="Times New Roman"/>
          <w:sz w:val="18"/>
          <w:szCs w:val="18"/>
          <w:color w:val="auto"/>
        </w:rPr>
        <w:t>continue to apply. Any increase in the Beneficial Ownership Limitation will not be effective until the sixty 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The provisions of this paragraph shall not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644"/>
        <w:spacing w:after="0" w:line="220" w:lineRule="exact"/>
        <w:tabs>
          <w:tab w:leader="none" w:pos="9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and Stock Splits.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consolidation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w:t>
      </w:r>
    </w:p>
    <w:p>
      <w:pPr>
        <w:spacing w:after="0" w:line="179" w:lineRule="exact"/>
        <w:rPr>
          <w:rFonts w:ascii="Times New Roman" w:cs="Times New Roman" w:eastAsia="Times New Roman" w:hAnsi="Times New Roman"/>
          <w:sz w:val="18"/>
          <w:szCs w:val="18"/>
          <w:color w:val="auto"/>
        </w:rPr>
      </w:pPr>
    </w:p>
    <w:p>
      <w:pPr>
        <w:ind w:right="140" w:firstLine="644"/>
        <w:spacing w:after="0" w:line="253" w:lineRule="auto"/>
        <w:tabs>
          <w:tab w:leader="none" w:pos="9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Rights Offerings. In addition to any adjustments pursuant to Section 3(a) above, if at any time the Company grants, issues or sells any Common Stock Equivalents or rights to purchase shares,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9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Distributions.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rFonts w:ascii="Times New Roman" w:cs="Times New Roman" w:eastAsia="Times New Roman" w:hAnsi="Times New Roman"/>
          <w:sz w:val="18"/>
          <w:szCs w:val="18"/>
          <w:color w:val="auto"/>
        </w:rPr>
      </w:pPr>
    </w:p>
    <w:p>
      <w:pPr>
        <w:ind w:left="960" w:hanging="316"/>
        <w:spacing w:after="0" w:line="251"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Common Stock of the Company or greater than 50% of the voting power of the outstanding Common Stock of the Company, (iv) the Company, directly or indirectly, in one or more related transactions effects any reclassification, reorganization or recapitalization of the Common Stock or any compulsory share exchange pursuant to which the Common Stock are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(other than a stock split)) with another Person or group of Persons whereby such other Person or group acquires greater than 50% of the Common Stock of the Company or greater than 50% of the voting power of the outstanding common and preferred shares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-8661400</wp:posOffset>
            </wp:positionV>
            <wp:extent cx="1644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44015" cy="88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-6878320</wp:posOffset>
            </wp:positionV>
            <wp:extent cx="14325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32560"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-5095240</wp:posOffset>
            </wp:positionV>
            <wp:extent cx="1136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sectPr>
          <w:pgSz w:w="11900" w:h="16838" w:orient="portrait"/>
          <w:cols w:equalWidth="0" w:num="1">
            <w:col w:w="10580"/>
          </w:cols>
          <w:pgMar w:left="980" w:top="121" w:right="339" w:bottom="0" w:gutter="0" w:footer="0" w:header="0"/>
        </w:sectPr>
      </w:pPr>
    </w:p>
    <w:bookmarkStart w:id="67" w:name="page68"/>
    <w:bookmarkEnd w:id="67"/>
    <w:p>
      <w:pPr>
        <w:ind w:left="500" w:right="20"/>
        <w:spacing w:after="0" w:line="251" w:lineRule="auto"/>
        <w:rPr>
          <w:sz w:val="20"/>
          <w:szCs w:val="20"/>
          <w:color w:val="auto"/>
        </w:rPr>
      </w:pPr>
      <w:r>
        <w:rPr>
          <w:rFonts w:ascii="Times New Roman" w:cs="Times New Roman" w:eastAsia="Times New Roman" w:hAnsi="Times New Roman"/>
          <w:sz w:val="18"/>
          <w:szCs w:val="18"/>
          <w:color w:val="auto"/>
        </w:rPr>
        <w:t>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delivering to the Holder consideration having a value equal to the Black Scholes Value (as defined below) of the remaining unexercised portion of this Warrant on the date of the consummation, payable in the same type or form of consideration (and in the same proportion) that is being offered and paid to the holders of Common Stock in connection with the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provided, further, that if the Fundamental Transaction consists of the issuance of a number of shares of Common Stock of the Company greater than 50% of the Company’s outstanding Common Stock for an acquisition of another Person or group of Persons by the Company, the Holder shall not have the option to require the Company to purchase this Warrant pursuant to this section. “</w:t>
      </w:r>
      <w:r>
        <w:rPr>
          <w:rFonts w:ascii="Times New Roman" w:cs="Times New Roman" w:eastAsia="Times New Roman" w:hAnsi="Times New Roman"/>
          <w:sz w:val="18"/>
          <w:szCs w:val="18"/>
          <w:u w:val="single" w:color="auto"/>
          <w:color w:val="auto"/>
        </w:rPr>
        <w:t>Black Scholes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w:t>
      </w:r>
    </w:p>
    <w:p>
      <w:pPr>
        <w:spacing w:after="0" w:line="8" w:lineRule="exact"/>
        <w:rPr>
          <w:sz w:val="20"/>
          <w:szCs w:val="20"/>
          <w:color w:val="auto"/>
        </w:rPr>
      </w:pPr>
    </w:p>
    <w:p>
      <w:pPr>
        <w:ind w:left="500" w:firstLine="8"/>
        <w:spacing w:after="0" w:line="250" w:lineRule="auto"/>
        <w:tabs>
          <w:tab w:leader="none" w:pos="7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risk-free interest rate corresponding to the U.S. Treasury rate for a period equal to the time between the date of the consummation of the applicable Fundamental Transaction and the Termination Date, (B) an expected volatility equal to the 100 day volatility obtained from the HVT function on Bloomberg (determined utilizing a 365 day annualization factor) as of the consummation date of the Fundamental Transaction, (C) the underlying price per share used in such calculation shall be the price per share being offered in such Fundamental Transaction (D) a remaining option time equal to the time between the date of the consummation of the applicable Fundamental Transaction and the Termination Date, and (E) a zero cost of borrow. The settlement of the Black Scholes Value will be made within five (5) Trading Days of the Holder’s election (or, if later, on the effective date of the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the provisions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provided, however, that to the extent that the Holder’s right to participate in any such Fundamental Transaction Rights would result in the Holder and its Attribution Parties, collectively, beneficially owning in excess of the Beneficial Ownership Limitation of the Common Stock that would be issued and outstanding following receipt of such Fundamental Transaction Rights (such excess amount of Common Stock, the “Excess Fundamental Transaction Rights”),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Stock in excess of the Beneficial Ownership Limitation and (2) the Holder so certifies in writing to the Company and specifies the number of shares of Common Stock it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 subsequent Fundamental Transaction Rights to be held similarly in abeyance) to the same extent as if there had been no such limitation. For the avoidance of doubt, the Holder shall be entitled to the benefits of the provisions of this Section 3(d) regardless of (i) whether the Company has sufficient authorized Common Stock for the issuance of Warrant Shares and/or (ii) whether a Fundamental Transaction occurs prior to the date of exercise.</w:t>
      </w:r>
    </w:p>
    <w:p>
      <w:pPr>
        <w:spacing w:after="0" w:line="214"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Holder.</w:t>
      </w:r>
    </w:p>
    <w:p>
      <w:pPr>
        <w:spacing w:after="0" w:line="225" w:lineRule="exact"/>
        <w:rPr>
          <w:rFonts w:ascii="Times New Roman" w:cs="Times New Roman" w:eastAsia="Times New Roman" w:hAnsi="Times New Roman"/>
          <w:sz w:val="18"/>
          <w:szCs w:val="18"/>
          <w:color w:val="auto"/>
        </w:rPr>
      </w:pPr>
    </w:p>
    <w:p>
      <w:pPr>
        <w:ind w:left="840" w:right="140" w:firstLine="640"/>
        <w:spacing w:after="0" w:line="261" w:lineRule="auto"/>
        <w:tabs>
          <w:tab w:leader="none" w:pos="1753"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Exercise Price.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-1271270</wp:posOffset>
            </wp:positionV>
            <wp:extent cx="6851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16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-722630</wp:posOffset>
            </wp:positionV>
            <wp:extent cx="882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2015"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-448310</wp:posOffset>
            </wp:positionV>
            <wp:extent cx="14433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ectPr>
          <w:pgSz w:w="11900" w:h="16838" w:orient="portrait"/>
          <w:cols w:equalWidth="0" w:num="1">
            <w:col w:w="10120"/>
          </w:cols>
          <w:pgMar w:left="1440" w:top="121" w:right="339" w:bottom="0" w:gutter="0" w:footer="0" w:header="0"/>
        </w:sectPr>
      </w:pPr>
    </w:p>
    <w:bookmarkStart w:id="68" w:name="page69"/>
    <w:bookmarkEnd w:id="68"/>
    <w:p>
      <w:pPr>
        <w:ind w:left="1300" w:firstLine="640"/>
        <w:spacing w:after="0" w:line="251" w:lineRule="auto"/>
        <w:tabs>
          <w:tab w:leader="none" w:pos="22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Allow Exercise by Holder.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the Company of any class or of any rights, (D) the approval of any stockholders of the Company shall be required in connection with any reclassification of the Common Stock, any consolidation, merger, amalgamation or arrangement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a notice to the Holder at its last address as it shall appear upon the Warrant Register of the Company, at least five (5) Trading Days prior to the applicable record or effective date hereinafter specified,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amalgamation, arrangement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amalgamation, arrangement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-3037840</wp:posOffset>
            </wp:positionV>
            <wp:extent cx="17608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60855" cy="8255"/>
                    </a:xfrm>
                    <a:prstGeom prst="rect">
                      <a:avLst/>
                    </a:prstGeom>
                    <a:noFill/>
                  </pic:spPr>
                </pic:pic>
              </a:graphicData>
            </a:graphic>
          </wp:anchor>
        </w:drawing>
      </w:r>
    </w:p>
    <w:p>
      <w:pPr>
        <w:spacing w:after="0" w:line="18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44"/>
        <w:spacing w:after="0" w:line="253" w:lineRule="auto"/>
        <w:tabs>
          <w:tab w:leader="none" w:pos="9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ind w:right="60" w:firstLine="644"/>
        <w:spacing w:after="0" w:line="256" w:lineRule="auto"/>
        <w:tabs>
          <w:tab w:leader="none" w:pos="9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Warrants.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Register. The Company shall register this Warrant, upon records to be maintained by the Company for that purpose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-2613660</wp:posOffset>
            </wp:positionV>
            <wp:extent cx="786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86765" cy="88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-967740</wp:posOffset>
            </wp:positionV>
            <wp:extent cx="7683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0"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-7620</wp:posOffset>
            </wp:positionV>
            <wp:extent cx="8864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sz w:val="20"/>
          <w:szCs w:val="20"/>
          <w:color w:val="auto"/>
        </w:rPr>
      </w:pPr>
    </w:p>
    <w:p>
      <w:pPr>
        <w:ind w:right="300" w:firstLine="644"/>
        <w:spacing w:after="0" w:line="261" w:lineRule="auto"/>
        <w:tabs>
          <w:tab w:leader="none" w:pos="9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 by the Holder.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-448310</wp:posOffset>
            </wp:positionV>
            <wp:extent cx="14560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16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Grant of Right.</w:t>
      </w:r>
      <w:r>
        <w:rPr>
          <w:rFonts w:ascii="Times New Roman" w:cs="Times New Roman" w:eastAsia="Times New Roman" w:hAnsi="Times New Roman"/>
          <w:sz w:val="18"/>
          <w:szCs w:val="18"/>
          <w:color w:val="auto"/>
        </w:rPr>
        <w:t xml:space="preserve"> The Company, upon written demand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of the Holder(s) of at least 51% of the Warrants issued to the Placement Agent and its designees (“</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and such Warrants, the “</w:t>
      </w:r>
      <w:r>
        <w:rPr>
          <w:rFonts w:ascii="Times New Roman" w:cs="Times New Roman" w:eastAsia="Times New Roman" w:hAnsi="Times New Roman"/>
          <w:sz w:val="18"/>
          <w:szCs w:val="18"/>
          <w:u w:val="single" w:color="auto"/>
          <w:color w:val="auto"/>
        </w:rPr>
        <w:t>Placement Agent Warrants</w:t>
      </w:r>
      <w:r>
        <w:rPr>
          <w:rFonts w:ascii="Times New Roman" w:cs="Times New Roman" w:eastAsia="Times New Roman" w:hAnsi="Times New Roman"/>
          <w:sz w:val="18"/>
          <w:szCs w:val="18"/>
          <w:color w:val="auto"/>
        </w:rPr>
        <w:t>”), agrees to register, on one occasion, all or any portion of the shares of Common Stock underlying the Warrants (collectively,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such occasion, the Company will file a registration statement with the Commission covering the Registrable Securities within sixty (60) days after receipt of a Demand Notice and use its reasonable best efforts to have the registration statement declared effective promptly thereafter, subject to compliance with review by the Commission; provided, however, that the Company shall not be required to comply with a Demand Notice if the Company has filed a registration statement with respect to which the Holder is entitled to piggyback registration rights pursuant to Section 5.2 hereof and either: (i) the Holder has elected to participate in the offering covered by such registration statement or (ii) if such registration statement relates to an underwritten primary offering of securities of the Company, until the offering covered by such registration statement has been withdrawn or until thirty (30) days after such offering is consummated. The demand for registration may be made at any time during a period of four (4) years beginning on the Initial Exercise Date. The Company covenants and agrees to give written notice of its receipt of any Demand Notice by any Holder(s) to all other registered Holders of the Placement Agent Warrants and/or the Registrable Securities within ten (10) days after the date of the receipt of any such Demand Notice.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The Company shall bear all fees and expenses attendant to the registration of the Registrable Securities pursuant to Section 5.1.1, but the Holders shall pay any and all underwriting commissions and the expenses of any legal counsel selected by the Holders to represent them in connection with the sale of the Registrable Securities. The Company agrees to use its reasonable best efforts to cause the filing required herein to become effective promptly and to qualify or register the Registrable Securities in such States as are reasonably requested by the Holder(s); provided, however, that in no event shall the Company be required to register the Registrable Securities in a State in which such</w:t>
      </w:r>
    </w:p>
    <w:p>
      <w:pPr>
        <w:sectPr>
          <w:pgSz w:w="11900" w:h="16838" w:orient="portrait"/>
          <w:cols w:equalWidth="0" w:num="1">
            <w:col w:w="10580"/>
          </w:cols>
          <w:pgMar w:left="980" w:top="121" w:right="339" w:bottom="0" w:gutter="0" w:footer="0" w:header="0"/>
        </w:sectPr>
      </w:pPr>
    </w:p>
    <w:bookmarkStart w:id="69" w:name="page70"/>
    <w:bookmarkEnd w:id="69"/>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registration would cause: (i) the Company to be obligated to register or license to do business in such State or submit to general service of process in such State, or (ii) the principal shareholders of the Company to be obligated to escrow their shares of capital stock of the Company. The Company shall cause any registration statement filed pursuant to the demand right granted under Section 5.1.1 to remain effective for a period of at least twelve (12) consecutive months after the date that the Holders of the Registrable Securities covered by such registration statement are first given the opportunity to sell all of such securities. The Holders shall only use the prospectuses provided by the Company to sell the shares of Common Stock covered by such registration statement, and will immediately cease to use any prospectus furnished by the Company if the Company advises the Holder that such prospectus may no longer be used due to a material misstatement or omission. Notwithstanding the provisions of this Section 5.1.2, the Holder shall be entitled to a demand registration under this Section 5.1.2 on only one (1) occasion and such demand registration right shall terminate on the fifth anniversary of the date of the Placement Agency Agreement, dated September [●], 2026, between the Company and the Placement Agent (the “Placement Agency Agreement”) in accordance with FINRA Rules 5110(g)(8)(B) and FINRA Rule 5110(g)(8)(C).</w:t>
      </w:r>
    </w:p>
    <w:p>
      <w:pPr>
        <w:spacing w:after="0" w:line="192"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u w:val="single" w:color="auto"/>
          <w:color w:val="auto"/>
        </w:rPr>
        <w:t>5.2</w:t>
      </w:r>
      <w:r>
        <w:rPr>
          <w:sz w:val="20"/>
          <w:szCs w:val="20"/>
          <w:color w:val="auto"/>
        </w:rPr>
        <w:tab/>
      </w:r>
      <w:r>
        <w:rPr>
          <w:rFonts w:ascii="Times New Roman" w:cs="Times New Roman" w:eastAsia="Times New Roman" w:hAnsi="Times New Roman"/>
          <w:sz w:val="17"/>
          <w:szCs w:val="17"/>
          <w:u w:val="single" w:color="auto"/>
          <w:color w:val="auto"/>
        </w:rPr>
        <w:t>“Piggy-Back” Registration.</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Grant of Right</w:t>
      </w:r>
      <w:r>
        <w:rPr>
          <w:rFonts w:ascii="Times New Roman" w:cs="Times New Roman" w:eastAsia="Times New Roman" w:hAnsi="Times New Roman"/>
          <w:sz w:val="18"/>
          <w:szCs w:val="18"/>
          <w:color w:val="auto"/>
        </w:rPr>
        <w:t>. In addition to the demand right of registration described in Section 5.1 hereof, the Holder shall have the right, for a period of no more than two (2) years from the Initial Exercise Date in accordance with FINRA Rule 5110(g)(8)(D), to include the Registrable Securities as part of any other registration of securities filed by the Company (other than in connection with a transaction contemplated by Rule 145(a) promulgated under the Securities Act or pursuant to Form S-8 or any equivalent form); provided, however, that if, solely in connection with any primary underwritten public offering for the account of the Company, the managing underwriter(s) thereof shall, in its reasonable discretion, impose a limitation on the number of shares of Common Stock which may be included in the Registration Statement because, in such underwriter(s)’ judgment, marketing or other factors dictate such limitation is necessary to facilitate public distribution, then the Company shall be obligated to include in such Registration Statement only such limited portion of the Registrable Securities with respect to which the Holder requested inclusion hereunder as the underwriter shall reasonably permit. Any exclusion of Registrable Securities shall be made pro rata among the Holders seeking to include Registrable Securities in proportion to the number of Registrable Securities sought to be included by such Holders; provided, however, that the Company shall not exclude any Registrable Securities unless the Company has first excluded all outstanding securities, the holders of which are not entitled to inclusion of such securities in such Registration Statement or are not entitled to pro rata inclusion with the Registrable Securities.</w:t>
      </w:r>
    </w:p>
    <w:p>
      <w:pPr>
        <w:spacing w:after="0" w:line="187"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The Company shall bear all fees and expenses attendant to registering the Registrable Securities pursuant to Section 5.2.1 hereof, but the Holders shall pay any and all underwriting commissions and the expenses of any legal counsel selected by the Holders to represent them in connection with the sale of the Registrable Securities. In the event of such a proposed registration, the Company shall furnish the then Holders of outstanding Registrable Securities with not less than thirty (30) days written notice prior to the proposed date of filing of such registration statement. Such notice to the Holders shall continue to be given for each registration statement filed by the Company during the two</w:t>
      </w:r>
    </w:p>
    <w:p>
      <w:pPr>
        <w:spacing w:after="0" w:line="3" w:lineRule="exact"/>
        <w:rPr>
          <w:sz w:val="20"/>
          <w:szCs w:val="20"/>
          <w:color w:val="auto"/>
        </w:rPr>
      </w:pPr>
    </w:p>
    <w:p>
      <w:pPr>
        <w:jc w:val="both"/>
        <w:ind w:left="4" w:hanging="4"/>
        <w:spacing w:after="0" w:line="253" w:lineRule="auto"/>
        <w:tabs>
          <w:tab w:leader="none" w:pos="26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following the Initial Exercise Date until such time as all of the Registrable Securities have been sold by the Holder. The holders of the Registrable Securities shall exercise the “piggy-back” rights provided for herein by giving written notice within ten (10) days of the receipt of the Company’s notice of its intention to file a registration statement. Except as otherwise provided in this Warrant, there shall be no limit on the number of times the Holder may request registration under this Section 5.2.2; provided, however, that such registration rights shall terminate on the second anniversary of the Initial Exercise Date.</w:t>
      </w:r>
    </w:p>
    <w:p>
      <w:pPr>
        <w:spacing w:after="0" w:line="187" w:lineRule="exact"/>
        <w:rPr>
          <w:sz w:val="20"/>
          <w:szCs w:val="20"/>
          <w:color w:val="auto"/>
        </w:rPr>
      </w:pPr>
    </w:p>
    <w:p>
      <w:pPr>
        <w:ind w:left="4"/>
        <w:spacing w:after="0"/>
        <w:tabs>
          <w:tab w:leader="none" w:pos="604" w:val="left"/>
        </w:tabs>
        <w:rPr>
          <w:sz w:val="20"/>
          <w:szCs w:val="20"/>
          <w:color w:val="auto"/>
        </w:rPr>
      </w:pPr>
      <w:r>
        <w:rPr>
          <w:rFonts w:ascii="Times New Roman" w:cs="Times New Roman" w:eastAsia="Times New Roman" w:hAnsi="Times New Roman"/>
          <w:sz w:val="18"/>
          <w:szCs w:val="18"/>
          <w:u w:val="single" w:color="auto"/>
          <w:color w:val="auto"/>
        </w:rPr>
        <w:t>5.3</w:t>
      </w:r>
      <w:r>
        <w:rPr>
          <w:sz w:val="20"/>
          <w:szCs w:val="20"/>
          <w:color w:val="auto"/>
        </w:rPr>
        <w:tab/>
      </w:r>
      <w:r>
        <w:rPr>
          <w:rFonts w:ascii="Times New Roman" w:cs="Times New Roman" w:eastAsia="Times New Roman" w:hAnsi="Times New Roman"/>
          <w:sz w:val="17"/>
          <w:szCs w:val="17"/>
          <w:u w:val="single" w:color="auto"/>
          <w:color w:val="auto"/>
        </w:rPr>
        <w:t>General Terms</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shall indemnify the Holder(s) of the Registrable Securities to be sold pursuant to any registration statement hereunder and each person, if any, who controls such Holders within the meaning of Section 15 of the Securities Act or Section 20 (a) of the Exchange Act against all loss, claim, damage, expense or liability (including all reasonable attorneys’ fees and other expenses reasonably incurred in investigating, preparing or defending against any claim whatsoever) to which any of them may become subject under the Securities Act, the Exchange Act or otherwise, arising from such registration statement but only to the same extent and with the same effect as the provisions pursuant to which the Company has agreed to indemnify the Placement Agent contained in Section 8 of the Placement Agency Agreement. The Holder(s) of the Registrable Securities to be sold pursuant 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Securities Act, the Exchange Act or otherwise, arising from information furnished by or on behalf of such Holders, or their successors or assigns, in writing, for specific inclusion in such registration statement to the same extent and with the same effect as the foregoing provisions.</w:t>
      </w:r>
    </w:p>
    <w:p>
      <w:pPr>
        <w:spacing w:after="0" w:line="192"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 Nothing contained in this Warrant shall be construed as requiring the Holder(s) to exercise their Warrants prior to or after the initial filing of any registration statement or the effectiveness thereof.</w:t>
      </w:r>
    </w:p>
    <w:p>
      <w:pPr>
        <w:spacing w:after="0" w:line="162"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5.3.3 </w:t>
      </w:r>
      <w:r>
        <w:rPr>
          <w:rFonts w:ascii="Times New Roman" w:cs="Times New Roman" w:eastAsia="Times New Roman" w:hAnsi="Times New Roman"/>
          <w:sz w:val="18"/>
          <w:szCs w:val="18"/>
          <w:u w:val="single" w:color="auto"/>
          <w:color w:val="auto"/>
        </w:rPr>
        <w:t>Documents Delivered to Holders.</w:t>
      </w:r>
      <w:r>
        <w:rPr>
          <w:rFonts w:ascii="Times New Roman" w:cs="Times New Roman" w:eastAsia="Times New Roman" w:hAnsi="Times New Roman"/>
          <w:sz w:val="18"/>
          <w:szCs w:val="18"/>
          <w:color w:val="auto"/>
        </w:rPr>
        <w:t xml:space="preserve"> The Company shall furnish to each Holder participating in any of the foregoing offerings and to each underwriter of any such offering,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any underwriting agreement related thereto), and (ii) a “cold comfort” letter dated the effective date of such registration statement (and, if such registration includes an underwritten public offering, a letter dated the date of the closing under the underwriting agreement) signed by the independent registered public accounting firm which has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The Company shall also deliver promptly to each Holder participating in the offering requesting the correspondence and memoranda described below and to the managing underwriter, if any, copies of all correspondence between the Commission , relating to discussions with the Commission or its staff with respect to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furnish any internal memoranda, attorney work product, or materials subject to the attorney-client privilege and permit each Holder and underwriter to do such investigation, upon reasonable advance notice and during normal business hours, with respect to information contained in or omitted from the registration statement as it deems reasonably necessary to comply with applicable securities laws or rules of FINRA; provided that (a) such inspection shall not unreasonably interfere with the Company's business, (b) prior to receiving any non-public information, each recipient shall agree in writing to keep such information confidential and to comply with applicable securities laws regarding the use of material non-public information, and (c) the Company shall not be required to disclose any information that, in its reasonable judgment, would result in a loss of privilege or breach a confidentiality obligation to a third party. Such investigation shall include access to books, records and properties and</w:t>
      </w:r>
    </w:p>
    <w:p>
      <w:pPr>
        <w:sectPr>
          <w:pgSz w:w="11900" w:h="16838" w:orient="portrait"/>
          <w:cols w:equalWidth="0" w:num="1">
            <w:col w:w="10584"/>
          </w:cols>
          <w:pgMar w:left="976" w:top="121" w:right="339" w:bottom="0" w:gutter="0" w:footer="0" w:header="0"/>
        </w:sectPr>
      </w:pPr>
    </w:p>
    <w:bookmarkStart w:id="70" w:name="page71"/>
    <w:bookmarkEnd w:id="7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opportunities to discuss the business of the Company with its officers and independent auditors, all to such reasonable extent and at such reasonable times as any such Holder shall reasonably request.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5.3.4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The Company may enter into an underwriting agreement with the managing underwriter(s), if any, reasonably selected by any Holders whose Registrable Securities are being registered pursuant to this Section 5, subject to prior written consent of the Company (which consent shall not be unreasonably withheld, conditioned or delayed). Such agreement shall be reasonably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Registrable Securities and may, at their option, require that any or all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their Warrant Shares and their intended methods of distribution.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5.3.5 </w:t>
      </w:r>
      <w:r>
        <w:rPr>
          <w:rFonts w:ascii="Times New Roman" w:cs="Times New Roman" w:eastAsia="Times New Roman" w:hAnsi="Times New Roman"/>
          <w:sz w:val="18"/>
          <w:szCs w:val="18"/>
          <w:u w:val="single" w:color="auto"/>
          <w:color w:val="auto"/>
        </w:rPr>
        <w:t>Documents to be Delivered by Holder(s).</w:t>
      </w:r>
      <w:r>
        <w:rPr>
          <w:rFonts w:ascii="Times New Roman" w:cs="Times New Roman" w:eastAsia="Times New Roman" w:hAnsi="Times New Roman"/>
          <w:sz w:val="18"/>
          <w:szCs w:val="18"/>
          <w:color w:val="auto"/>
        </w:rPr>
        <w:t xml:space="preserve"> Each of the Holder(s) participating in any of the foregoing offerings shall furnish to the Company a completed and executed questionnaire provided by the Company requesting information customarily sought of selling security 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5.3.6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Should the registration or the effectiveness thereof required by Sections 5.1 and 5.2 hereof be delayed by the Company or the Company otherwise fails to comply with such provisions, the Holder(s) shall, in addition to any other legal or other relief available to the Holder(s), be entitled to obtain specific performance or other equitable (including injunctive) relief against the threatened breach of such provisions or the continuation of any such breach, without the necessity of proving actual damages and without the necessity of posting bond or other security.</w:t>
      </w:r>
    </w:p>
    <w:p>
      <w:pPr>
        <w:spacing w:after="0" w:line="39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80" w:firstLine="644"/>
        <w:spacing w:after="0" w:line="282" w:lineRule="auto"/>
        <w:tabs>
          <w:tab w:leader="none" w:pos="9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Rights as Stockholder Until Exercise. This Warrant does not entitle the Holder to any voting rights, dividends or other rights as a stockholder of the Company prior to the exercise hereof as set forth in Section 2(d)(i), except as expressly set forth in Section 3.</w:t>
      </w:r>
    </w:p>
    <w:p>
      <w:pPr>
        <w:spacing w:after="0" w:line="161" w:lineRule="exact"/>
        <w:rPr>
          <w:rFonts w:ascii="Times New Roman" w:cs="Times New Roman" w:eastAsia="Times New Roman" w:hAnsi="Times New Roman"/>
          <w:sz w:val="18"/>
          <w:szCs w:val="18"/>
          <w:color w:val="auto"/>
        </w:rPr>
      </w:pPr>
    </w:p>
    <w:p>
      <w:pPr>
        <w:ind w:right="100" w:firstLine="644"/>
        <w:spacing w:after="0" w:line="258" w:lineRule="auto"/>
        <w:tabs>
          <w:tab w:leader="none" w:pos="9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Theft, Destruction or Mutilation of Warrant.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180" w:firstLine="644"/>
        <w:spacing w:after="0" w:line="312" w:lineRule="auto"/>
        <w:tabs>
          <w:tab w:leader="none" w:pos="96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Saturdays, Sundays, Holidays, etc. If the last or appointed day for the taking of any action or the expiration of any right required or granted herein shall not be a Trading Day, then, such action may be taken or such right may be exercised on the next succeeding Trading Day.</w:t>
      </w:r>
    </w:p>
    <w:p>
      <w:pPr>
        <w:spacing w:after="0" w:line="139" w:lineRule="exact"/>
        <w:rPr>
          <w:rFonts w:ascii="Times New Roman" w:cs="Times New Roman" w:eastAsia="Times New Roman" w:hAnsi="Times New Roman"/>
          <w:sz w:val="17"/>
          <w:szCs w:val="17"/>
          <w:color w:val="auto"/>
        </w:rPr>
      </w:pPr>
    </w:p>
    <w:p>
      <w:pPr>
        <w:ind w:left="960" w:hanging="316"/>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-1653540</wp:posOffset>
            </wp:positionV>
            <wp:extent cx="1970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70405" cy="88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-1242060</wp:posOffset>
            </wp:positionV>
            <wp:extent cx="23768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7680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-419100</wp:posOffset>
            </wp:positionV>
            <wp:extent cx="16687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68780" cy="88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-7620</wp:posOffset>
            </wp:positionV>
            <wp:extent cx="9550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5040" cy="8890"/>
                    </a:xfrm>
                    <a:prstGeom prst="rect">
                      <a:avLst/>
                    </a:prstGeom>
                    <a:noFill/>
                  </pic:spPr>
                </pic:pic>
              </a:graphicData>
            </a:graphic>
          </wp:anchor>
        </w:drawing>
      </w:r>
    </w:p>
    <w:p>
      <w:pPr>
        <w:spacing w:after="0" w:line="20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or quoted for trading.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amalgamation, arrangement,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right="80" w:firstLine="644"/>
        <w:spacing w:after="0" w:line="261" w:lineRule="auto"/>
        <w:tabs>
          <w:tab w:leader="none" w:pos="9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w:t>
      </w:r>
    </w:p>
    <w:p>
      <w:pPr>
        <w:spacing w:after="0" w:line="179" w:lineRule="exact"/>
        <w:rPr>
          <w:rFonts w:ascii="Times New Roman" w:cs="Times New Roman" w:eastAsia="Times New Roman" w:hAnsi="Times New Roman"/>
          <w:sz w:val="18"/>
          <w:szCs w:val="18"/>
          <w:color w:val="auto"/>
        </w:rPr>
      </w:pPr>
    </w:p>
    <w:p>
      <w:pPr>
        <w:ind w:right="180" w:firstLine="644"/>
        <w:spacing w:after="0" w:line="282" w:lineRule="auto"/>
        <w:tabs>
          <w:tab w:leader="none" w:pos="9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The Holder acknowledges that the Warrant Shares acquired upon the exercise of this Warrant, if not registered and the Holder does not utilize cashless exercise, will have restrictions upon resale imposed by state and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-871220</wp:posOffset>
            </wp:positionV>
            <wp:extent cx="8343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343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-185420</wp:posOffset>
            </wp:positionV>
            <wp:extent cx="659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ectPr>
          <w:pgSz w:w="11900" w:h="16838" w:orient="portrait"/>
          <w:cols w:equalWidth="0" w:num="1">
            <w:col w:w="10580"/>
          </w:cols>
          <w:pgMar w:left="980" w:top="121" w:right="339" w:bottom="0" w:gutter="0" w:footer="0" w:header="0"/>
        </w:sectPr>
      </w:pPr>
    </w:p>
    <w:bookmarkStart w:id="71" w:name="page72"/>
    <w:bookmarkEnd w:id="71"/>
    <w:p>
      <w:pPr>
        <w:ind w:left="520" w:hanging="336"/>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As used herein, “$” refers to U.S. dollars</w:t>
      </w:r>
    </w:p>
    <w:p>
      <w:pPr>
        <w:spacing w:after="0" w:line="225" w:lineRule="exact"/>
        <w:rPr>
          <w:rFonts w:ascii="Times New Roman" w:cs="Times New Roman" w:eastAsia="Times New Roman" w:hAnsi="Times New Roman"/>
          <w:sz w:val="18"/>
          <w:szCs w:val="18"/>
          <w:color w:val="auto"/>
        </w:rPr>
      </w:pPr>
    </w:p>
    <w:p>
      <w:pPr>
        <w:ind w:left="-460" w:right="140" w:firstLine="644"/>
        <w:spacing w:after="0" w:line="256" w:lineRule="auto"/>
        <w:tabs>
          <w:tab w:leader="none" w:pos="5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Nonwaiver and Expenses.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right="80" w:firstLine="644"/>
        <w:spacing w:after="0" w:line="282" w:lineRule="auto"/>
        <w:tabs>
          <w:tab w:leader="none" w:pos="4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Any notice, request or other document required or permitted to be given or delivered to the Holder by the Company shall be delivered in accordance with the notice provisions of the Placement Agency Agreement.</w:t>
      </w:r>
    </w:p>
    <w:p>
      <w:pPr>
        <w:spacing w:after="0" w:line="161" w:lineRule="exact"/>
        <w:rPr>
          <w:rFonts w:ascii="Times New Roman" w:cs="Times New Roman" w:eastAsia="Times New Roman" w:hAnsi="Times New Roman"/>
          <w:sz w:val="18"/>
          <w:szCs w:val="18"/>
          <w:color w:val="auto"/>
        </w:rPr>
      </w:pPr>
    </w:p>
    <w:p>
      <w:pPr>
        <w:ind w:left="-460" w:right="60" w:firstLine="644"/>
        <w:spacing w:after="0" w:line="261" w:lineRule="auto"/>
        <w:tabs>
          <w:tab w:leader="none" w:pos="4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of Liability.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61" w:lineRule="auto"/>
        <w:tabs>
          <w:tab w:leader="none" w:pos="5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Subject to applicable securities laws and the conditions set forth in Section 4(d) hereof,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180" w:firstLine="644"/>
        <w:spacing w:after="0" w:line="282" w:lineRule="auto"/>
        <w:tabs>
          <w:tab w:leader="none" w:pos="5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left="-460" w:right="40" w:firstLine="644"/>
        <w:spacing w:after="0" w:line="289" w:lineRule="auto"/>
        <w:tabs>
          <w:tab w:leader="none" w:pos="51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Severability.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7" w:lineRule="exact"/>
        <w:rPr>
          <w:rFonts w:ascii="Times New Roman" w:cs="Times New Roman" w:eastAsia="Times New Roman" w:hAnsi="Times New Roman"/>
          <w:sz w:val="17"/>
          <w:szCs w:val="17"/>
          <w:color w:val="auto"/>
        </w:rPr>
      </w:pPr>
    </w:p>
    <w:p>
      <w:pPr>
        <w:ind w:left="-460" w:right="220" w:firstLine="644"/>
        <w:spacing w:after="0" w:line="282" w:lineRule="auto"/>
        <w:tabs>
          <w:tab w:leader="none" w:pos="5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jc w:val="both"/>
        <w:ind w:left="-460" w:right="140" w:firstLine="644"/>
        <w:spacing w:after="0" w:line="266" w:lineRule="auto"/>
        <w:tabs>
          <w:tab w:leader="none" w:pos="5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Expense Reimbursement. The Holder shall in no way be required to pay, or to reimburse the Company for, any fees or expenses of the Company’s Transfer Agent in connection with the issuance or holding or sale of the Common Stock, Warrants and/or Warrant Shares. The Company shall solely be responsible for any and all such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-5387975</wp:posOffset>
            </wp:positionV>
            <wp:extent cx="5607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70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-5113655</wp:posOffset>
            </wp:positionV>
            <wp:extent cx="12757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-4153535</wp:posOffset>
            </wp:positionV>
            <wp:extent cx="4629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-3742055</wp:posOffset>
            </wp:positionV>
            <wp:extent cx="1142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4236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-3056255</wp:posOffset>
            </wp:positionV>
            <wp:extent cx="5645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-2370455</wp:posOffset>
            </wp:positionV>
            <wp:extent cx="1199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99515" cy="8255"/>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-1684655</wp:posOffset>
            </wp:positionV>
            <wp:extent cx="6724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246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-1273175</wp:posOffset>
            </wp:positionV>
            <wp:extent cx="666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6115" cy="88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-724535</wp:posOffset>
            </wp:positionV>
            <wp:extent cx="5454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546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-313055</wp:posOffset>
            </wp:positionV>
            <wp:extent cx="14789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15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2" w:name="page73"/>
    <w:bookmarkEnd w:id="7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HYDROFARM HOLDINGS GROUP, INC.</w:t>
      </w:r>
    </w:p>
    <w:p>
      <w:pPr>
        <w:spacing w:after="0" w:line="229" w:lineRule="exact"/>
        <w:rPr>
          <w:sz w:val="20"/>
          <w:szCs w:val="20"/>
          <w:color w:val="auto"/>
        </w:rPr>
      </w:pPr>
    </w:p>
    <w:p>
      <w:pPr>
        <w:ind w:right="100" w:firstLine="1304"/>
        <w:spacing w:after="0" w:line="282" w:lineRule="auto"/>
        <w:tabs>
          <w:tab w:leader="none" w:pos="168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hanging="8"/>
        <w:spacing w:after="0" w:line="266" w:lineRule="auto"/>
        <w:tabs>
          <w:tab w:leader="none" w:pos="207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and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certificate of a certificate to:</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 not use this form to purchase shares.)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VALUE RECEIVED, [____] all of or [_______] shares of the foregoing Warrant and all rights evidenced thereby are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assigned to</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4637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pacing w:after="0" w:line="3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246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pacing w:after="0" w:line="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246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46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-7620</wp:posOffset>
            </wp:positionV>
            <wp:extent cx="6280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246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6318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3181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ectPr>
          <w:pgSz w:w="11900" w:h="16838" w:orient="portrait"/>
          <w:cols w:equalWidth="0" w:num="1">
            <w:col w:w="11240"/>
          </w:cols>
          <w:pgMar w:left="320" w:top="1197" w:right="339" w:bottom="1440" w:gutter="0" w:footer="0" w:header="0"/>
        </w:sectPr>
      </w:pPr>
    </w:p>
    <w:bookmarkStart w:id="74" w:name="page75"/>
    <w:bookmarkEnd w:id="74"/>
    <w:p>
      <w:pPr>
        <w:ind w:left="1040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UNITED STATES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FOR WHICH THIS SECURITY IS EXERCISABLE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w:t>
      </w:r>
    </w:p>
    <w:p>
      <w:pPr>
        <w:spacing w:after="0" w:line="2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Issue Date: __________, 2026</w:t>
      </w:r>
    </w:p>
    <w:p>
      <w:pPr>
        <w:spacing w:after="0" w:line="200" w:lineRule="exact"/>
        <w:rPr>
          <w:sz w:val="20"/>
          <w:szCs w:val="20"/>
          <w:color w:val="auto"/>
        </w:rPr>
      </w:pP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WARRANT TO PURCHASE COMMON STOCK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Stockholder Approval Date (as defined below)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time) on the date that is five and a half (5.5) years following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of Common Stock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as subject to adjustment hereunder. The purchase price of one Warrant Share under this Warrant shall be equal to the Exercise Price, as defined in Section 2(b).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herein, the following terms have the meanings indicated in this Section 1:</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FEAC Agent, LLC (as successor to JPMorgan Chase Bank, N.A.), in its capacities as administrative agent and collateral agent under the Credit Agreement.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Trading Market as reported by Bloomberg as of such time of determination, or, if the Trading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fair market value shall be determined pursuant to the provisions set forth in clause (d) of the definition of VWAP. All such determinations to be appropriately adjusted for any share dividend, share split, share consolidation, reclassification or other similar transaction during the applicable calculation period.</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common stock, par value $0.0001, of the Company, and any other class of securities into which such securities may hereafter be reclassified or changed.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its subsidiaries which would entitle the holder thereof to acquire at any time Common Stock, including, without limitation, any debt, preferred shares,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that certain Credit and Guaranty Agreement, dated as of October 25, 2021, as amended, restated, amended &amp; restated, supplemented or otherwise modified from time to time.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lender party to the Payoff Letter, and “Lenders” means all such lenders, collectively.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the Credit Agreement, the other Credit Documents (as defined in the Credit Agreement) and all guaranties, security agreements, mortgages, subordination agreements, intercreditor agreements, pledge agreements, deposit account control agreements, notes and other documents and instruments relating thereto.</w:t>
      </w:r>
    </w:p>
    <w:p>
      <w:pPr>
        <w:sectPr>
          <w:pgSz w:w="11900" w:h="16838" w:orient="portrait"/>
          <w:cols w:equalWidth="0" w:num="1">
            <w:col w:w="11240"/>
          </w:cols>
          <w:pgMar w:left="320" w:top="117" w:right="339" w:bottom="0" w:gutter="0" w:footer="0" w:header="0"/>
        </w:sectPr>
      </w:pPr>
    </w:p>
    <w:bookmarkStart w:id="75" w:name="page76"/>
    <w:bookmarkEnd w:id="75"/>
    <w:p>
      <w:pPr>
        <w:ind w:left="4"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“Lock-Up Expiration Date</w:t>
      </w:r>
      <w:r>
        <w:rPr>
          <w:rFonts w:ascii="Times New Roman" w:cs="Times New Roman" w:eastAsia="Times New Roman" w:hAnsi="Times New Roman"/>
          <w:sz w:val="18"/>
          <w:szCs w:val="18"/>
          <w:color w:val="auto"/>
        </w:rPr>
        <w:t>” means the later of (i) the date on which Stockholder Approval is obtained and (ii) the date that is 120 days after the effectiveness of the Offering Resale Registration Statement; provided, that in no event shall the Lock-Up Expiration Date be later than</w:t>
      </w:r>
    </w:p>
    <w:p>
      <w:pPr>
        <w:ind w:left="4" w:hanging="4"/>
        <w:spacing w:after="0" w:line="260" w:lineRule="auto"/>
        <w:tabs>
          <w:tab w:leader="none" w:pos="32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120 days after the shares of Common Stock, pre-funded warrants and warrants issued to the investors in the concurrent private placement of the Offering first become eligible for resale under Rule 144 under the Securities Act.</w:t>
      </w:r>
    </w:p>
    <w:p>
      <w:pPr>
        <w:spacing w:after="0" w:line="181"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means this Warrant or any Warrant Shares issued or issuable in respect thereof, and any securities issued in respect of any of the foregoing by way of stock dividend, stock split, recapitalization, reclassification, merger, consolidation or similar event.</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Company’s offering of shares of Common Stock, pre-funded warrants and common stock purchase warrants in a registered direct offering and concurrent private placement pursuant to the Securities Purchase Agreement, dated as of October [●], 2026, among the Company and the purchasers party thereto.</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“Offering Resale Registration Statement</w:t>
      </w:r>
      <w:r>
        <w:rPr>
          <w:rFonts w:ascii="Times New Roman" w:cs="Times New Roman" w:eastAsia="Times New Roman" w:hAnsi="Times New Roman"/>
          <w:sz w:val="18"/>
          <w:szCs w:val="18"/>
          <w:color w:val="auto"/>
        </w:rPr>
        <w:t>” means the registration statement covering the resale of all shares of Common Stock, and all shares of Common Stock underlying the pre-funded warrants and common stock purchase warrants, issued to the purchasers in the concurrent private placement of the Offering.</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means that certain payoff letter, dated as of October [•], 2026, together with the Exhibits and Annexes thereto, by and among the Company, the Agent and the Lenders, relating to the Loan Documents.</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or DRS statements evidencing the Warrants issued with a restrictive legend.</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the approval of the issuance of the Warrant Shares pursuant to the rules of the Nasdaq Stock Market.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the Company obtains the Stockholder Approval.</w:t>
      </w:r>
    </w:p>
    <w:p>
      <w:pPr>
        <w:spacing w:after="0" w:line="225"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required to set forth in Schedule 3.1(a) and shall, where applicable, also include any direct or indirect subsidiary of the Company formed or acquired after the date hereof.</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is open for trading.</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are listed or quoted for trading on the date in question: the OTCQB, OTCQX or Pink Open Market operated by OTC Markets Group,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Company, the current transfer agent of the Company, and any successor transfer agent of the Company.</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“United States” as that term is defined in Regulation S under the Securities Act.</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are then listed or quoted for trading on a Trading Market other than the OTCQB, OTCQX or Pink Open Market operated by OTC Markets Group, the daily volume weighted average price of the Common Stock for such date (or the nearest preceding date) on the Trading Market on which the Common Stock are then listed or quoted as reported by Bloomberg L.P. (based on a Trading Day from 9:30 a.m. (New York City time) to 4:02 p.m. (New York City time)), (b) if the Common Stock are then quoted for trading on the OTCQB or OTCQX operated by OTC Markets Group, the volume weighted average price of the Common Stock for such date (or the nearest preceding date) on OTCQB or OTCQX as applicable, (c) if the Common Stock is then quoted for trading on the Pink Open Market operated by OTC Markets Group (or a similar organization or agency succeeding to its functions of reporting prices), the most recent Bid Price per share of Common Stock reported on the Pink Open Market, or (d) in all other cases, the fair market value of one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the other warrants issued pursuant to the Payoff Letter.</w:t>
      </w:r>
    </w:p>
    <w:p>
      <w:pPr>
        <w:spacing w:after="0" w:line="200" w:lineRule="exact"/>
        <w:rPr>
          <w:sz w:val="20"/>
          <w:szCs w:val="20"/>
          <w:color w:val="auto"/>
        </w:rPr>
      </w:pPr>
    </w:p>
    <w:p>
      <w:pPr>
        <w:spacing w:after="0" w:line="241"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4" w:right="100" w:firstLine="640"/>
        <w:spacing w:after="0" w:line="274" w:lineRule="auto"/>
        <w:tabs>
          <w:tab w:leader="none" w:pos="137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of the purchase rights represented by this Warrant may be made, in whole or in part, at any time or times on or after the later of the Initial Exercise Date and the Stockholder Approval Date, and on or before the Termination Date by delivery to the Company of a duly executed facsimile copy (or e-mail attachment) of the Notice of Exercise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one (1) Trading Day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w:t>
      </w:r>
    </w:p>
    <w:p>
      <w:pPr>
        <w:sectPr>
          <w:pgSz w:w="11900" w:h="16838" w:orient="portrait"/>
          <w:cols w:equalWidth="0" w:num="1">
            <w:col w:w="10584"/>
          </w:cols>
          <w:pgMar w:left="976" w:top="121" w:right="339" w:bottom="0" w:gutter="0" w:footer="0" w:header="0"/>
        </w:sectPr>
      </w:pPr>
    </w:p>
    <w:bookmarkStart w:id="76" w:name="page77"/>
    <w:bookmarkEnd w:id="76"/>
    <w:p>
      <w:pPr>
        <w:ind w:left="1060" w:right="20"/>
        <w:spacing w:after="0" w:line="253" w:lineRule="auto"/>
        <w:rPr>
          <w:sz w:val="20"/>
          <w:szCs w:val="20"/>
          <w:color w:val="auto"/>
        </w:rPr>
      </w:pPr>
      <w:r>
        <w:rPr>
          <w:rFonts w:ascii="Times New Roman" w:cs="Times New Roman" w:eastAsia="Times New Roman" w:hAnsi="Times New Roman"/>
          <w:sz w:val="18"/>
          <w:szCs w:val="18"/>
          <w:color w:val="auto"/>
        </w:rPr>
        <w:t xml:space="preserve">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provisions of this paragraph, following the purchase of a portion of the Warrant Shares hereunder, the number of Warrant Shares available for purchase hereunder at any given time may be less than the amount stated on the face hereof.</w:t>
      </w:r>
    </w:p>
    <w:p>
      <w:pPr>
        <w:spacing w:after="0" w:line="192" w:lineRule="exact"/>
        <w:rPr>
          <w:sz w:val="20"/>
          <w:szCs w:val="20"/>
          <w:color w:val="auto"/>
        </w:rPr>
      </w:pPr>
    </w:p>
    <w:p>
      <w:pPr>
        <w:ind w:left="1060" w:right="620" w:firstLine="640"/>
        <w:spacing w:after="0" w:line="282" w:lineRule="auto"/>
        <w:tabs>
          <w:tab w:leader="none" w:pos="20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price per share of Common Stock under this Warrant shall be $____,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1060" w:firstLine="640"/>
        <w:spacing w:after="0" w:line="255" w:lineRule="auto"/>
        <w:tabs>
          <w:tab w:leader="none" w:pos="202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Exercise: This Warrant may be exercised, in whole or in part, by means of a “cashless exercise” only (i) if the registration statement covering the resale by the Holder of the Warrant Shares has not become effective by the date on which such registration statement is required to become effective under the Registration Rights Agreement by and among the Company and the Lenders referred to in Section 4(d)(vi), and only until such registration statement becomes effective, or (ii) following the effectiveness of such registration statement, during any period in which such registration statement is no longer effective, or the prospectus contained therein is not available for the resale by the Holder. In any such “cashless exercise,” the Holder shall be entitled to receive a number of Warrant Shares equal to the quotient obtained by dividing [(A-B)(X)]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-1539875</wp:posOffset>
            </wp:positionV>
            <wp:extent cx="770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08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-854075</wp:posOffset>
            </wp:positionV>
            <wp:extent cx="9359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385" w:lineRule="exact"/>
        <w:rPr>
          <w:sz w:val="20"/>
          <w:szCs w:val="20"/>
          <w:color w:val="auto"/>
        </w:rPr>
      </w:pPr>
    </w:p>
    <w:p>
      <w:pPr>
        <w:ind w:left="2180" w:hanging="480"/>
        <w:spacing w:after="0" w:line="253" w:lineRule="auto"/>
        <w:tabs>
          <w:tab w:leader="none" w:pos="19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within two (2) hours of the time of the Holder’s delivery of the Notice of Exercise if such Notice of Exercise is delivered during “regular trading hours” or within two (2) hours after the close of “regular trading hours” on a Trading Day pursuant to Section 2(a) hereof or (iii) the VWAP on the Trading Day immediately preceding the applicable Notice of Exercise if the date of such Notice of Exercise is a Trading Day and such Notice of Exercise is delivered pursuant to Section 2(a) hereof at least two (2) hours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1980" w:hanging="280"/>
        <w:spacing w:after="0"/>
        <w:tabs>
          <w:tab w:leader="none" w:pos="1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rFonts w:ascii="Times New Roman" w:cs="Times New Roman" w:eastAsia="Times New Roman" w:hAnsi="Times New Roman"/>
          <w:sz w:val="18"/>
          <w:szCs w:val="18"/>
          <w:color w:val="auto"/>
        </w:rPr>
      </w:pPr>
    </w:p>
    <w:p>
      <w:pPr>
        <w:ind w:left="2280" w:right="20" w:hanging="580"/>
        <w:spacing w:after="0" w:line="282" w:lineRule="auto"/>
        <w:tabs>
          <w:tab w:leader="none" w:pos="202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w:t>
      </w:r>
    </w:p>
    <w:p>
      <w:pPr>
        <w:spacing w:after="0" w:line="27" w:lineRule="exact"/>
        <w:rPr>
          <w:sz w:val="20"/>
          <w:szCs w:val="20"/>
          <w:color w:val="auto"/>
        </w:rPr>
      </w:pPr>
    </w:p>
    <w:p>
      <w:pPr>
        <w:jc w:val="both"/>
        <w:ind w:left="1060" w:hanging="8"/>
        <w:spacing w:after="0" w:line="255" w:lineRule="auto"/>
        <w:tabs>
          <w:tab w:leader="none" w:pos="13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162" w:lineRule="exact"/>
        <w:rPr>
          <w:sz w:val="20"/>
          <w:szCs w:val="20"/>
          <w:color w:val="auto"/>
        </w:rPr>
      </w:pPr>
    </w:p>
    <w:p>
      <w:pPr>
        <w:ind w:left="2020" w:hanging="320"/>
        <w:spacing w:after="0"/>
        <w:tabs>
          <w:tab w:leader="none" w:pos="20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of Exercise.</w:t>
      </w:r>
    </w:p>
    <w:p>
      <w:pPr>
        <w:spacing w:after="0" w:line="225" w:lineRule="exact"/>
        <w:rPr>
          <w:rFonts w:ascii="Times New Roman" w:cs="Times New Roman" w:eastAsia="Times New Roman" w:hAnsi="Times New Roman"/>
          <w:sz w:val="18"/>
          <w:szCs w:val="18"/>
          <w:color w:val="auto"/>
        </w:rPr>
      </w:pPr>
    </w:p>
    <w:p>
      <w:pPr>
        <w:ind w:left="1960" w:right="20" w:hanging="319"/>
        <w:spacing w:after="0" w:line="267" w:lineRule="auto"/>
        <w:tabs>
          <w:tab w:leader="none" w:pos="19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its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the Warrant Shares are eligible to be sold pursuant to Rule 144, and otherwise by physical delivery of a certificate or held electronically through the Company’s Transfer Agent,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If the Warrant Shares can be delivered via DWAC, the Transfer Agent shall have received from the Company, at the expense of the Company, any legal opinions or other documentation required by it to deliver such Warrant Shares without legend (subject to receipt by the Company of reasonable back up documentation from the Holder with respect to affiliate status) and, if applicable and requested by the Company prior to the Warrant Share Delivery Date. The Company hereby covenants and agrees with the Holder to cause its counsel to deliver such legal opinion to its Transfer Agent prior to the Warrant Share Delivery Date. The Warrant Shares shall be deemed to have been issued, and Holder or any other person so designated to be named therein shall be deemed for purposes of Regulation SHO to have become a holder of record of such shares for all purposes, as of the date the Warrant has been exercised, provided that payment to the Company of the Exercise Price (or by cashless exercise, if permitted) and all taxes required to be paid by the Holder, if any, pursuant to Section 2(d)(vi) is made prior to the issuance of such shares. If the Company fails for any reason to deliver to the Holder the Warrant Shares subject to a Notice of Exercise by the Trading Day following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-3326765</wp:posOffset>
            </wp:positionV>
            <wp:extent cx="11544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77" w:name="page78"/>
    <w:bookmarkEnd w:id="77"/>
    <w:p>
      <w:pPr>
        <w:ind w:left="840"/>
        <w:spacing w:after="0" w:line="312" w:lineRule="auto"/>
        <w:rPr>
          <w:sz w:val="20"/>
          <w:szCs w:val="20"/>
          <w:color w:val="auto"/>
        </w:rPr>
      </w:pPr>
      <w:r>
        <w:rPr>
          <w:rFonts w:ascii="Times New Roman" w:cs="Times New Roman" w:eastAsia="Times New Roman" w:hAnsi="Times New Roman"/>
          <w:sz w:val="17"/>
          <w:szCs w:val="17"/>
          <w:color w:val="auto"/>
        </w:rPr>
        <w:t>Share Delivery Date until such Warrant Shares are delivered or the Holder rescinds such exercise. The Company agrees to maintain a Transfer Agent that is a participant in the FAST program so long as this Warrant remains outstanding and exercisable.</w:t>
      </w:r>
    </w:p>
    <w:p>
      <w:pPr>
        <w:spacing w:after="0" w:line="140" w:lineRule="exact"/>
        <w:rPr>
          <w:sz w:val="20"/>
          <w:szCs w:val="20"/>
          <w:color w:val="auto"/>
        </w:rPr>
      </w:pPr>
    </w:p>
    <w:p>
      <w:pPr>
        <w:ind w:left="1220" w:right="80" w:firstLine="2618"/>
        <w:spacing w:after="0" w:line="258" w:lineRule="auto"/>
        <w:tabs>
          <w:tab w:leader="none" w:pos="4155"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New Warrants Upon Exercise.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3" w:lineRule="exact"/>
        <w:rPr>
          <w:rFonts w:ascii="Times New Roman" w:cs="Times New Roman" w:eastAsia="Times New Roman" w:hAnsi="Times New Roman"/>
          <w:sz w:val="18"/>
          <w:szCs w:val="18"/>
          <w:color w:val="auto"/>
        </w:rPr>
      </w:pPr>
    </w:p>
    <w:p>
      <w:pPr>
        <w:ind w:left="1220" w:right="40" w:firstLine="2438"/>
        <w:spacing w:after="0" w:line="255" w:lineRule="auto"/>
        <w:tabs>
          <w:tab w:leader="none" w:pos="402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Rescission Rights. If the Company fails to cause its Transfer Agent to deliver to the Holder the Warrant Shares pursuant to Section 2(d)(i) by the Warrant Share Delivery Date (for avoidance of doubt, other than any such failure that is due solely to any action or inaction by the Holder), then the Holder will have the right to rescind such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be required to return any Warrant Shares or Common Stock subject to any such rescinded Notice of Exercise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220" w:right="40" w:firstLine="2438"/>
        <w:spacing w:after="0" w:line="252" w:lineRule="auto"/>
        <w:tabs>
          <w:tab w:leader="none" w:pos="400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Compensation for Buy-In on Failure to Timely Deliver Warrant Shares Upon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In addition to any other rights available to the Holder, if the Company fails to cause its Transfer Agent to transmit to the Holder the Warrant Shares pursuant to an exercise on or before the Warrant Share Delivery Date, and if after such date the Holder is required by its broker to purchase (in an open market transaction or otherwise) or the Holder’s brokerage firm otherwise purchases,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Stock upon exercise of the Warrant as required pursuant to the terms hereof.</w:t>
      </w:r>
    </w:p>
    <w:p>
      <w:pPr>
        <w:spacing w:after="0" w:line="187" w:lineRule="exact"/>
        <w:rPr>
          <w:rFonts w:ascii="Times New Roman" w:cs="Times New Roman" w:eastAsia="Times New Roman" w:hAnsi="Times New Roman"/>
          <w:sz w:val="18"/>
          <w:szCs w:val="18"/>
          <w:color w:val="auto"/>
        </w:rPr>
      </w:pPr>
    </w:p>
    <w:p>
      <w:pPr>
        <w:jc w:val="both"/>
        <w:ind w:left="1220" w:right="40" w:firstLine="2600"/>
        <w:spacing w:after="0" w:line="281" w:lineRule="auto"/>
        <w:tabs>
          <w:tab w:leader="none" w:pos="411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Shares or Scrip.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-5532755</wp:posOffset>
            </wp:positionV>
            <wp:extent cx="20243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2438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-4709795</wp:posOffset>
            </wp:positionV>
            <wp:extent cx="9302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0275"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-3475355</wp:posOffset>
            </wp:positionV>
            <wp:extent cx="3635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35375" cy="825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-457835</wp:posOffset>
            </wp:positionV>
            <wp:extent cx="14719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71930" cy="8890"/>
                    </a:xfrm>
                    <a:prstGeom prst="rect">
                      <a:avLst/>
                    </a:prstGeom>
                    <a:noFill/>
                  </pic:spPr>
                </pic:pic>
              </a:graphicData>
            </a:graphic>
          </wp:anchor>
        </w:drawing>
      </w:r>
    </w:p>
    <w:p>
      <w:pPr>
        <w:spacing w:after="0" w:line="360" w:lineRule="exact"/>
        <w:rPr>
          <w:sz w:val="20"/>
          <w:szCs w:val="20"/>
          <w:color w:val="auto"/>
        </w:rPr>
      </w:pPr>
    </w:p>
    <w:p>
      <w:pPr>
        <w:ind w:left="1220" w:right="20" w:firstLine="2438"/>
        <w:spacing w:after="0" w:line="253" w:lineRule="auto"/>
        <w:tabs>
          <w:tab w:leader="none" w:pos="401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Taxes and Expenses.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4" w:lineRule="exact"/>
        <w:rPr>
          <w:rFonts w:ascii="Times New Roman" w:cs="Times New Roman" w:eastAsia="Times New Roman" w:hAnsi="Times New Roman"/>
          <w:sz w:val="18"/>
          <w:szCs w:val="18"/>
          <w:color w:val="auto"/>
        </w:rPr>
      </w:pPr>
    </w:p>
    <w:p>
      <w:pPr>
        <w:ind w:left="3960" w:hanging="410"/>
        <w:spacing w:after="0"/>
        <w:tabs>
          <w:tab w:leader="none" w:pos="3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Books. The Company will not close its stockholder books or records in</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-1664970</wp:posOffset>
            </wp:positionV>
            <wp:extent cx="14624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2405" cy="8255"/>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-156210</wp:posOffset>
            </wp:positionV>
            <wp:extent cx="91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20" w:right="20" w:firstLine="2402"/>
        <w:spacing w:after="0" w:line="255" w:lineRule="auto"/>
        <w:tabs>
          <w:tab w:leader="none" w:pos="407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This Section 2 and the exercise form attached hereto set forth the totality of the procedures required of the Holder in order to exercise this Warrant. Without limiting the preceding sentences, no ink-original exercise form shall be required, nor shall any medallion guarantee (or other type of guarantee or notarization) of any exercise form be required in order to exercise this Warrant. No additional legal opinion, other information or instructions shall be required of the Holder to exercise this Warrant. The Company shall honor exercises of this Warrant and shall deliver Warrant Shares underlying this Warrant in accordance with the terms, conditions and time periods set forth herein.</w:t>
      </w:r>
    </w:p>
    <w:p>
      <w:pPr>
        <w:spacing w:after="0" w:line="188" w:lineRule="exact"/>
        <w:rPr>
          <w:rFonts w:ascii="Times New Roman" w:cs="Times New Roman" w:eastAsia="Times New Roman" w:hAnsi="Times New Roman"/>
          <w:sz w:val="18"/>
          <w:szCs w:val="18"/>
          <w:color w:val="auto"/>
        </w:rPr>
      </w:pPr>
    </w:p>
    <w:p>
      <w:pPr>
        <w:ind w:left="-60" w:right="180" w:firstLine="640"/>
        <w:spacing w:after="0" w:line="255" w:lineRule="auto"/>
        <w:tabs>
          <w:tab w:leader="none" w:pos="90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Exercise Limitations. Notwithstanding anything to the contrary contained herein,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Common Stock would or could be aggregated with the Holder’s for purposes of Section 13(d)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-1951355</wp:posOffset>
            </wp:positionV>
            <wp:extent cx="5518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1815" cy="8890"/>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-854075</wp:posOffset>
            </wp:positionV>
            <wp:extent cx="1546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6225" cy="8255"/>
                    </a:xfrm>
                    <a:prstGeom prst="rect">
                      <a:avLst/>
                    </a:prstGeom>
                    <a:noFill/>
                  </pic:spPr>
                </pic:pic>
              </a:graphicData>
            </a:graphic>
          </wp:anchor>
        </w:drawing>
      </w:r>
    </w:p>
    <w:p>
      <w:pPr>
        <w:sectPr>
          <w:pgSz w:w="11900" w:h="16838" w:orient="portrait"/>
          <w:cols w:equalWidth="0" w:num="1">
            <w:col w:w="10120"/>
          </w:cols>
          <w:pgMar w:left="1440" w:top="121" w:right="339" w:bottom="0" w:gutter="0" w:footer="0" w:header="0"/>
        </w:sectPr>
      </w:pPr>
    </w:p>
    <w:bookmarkStart w:id="78" w:name="page79"/>
    <w:bookmarkEnd w:id="78"/>
    <w:p>
      <w:pPr>
        <w:ind w:left="998" w:right="40"/>
        <w:spacing w:after="0" w:line="251" w:lineRule="auto"/>
        <w:rPr>
          <w:sz w:val="20"/>
          <w:szCs w:val="20"/>
          <w:color w:val="auto"/>
        </w:rPr>
      </w:pPr>
      <w:r>
        <w:rPr>
          <w:rFonts w:ascii="Times New Roman" w:cs="Times New Roman" w:eastAsia="Times New Roman" w:hAnsi="Times New Roman"/>
          <w:sz w:val="18"/>
          <w:szCs w:val="18"/>
          <w:color w:val="auto"/>
        </w:rPr>
        <w:t>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shall be deemed to represent to the Company each time it delivers a Notice of Exercise that such Notice of Exercise has not violated the restrictions set forth in this paragraph and, provided that the Company has complied with its obligations under this Warrant (including Section 3(f)(i)),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w:t>
      </w:r>
    </w:p>
    <w:p>
      <w:pPr>
        <w:spacing w:after="0" w:line="9" w:lineRule="exact"/>
        <w:rPr>
          <w:sz w:val="20"/>
          <w:szCs w:val="20"/>
          <w:color w:val="auto"/>
        </w:rPr>
      </w:pPr>
    </w:p>
    <w:p>
      <w:pPr>
        <w:ind w:left="998" w:hanging="8"/>
        <w:spacing w:after="0" w:line="265" w:lineRule="auto"/>
        <w:tabs>
          <w:tab w:leader="none" w:pos="129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written or oral request of a Holder, the Company shall within one (1) Trading Day confirm orally and in writing to the Holder the number of shares of Common Stock then outstanding and the current Exercise Price.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of the number of shares of Common Stock outstanding immediately after giving effect to the issuance of Common Stock issuable upon exercise of this Warrant. Notwithstanding the foregoing, the Holder, upon written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Common Stock upon exercise of this Warrant held by the Holder and the provisions of this Section 2(e) shall continue to apply. Any increase in the Beneficial Ownership Limitation will not be</w:t>
      </w:r>
    </w:p>
    <w:p>
      <w:pPr>
        <w:spacing w:after="0" w:line="2" w:lineRule="exact"/>
        <w:rPr>
          <w:sz w:val="20"/>
          <w:szCs w:val="20"/>
          <w:color w:val="auto"/>
        </w:rPr>
      </w:pPr>
    </w:p>
    <w:p>
      <w:pPr>
        <w:ind w:left="998" w:right="40"/>
        <w:spacing w:after="0" w:line="257" w:lineRule="auto"/>
        <w:rPr>
          <w:sz w:val="20"/>
          <w:szCs w:val="20"/>
          <w:color w:val="auto"/>
        </w:rPr>
      </w:pPr>
      <w:r>
        <w:rPr>
          <w:rFonts w:ascii="Times New Roman" w:cs="Times New Roman" w:eastAsia="Times New Roman" w:hAnsi="Times New Roman"/>
          <w:sz w:val="17"/>
          <w:szCs w:val="17"/>
          <w:color w:val="auto"/>
        </w:rPr>
        <w:t>effective until the sixty first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day after such notice is delivered to the Company. In the event that the issuance of Common Stock to a Holder upon exercise of this Warrant results in the Holder, together with any of its Affiliates and Attribution Parties, collectively being deemed to beneficially own, in the aggregate, more than the Beneficial Ownership Limitation, the number of shares so issued by which the aggregate beneficial ownership of the Holder, together with any of its Affiliates and Attribution Parties, exceeds such limitation (the “</w:t>
      </w:r>
      <w:r>
        <w:rPr>
          <w:rFonts w:ascii="Times New Roman" w:cs="Times New Roman" w:eastAsia="Times New Roman" w:hAnsi="Times New Roman"/>
          <w:sz w:val="17"/>
          <w:szCs w:val="17"/>
          <w:u w:val="single" w:color="auto"/>
          <w:color w:val="auto"/>
        </w:rPr>
        <w:t>Excess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shall be deemed to be null and void and shall be cancelled ab initio, and none of the Holder, its Affiliates or its Attribution Parties shall have the power to vote or to transfer the Excess Shares. As soon as reasonably practicable after the issuance of the Excess Shares has been deemed null and void, the Company shall return to the Holder the exercise price paid by the Holder for the Excess Shares (including by crediting the number of shares underlying this Warrant in the case of a cashless exercise) and the Holder shall return the Excess Shares to the Company. For the avoidance of doubt, such Excess Shares shall not be forfeited by the Holder but shall instead be returned to their status as unexercised shares underlying this Warrant. The provisions of this paragraph shall not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9" w:lineRule="exact"/>
        <w:rPr>
          <w:sz w:val="20"/>
          <w:szCs w:val="20"/>
          <w:color w:val="auto"/>
        </w:rPr>
      </w:pPr>
    </w:p>
    <w:p>
      <w:pPr>
        <w:ind w:left="998"/>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318" w:right="40" w:hanging="318"/>
        <w:spacing w:after="0" w:line="252" w:lineRule="auto"/>
        <w:tabs>
          <w:tab w:leader="none" w:pos="3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its Common Stock or any other equity or equity equivalent securities payable in Common Stock (which, for avoidance of doubt, shall not include any Common Stock issued by the Company upon exercise of this Warrant), (ii) subdivides outstanding Common Stock into a larger number of shares, (iii) combines (including by way of consolidation or reverse stock split) outstanding Common Stock into a smaller number of shares, or (iv) issues by reclassification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For the purposes of clarification, the Exercise Price of this Warrant will not be adjusted in the event that the Company or any Subsidiary thereof, as applicable, sells or grants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w:t>
      </w:r>
    </w:p>
    <w:p>
      <w:pPr>
        <w:spacing w:after="0" w:line="197" w:lineRule="exact"/>
        <w:rPr>
          <w:rFonts w:ascii="Times New Roman" w:cs="Times New Roman" w:eastAsia="Times New Roman" w:hAnsi="Times New Roman"/>
          <w:sz w:val="18"/>
          <w:szCs w:val="18"/>
          <w:color w:val="auto"/>
        </w:rPr>
      </w:pPr>
    </w:p>
    <w:p>
      <w:pPr>
        <w:ind w:left="318" w:right="20" w:hanging="318"/>
        <w:spacing w:after="0" w:line="253" w:lineRule="auto"/>
        <w:tabs>
          <w:tab w:leader="none" w:pos="3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shares, warrants, securities or other property pro rata to the record holders of any class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ectPr>
          <w:pgSz w:w="11900" w:h="16838" w:orient="portrait"/>
          <w:cols w:equalWidth="0" w:num="1">
            <w:col w:w="11178"/>
          </w:cols>
          <w:pgMar w:left="382" w:top="121" w:right="339" w:bottom="0" w:gutter="0" w:footer="0" w:header="0"/>
        </w:sectPr>
      </w:pPr>
    </w:p>
    <w:bookmarkStart w:id="79" w:name="page80"/>
    <w:bookmarkEnd w:id="79"/>
    <w:p>
      <w:pPr>
        <w:ind w:left="318" w:right="60" w:hanging="318"/>
        <w:spacing w:after="0" w:line="252" w:lineRule="auto"/>
        <w:tabs>
          <w:tab w:leader="none" w:pos="3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7" w:lineRule="exact"/>
        <w:rPr>
          <w:rFonts w:ascii="Times New Roman" w:cs="Times New Roman" w:eastAsia="Times New Roman" w:hAnsi="Times New Roman"/>
          <w:sz w:val="18"/>
          <w:szCs w:val="18"/>
          <w:color w:val="auto"/>
        </w:rPr>
      </w:pPr>
    </w:p>
    <w:p>
      <w:pPr>
        <w:ind w:left="318" w:hanging="318"/>
        <w:spacing w:after="0" w:line="266" w:lineRule="auto"/>
        <w:tabs>
          <w:tab w:leader="none" w:pos="31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Common Stock of the Company or greater than 50% of the voting power of the outstanding common and preferred shares of the Company, (iv) the Company, directly or indirectly, in one or more related transactions effects any reclassification, reorganization or recapitalization of the Common Stock or any compulsory share exchange pursuant to which the Common Stock are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(other than a stock split)) with another Person or group of Persons whereby such other Person or group acquires greater than 50% of the Common Stock of the Company or greater than 50% of the voting power of the outstanding common and preferred shares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delivering to the Holder consideration equal to the Black Scholes Value (as defined below) of the remaining unexercised portion of this Warrant on the date of the consummation, payable in the same type or form of consideration (and in the same proportion) that is being offered and paid to the holders of Common Stock in connection with the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provided, further, that if the Fundamental Transaction consists of the issuance of a number of shares of Common Stock of the Company greater than 50% of the Company’s outstanding Common Stock for an acquisition of another Person or group of Persons by the Company, the Holder shall not have the option to require the Company to purchase this Warrant pursuant to this section.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consummation of the applicable Fundamental Transaction and the Termination Date, (B) an expected volatility equal to the 100 day volatility obtained from the HVT function on Bloomberg (determined utilizing a 365 day annualization factor) as of the consummation date of the Fundamental Transaction, (C) the underlying price per share used in such calculation shall be the price per share being offered in such Fundamental Transaction (D) a remaining option time equal to the time between the date of the consummation of the applicable Fundamental Transaction and the Termination Date, and (E) a zero cost of borrow. The payment of the Black Scholes Value will be made by wire transfer of immediately available funds within five (5) Trading Days of the Holder’s election (or, if later, on the effective date of the Fundamental Transaction), to the extent payable in cash.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the provisions of this Warrant referring to the “Company” shall refer instead to each of the Company and the Successor Entity, or Successor Entities, jointly and severally), and the Successor Entity or Successor Entities, jointly and severally with the Company,</w:t>
      </w:r>
    </w:p>
    <w:p>
      <w:pPr>
        <w:sectPr>
          <w:pgSz w:w="11900" w:h="16838" w:orient="portrait"/>
          <w:cols w:equalWidth="0" w:num="1">
            <w:col w:w="11178"/>
          </w:cols>
          <w:pgMar w:left="382" w:top="121" w:right="339" w:bottom="346" w:gutter="0" w:footer="0" w:header="0"/>
        </w:sectPr>
      </w:pPr>
    </w:p>
    <w:bookmarkStart w:id="80" w:name="page81"/>
    <w:bookmarkEnd w:id="80"/>
    <w:p>
      <w:pPr>
        <w:ind w:left="318" w:right="40"/>
        <w:spacing w:after="0" w:line="266" w:lineRule="auto"/>
        <w:rPr>
          <w:sz w:val="20"/>
          <w:szCs w:val="20"/>
          <w:color w:val="auto"/>
        </w:rPr>
      </w:pPr>
      <w:r>
        <w:rPr>
          <w:rFonts w:ascii="Times New Roman" w:cs="Times New Roman" w:eastAsia="Times New Roman" w:hAnsi="Times New Roman"/>
          <w:sz w:val="18"/>
          <w:szCs w:val="18"/>
          <w:color w:val="auto"/>
        </w:rPr>
        <w:t>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392" w:lineRule="exact"/>
        <w:rPr>
          <w:sz w:val="20"/>
          <w:szCs w:val="20"/>
          <w:color w:val="auto"/>
        </w:rPr>
      </w:pPr>
    </w:p>
    <w:p>
      <w:pPr>
        <w:ind w:left="318" w:right="60" w:hanging="318"/>
        <w:spacing w:after="0" w:line="266" w:lineRule="auto"/>
        <w:tabs>
          <w:tab w:leader="none" w:pos="3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1958" w:hanging="325"/>
        <w:spacing w:after="0"/>
        <w:tabs>
          <w:tab w:leader="none" w:pos="195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278" w:right="100" w:firstLine="2780"/>
        <w:spacing w:after="0" w:line="261" w:lineRule="auto"/>
        <w:tabs>
          <w:tab w:leader="none" w:pos="5315"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Exercise Price.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395" w:lineRule="exact"/>
        <w:rPr>
          <w:rFonts w:ascii="Times New Roman" w:cs="Times New Roman" w:eastAsia="Times New Roman" w:hAnsi="Times New Roman"/>
          <w:sz w:val="18"/>
          <w:szCs w:val="18"/>
          <w:color w:val="auto"/>
        </w:rPr>
      </w:pPr>
    </w:p>
    <w:p>
      <w:pPr>
        <w:ind w:left="5378" w:hanging="320"/>
        <w:spacing w:after="0"/>
        <w:tabs>
          <w:tab w:leader="none" w:pos="5378"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Allow Exercise by Holder. If (A) the Company shall declare a</w:t>
      </w:r>
    </w:p>
    <w:p>
      <w:pPr>
        <w:spacing w:after="0" w:line="27" w:lineRule="exact"/>
        <w:rPr>
          <w:rFonts w:ascii="Times New Roman" w:cs="Times New Roman" w:eastAsia="Times New Roman" w:hAnsi="Times New Roman"/>
          <w:sz w:val="18"/>
          <w:szCs w:val="18"/>
          <w:color w:val="auto"/>
        </w:rPr>
      </w:pPr>
    </w:p>
    <w:p>
      <w:pPr>
        <w:ind w:left="227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the Company of any class or of any rights, (D) the approval of any stockholders of the Company shall be required in connection with any reclassification of the Common Stock, any consolidation, merger, amalgamation or arrangement to which the Company is a party, any sale or transfer of all or substantially all of the assets of the Company, or any compulsory share exchange whereby the Common Stock are converted into other securities, cash or property, or (E) the Company shall authorize the voluntary or involuntary dissolution, liquidation or winding up of the affairs of the Company, then, in each case, the Company shall cause to be delivered by facsimile or email a notice to the Holder at its last address as it shall appear upon the Warrant Register of the Company, at least twenty (20) calendar days prior to the applicable record or effective date hereinafter specified,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amalgamation, arrangement, sale, transfer or share exchange is expected to become effective or close, and the date as of which it is expected that holders of the Common Stock of record shall be entitled to exchange their Common Stock for securities, cash or other property deliverable upon such reclassification, consolidation, merger, amalgamation, arrangement,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-3996690</wp:posOffset>
            </wp:positionV>
            <wp:extent cx="14433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43355"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-3173730</wp:posOffset>
            </wp:positionV>
            <wp:extent cx="17608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608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18" w:right="60" w:hanging="318"/>
        <w:spacing w:after="0" w:line="266" w:lineRule="auto"/>
        <w:tabs>
          <w:tab w:leader="none" w:pos="3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on which the Common Stock is then listed, the Company may at any time during the term of this Warrant, subject to the prior written consent of the Holder, reduce the then-current Exercise Price to any amount and for any period of time deemed appropriate by the board of directors of the Company.</w:t>
      </w:r>
    </w:p>
    <w:p>
      <w:pPr>
        <w:spacing w:after="0" w:line="176" w:lineRule="exact"/>
        <w:rPr>
          <w:sz w:val="20"/>
          <w:szCs w:val="20"/>
          <w:color w:val="auto"/>
        </w:rPr>
      </w:pPr>
    </w:p>
    <w:p>
      <w:pPr>
        <w:ind w:left="998"/>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998" w:right="80" w:firstLine="658"/>
        <w:spacing w:after="0" w:line="253" w:lineRule="auto"/>
        <w:tabs>
          <w:tab w:leader="none" w:pos="196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ind w:left="998" w:right="140" w:firstLine="640"/>
        <w:spacing w:after="0" w:line="256" w:lineRule="auto"/>
        <w:tabs>
          <w:tab w:leader="none" w:pos="197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Warrants.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left="998" w:right="40" w:firstLine="640"/>
        <w:spacing w:after="0" w:line="261" w:lineRule="auto"/>
        <w:tabs>
          <w:tab w:leader="none" w:pos="196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Register.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ind w:left="1958" w:hanging="320"/>
        <w:spacing w:after="0"/>
        <w:tabs>
          <w:tab w:leader="none" w:pos="195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-3299460</wp:posOffset>
            </wp:positionV>
            <wp:extent cx="786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86765" cy="8890"/>
                    </a:xfrm>
                    <a:prstGeom prst="rect">
                      <a:avLst/>
                    </a:prstGeom>
                    <a:noFill/>
                  </pic:spPr>
                </pic:pic>
              </a:graphicData>
            </a:graphic>
          </wp:anchor>
        </w:drawing>
        <w:drawing>
          <wp:anchor simplePos="0" relativeHeight="251657728" behindDoc="1" locked="0" layoutInCell="0" allowOverlap="1">
            <wp:simplePos x="0" y="0"/>
            <wp:positionH relativeFrom="column">
              <wp:posOffset>1135380</wp:posOffset>
            </wp:positionH>
            <wp:positionV relativeFrom="paragraph">
              <wp:posOffset>-1653540</wp:posOffset>
            </wp:positionV>
            <wp:extent cx="7683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0" cy="889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-693420</wp:posOffset>
            </wp:positionV>
            <wp:extent cx="8864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6460" cy="8890"/>
                    </a:xfrm>
                    <a:prstGeom prst="rect">
                      <a:avLst/>
                    </a:prstGeom>
                    <a:noFill/>
                  </pic:spPr>
                </pic:pic>
              </a:graphicData>
            </a:graphic>
          </wp:anchor>
        </w:drawing>
        <w:drawing>
          <wp:anchor simplePos="0" relativeHeight="251657728" behindDoc="1" locked="0" layoutInCell="0" allowOverlap="1">
            <wp:simplePos x="0" y="0"/>
            <wp:positionH relativeFrom="column">
              <wp:posOffset>1135380</wp:posOffset>
            </wp:positionH>
            <wp:positionV relativeFrom="paragraph">
              <wp:posOffset>-7620</wp:posOffset>
            </wp:positionV>
            <wp:extent cx="526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ectPr>
          <w:pgSz w:w="11900" w:h="16838" w:orient="portrait"/>
          <w:cols w:equalWidth="0" w:num="1">
            <w:col w:w="11178"/>
          </w:cols>
          <w:pgMar w:left="382" w:top="121" w:right="339" w:bottom="0" w:gutter="0" w:footer="0" w:header="0"/>
        </w:sectPr>
      </w:pPr>
    </w:p>
    <w:bookmarkStart w:id="81" w:name="page82"/>
    <w:bookmarkEnd w:id="81"/>
    <w:p>
      <w:pPr>
        <w:ind w:left="2100" w:right="100" w:hanging="331"/>
        <w:spacing w:after="0" w:line="258" w:lineRule="auto"/>
        <w:tabs>
          <w:tab w:leader="none" w:pos="2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Covenant</w:t>
      </w:r>
      <w:r>
        <w:rPr>
          <w:rFonts w:ascii="Times New Roman" w:cs="Times New Roman" w:eastAsia="Times New Roman" w:hAnsi="Times New Roman"/>
          <w:sz w:val="18"/>
          <w:szCs w:val="18"/>
          <w:color w:val="auto"/>
        </w:rPr>
        <w:t>. The Holder, by acceptance of this Warrant, agrees, severally and not jointly with any other holder of Warrants, that, from the payoff date under the Payoff Letter (the “Payoff Date”) until the Lock-Up Expiration Date (the “Lock-Up Period”), the Holder will not, and will cause its controlled affiliates not to, without the prior written consent of the Company, directly or indirectly, sell, transfer or otherwise dispose of any Lock-Up Securities (a “Transfer”).</w:t>
      </w:r>
    </w:p>
    <w:p>
      <w:pPr>
        <w:spacing w:after="0" w:line="183" w:lineRule="exact"/>
        <w:rPr>
          <w:rFonts w:ascii="Times New Roman" w:cs="Times New Roman" w:eastAsia="Times New Roman" w:hAnsi="Times New Roman"/>
          <w:sz w:val="18"/>
          <w:szCs w:val="18"/>
          <w:color w:val="auto"/>
        </w:rPr>
      </w:pPr>
    </w:p>
    <w:p>
      <w:pPr>
        <w:ind w:left="2100" w:right="60" w:hanging="331"/>
        <w:spacing w:after="0" w:line="271" w:lineRule="auto"/>
        <w:tabs>
          <w:tab w:leader="none" w:pos="21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Permitted Transfers</w:t>
      </w:r>
      <w:r>
        <w:rPr>
          <w:rFonts w:ascii="Times New Roman" w:cs="Times New Roman" w:eastAsia="Times New Roman" w:hAnsi="Times New Roman"/>
          <w:sz w:val="17"/>
          <w:szCs w:val="17"/>
          <w:color w:val="auto"/>
        </w:rPr>
        <w:t>. Notwithstanding the foregoing, the Holder may Transfer Lock-Up Securities (i) to any of its affiliates, or to any investment fund, account or vehicle managed, advised or sub-advised by the same investment manager, adviser or sub-adviser as the Holder (or an affiliate thereof); (ii) to any other Lender or its affiliates or related funds; (iii) pursuant to a bona fide tender offer, merger, consolidation or other similar transaction approved by the Company’s board of directors and made to all holders of Common Stock involving a change of control of the Company; (iv) by operation of law, including pursuant to a domestic order or the liquidation or dissolution of the Holder; or (v) with the prior written consent of the Company; provided, that in the case of clauses (i), (ii), (iv) and (v), the transferee agrees in writing to be bound by this Section 4(d) for the remainder of the Lock-Up Period. Any Transfer in violation of this Section 4(d) shall be null and void ab initio.</w:t>
      </w:r>
    </w:p>
    <w:p>
      <w:pPr>
        <w:spacing w:after="0" w:line="173" w:lineRule="exact"/>
        <w:rPr>
          <w:rFonts w:ascii="Times New Roman" w:cs="Times New Roman" w:eastAsia="Times New Roman" w:hAnsi="Times New Roman"/>
          <w:sz w:val="17"/>
          <w:szCs w:val="17"/>
          <w:color w:val="auto"/>
        </w:rPr>
      </w:pPr>
    </w:p>
    <w:p>
      <w:pPr>
        <w:ind w:left="2100" w:right="40" w:hanging="331"/>
        <w:spacing w:after="0" w:line="254" w:lineRule="auto"/>
        <w:tabs>
          <w:tab w:leader="none" w:pos="2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Nothing in this Section 4(d) shall restrict the exercise of this Warrant in accordance with its terms (including on a cashless or net basis) following receipt of Stockholder Approval, provided, that any Warrant Shares so received shall remain subject to this Section 4(d) until the Lock-Up Expiration Date. The Company will promptly engage its legal counsel, at the Company’s expense, to assist with the exercise of Warrants, including to issue any opinion required by the Company’s transfer agent in connection with Section 4(d). To the extent a Lender determines that the assistance of its own legal counsel is reasonably necessary in connection with the exercise of Warrants, the Company shall reimburse the Lender for such legal counsel’s reasonable attorneys’ fees and expenses promptly upon request.</w:t>
      </w:r>
    </w:p>
    <w:p>
      <w:pPr>
        <w:spacing w:after="0" w:line="191" w:lineRule="exact"/>
        <w:rPr>
          <w:rFonts w:ascii="Times New Roman" w:cs="Times New Roman" w:eastAsia="Times New Roman" w:hAnsi="Times New Roman"/>
          <w:sz w:val="18"/>
          <w:szCs w:val="18"/>
          <w:color w:val="auto"/>
        </w:rPr>
      </w:pPr>
    </w:p>
    <w:p>
      <w:pPr>
        <w:ind w:left="2100" w:right="20" w:hanging="331"/>
        <w:spacing w:after="0" w:line="258" w:lineRule="auto"/>
        <w:tabs>
          <w:tab w:leader="none" w:pos="2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Stop-Transfer Instructions</w:t>
      </w:r>
      <w:r>
        <w:rPr>
          <w:rFonts w:ascii="Times New Roman" w:cs="Times New Roman" w:eastAsia="Times New Roman" w:hAnsi="Times New Roman"/>
          <w:sz w:val="18"/>
          <w:szCs w:val="18"/>
          <w:color w:val="auto"/>
        </w:rPr>
        <w:t>. The Holder acknowledges that the Company may cause the Lock-Up Securities to bear an appropriate restrictive notation and may issue stop-transfer instructions to its transfer agent consistent with this Section 4(d). The Company shall cause, at its own expense, any such notation and instructions relating to this Section 4(d) to be removed within one (1) Trading Day of the Lock-Up Expiration Date.</w:t>
      </w:r>
    </w:p>
    <w:p>
      <w:pPr>
        <w:spacing w:after="0" w:line="183" w:lineRule="exact"/>
        <w:rPr>
          <w:rFonts w:ascii="Times New Roman" w:cs="Times New Roman" w:eastAsia="Times New Roman" w:hAnsi="Times New Roman"/>
          <w:sz w:val="18"/>
          <w:szCs w:val="18"/>
          <w:color w:val="auto"/>
        </w:rPr>
      </w:pPr>
    </w:p>
    <w:p>
      <w:pPr>
        <w:ind w:left="2100" w:right="20" w:hanging="331"/>
        <w:spacing w:after="0" w:line="256" w:lineRule="auto"/>
        <w:tabs>
          <w:tab w:leader="none" w:pos="2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Lock-Up Expiration Date</w:t>
      </w:r>
      <w:r>
        <w:rPr>
          <w:rFonts w:ascii="Times New Roman" w:cs="Times New Roman" w:eastAsia="Times New Roman" w:hAnsi="Times New Roman"/>
          <w:sz w:val="18"/>
          <w:szCs w:val="18"/>
          <w:color w:val="auto"/>
        </w:rPr>
        <w:t>. The Company shall deliver written notice to the Agent (which may be by e-mail) within two (2) Business Days after the occurrence of each of (i) receipt of Stockholder Approval, (ii) the effectiveness of the Offering Resale Registration Statement, and (iii) the date on which the securities issued in the concurrent private placement of the Offering first become eligible for resale under Rule 144, in each case setting forth the resulting Lock-Up Expiration Date; provided that no such notice shall be required for the Lock-Up Securities to be released from the lock-up restrictions in this Section 4(d).</w:t>
      </w:r>
    </w:p>
    <w:p>
      <w:pPr>
        <w:spacing w:after="0" w:line="187" w:lineRule="exact"/>
        <w:rPr>
          <w:rFonts w:ascii="Times New Roman" w:cs="Times New Roman" w:eastAsia="Times New Roman" w:hAnsi="Times New Roman"/>
          <w:sz w:val="18"/>
          <w:szCs w:val="18"/>
          <w:color w:val="auto"/>
        </w:rPr>
      </w:pPr>
    </w:p>
    <w:p>
      <w:pPr>
        <w:ind w:left="2100" w:right="60" w:hanging="331"/>
        <w:spacing w:after="0" w:line="261" w:lineRule="auto"/>
        <w:tabs>
          <w:tab w:leader="none" w:pos="2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confirms its obligation under the Payoff Letter to file, on the Lock-Up Expiration Date, a registration statement covering the resale of the Warrant Shares in accordance with the terms and subject to the conditions set forth in that certain Registration Rights Agreement by and among the Company and the Lenders.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58"/>
        <w:spacing w:after="0" w:line="312" w:lineRule="auto"/>
        <w:tabs>
          <w:tab w:leader="none" w:pos="985"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Rights as Stockholder Until Exercise. This Warrant does not entitle the Holder to any voting rights, dividends or other rights as a stockholder of the Company prior to the exercise hereof as set forth in Section 2(d)(i), except as expressly set forth in Section 3.</w:t>
      </w:r>
    </w:p>
    <w:p>
      <w:pPr>
        <w:spacing w:after="0" w:line="139" w:lineRule="exact"/>
        <w:rPr>
          <w:rFonts w:ascii="Times New Roman" w:cs="Times New Roman" w:eastAsia="Times New Roman" w:hAnsi="Times New Roman"/>
          <w:sz w:val="17"/>
          <w:szCs w:val="17"/>
          <w:color w:val="auto"/>
        </w:rPr>
      </w:pPr>
    </w:p>
    <w:p>
      <w:pPr>
        <w:ind w:right="20" w:firstLine="640"/>
        <w:spacing w:after="0" w:line="258" w:lineRule="auto"/>
        <w:tabs>
          <w:tab w:leader="none" w:pos="97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Theft, Destruction or Mutilation of Warrant. The Company covenants that upon receipt by the Company of evidence reasonably satisfactory to it of the loss, theft, destruction or mutilation of this Warrant or any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120" w:firstLine="640"/>
        <w:spacing w:after="0" w:line="266" w:lineRule="auto"/>
        <w:tabs>
          <w:tab w:leader="none" w:pos="9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Saturdays, Sundays, Holidays, etc.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-1790700</wp:posOffset>
            </wp:positionV>
            <wp:extent cx="19704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7040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-1379220</wp:posOffset>
            </wp:positionV>
            <wp:extent cx="23768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76805"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-556260</wp:posOffset>
            </wp:positionV>
            <wp:extent cx="16687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68780"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-7620</wp:posOffset>
            </wp:positionV>
            <wp:extent cx="9550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55040" cy="8890"/>
                    </a:xfrm>
                    <a:prstGeom prst="rect">
                      <a:avLst/>
                    </a:prstGeom>
                    <a:noFill/>
                  </pic:spPr>
                </pic:pic>
              </a:graphicData>
            </a:graphic>
          </wp:anchor>
        </w:drawing>
      </w:r>
    </w:p>
    <w:p>
      <w:pPr>
        <w:spacing w:after="0" w:line="20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or quoted for trading.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amalgamation, arrangement, dissolution, issue or sale of securities or any other voluntary action, avoid or seek to avoid the</w:t>
      </w:r>
    </w:p>
    <w:p>
      <w:pPr>
        <w:sectPr>
          <w:pgSz w:w="11900" w:h="16838" w:orient="portrait"/>
          <w:cols w:equalWidth="0" w:num="1">
            <w:col w:w="10180"/>
          </w:cols>
          <w:pgMar w:left="1380" w:top="337" w:right="339" w:bottom="0" w:gutter="0" w:footer="0" w:header="0"/>
        </w:sectPr>
      </w:pPr>
    </w:p>
    <w:bookmarkStart w:id="82" w:name="page83"/>
    <w:bookmarkEnd w:id="82"/>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5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60" w:right="40" w:firstLine="640"/>
        <w:spacing w:after="0" w:line="252" w:lineRule="auto"/>
        <w:tabs>
          <w:tab w:leader="none" w:pos="90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“New York Courts”).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provision hereunder),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 Notwithstanding the foregoing, nothing in this paragraph shall limit or restrict the federal district court in which the Holder may bring a claim under the federal securities laws.</w:t>
      </w:r>
    </w:p>
    <w:p>
      <w:pPr>
        <w:spacing w:after="0" w:line="194" w:lineRule="exact"/>
        <w:rPr>
          <w:rFonts w:ascii="Times New Roman" w:cs="Times New Roman" w:eastAsia="Times New Roman" w:hAnsi="Times New Roman"/>
          <w:sz w:val="18"/>
          <w:szCs w:val="18"/>
          <w:color w:val="auto"/>
        </w:rPr>
      </w:pPr>
    </w:p>
    <w:p>
      <w:pPr>
        <w:ind w:left="-60" w:right="120" w:firstLine="640"/>
        <w:spacing w:after="0" w:line="266" w:lineRule="auto"/>
        <w:tabs>
          <w:tab w:leader="none" w:pos="88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The Holder acknowledges that the Warrant Shares acquired upon the exercise of this Warrant, if not registered, or otherwise eligible to be resold or transferred without restriction pursuant to an exemption from registration under the Securities Act,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ind w:left="900" w:hanging="320"/>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As used herein, “$” refers to U.S. dollars.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0" w:right="40" w:firstLine="640"/>
        <w:spacing w:after="0" w:line="254" w:lineRule="auto"/>
        <w:tabs>
          <w:tab w:leader="none" w:pos="9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Nonwaiver and Expenses. No course of dealing or any delay or failure to exercise any right hereunder on the part of Holder shall operate as a waiver of such right or otherwise prejudice the Holder’s rights, powers or remedies. No provision of this Warrant shall be construed as a waiver by the Holder of any rights which the Holder may have under the federal securities laws and the rules and regulations of the Commission thereunder.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60" w:right="20" w:firstLine="640"/>
        <w:spacing w:after="0" w:line="253" w:lineRule="auto"/>
        <w:tabs>
          <w:tab w:leader="none" w:pos="8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Any and all notices or other communications or deliveries to be provided by the Holders hereunder including, without limitation, any Notice of Exercise, shall be in writing and delivered personally, by facsimile or by e-mail, or sent by a nationally recognized overnight courier service,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prior to 5:30 p.m. (New York City time) on any date, (ii) the next Trading Day after the date of transmission, if such notice or communication is delivered via facsimile at the facsimile number or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9" w:lineRule="exact"/>
        <w:rPr>
          <w:rFonts w:ascii="Times New Roman" w:cs="Times New Roman" w:eastAsia="Times New Roman" w:hAnsi="Times New Roman"/>
          <w:sz w:val="18"/>
          <w:szCs w:val="18"/>
          <w:color w:val="auto"/>
        </w:rPr>
      </w:pPr>
    </w:p>
    <w:p>
      <w:pPr>
        <w:ind w:left="-60" w:right="80" w:firstLine="640"/>
        <w:spacing w:after="0" w:line="261" w:lineRule="auto"/>
        <w:tabs>
          <w:tab w:leader="none" w:pos="8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of Liability.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ind w:left="-60" w:right="20" w:firstLine="640"/>
        <w:spacing w:after="0" w:line="261" w:lineRule="auto"/>
        <w:tabs>
          <w:tab w:leader="none" w:pos="9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60" w:firstLine="640"/>
        <w:spacing w:after="0" w:line="261" w:lineRule="auto"/>
        <w:tabs>
          <w:tab w:leader="none" w:pos="8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-8266430</wp:posOffset>
            </wp:positionV>
            <wp:extent cx="6470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-5934710</wp:posOffset>
            </wp:positionV>
            <wp:extent cx="6883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8340" cy="8890"/>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-5386070</wp:posOffset>
            </wp:positionV>
            <wp:extent cx="5607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705"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-4974590</wp:posOffset>
            </wp:positionV>
            <wp:extent cx="12757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-3602990</wp:posOffset>
            </wp:positionV>
            <wp:extent cx="4914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1490" cy="889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-1819910</wp:posOffset>
            </wp:positionV>
            <wp:extent cx="11423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42365" cy="8890"/>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-1134110</wp:posOffset>
            </wp:positionV>
            <wp:extent cx="5645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4515" cy="889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-448310</wp:posOffset>
            </wp:positionV>
            <wp:extent cx="11995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sectPr>
          <w:pgSz w:w="11900" w:h="16838" w:orient="portrait"/>
          <w:cols w:equalWidth="0" w:num="1">
            <w:col w:w="10120"/>
          </w:cols>
          <w:pgMar w:left="1440" w:top="121" w:right="339" w:bottom="132" w:gutter="0" w:footer="0" w:header="0"/>
        </w:sectPr>
      </w:pPr>
    </w:p>
    <w:bookmarkStart w:id="83" w:name="page84"/>
    <w:bookmarkEnd w:id="83"/>
    <w:p>
      <w:pPr>
        <w:ind w:left="-60" w:firstLine="640"/>
        <w:spacing w:after="0" w:line="282" w:lineRule="auto"/>
        <w:tabs>
          <w:tab w:leader="none" w:pos="9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Other than Section 2(e) and this Section 5(m), which may not be amended, modified or waived,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ind w:left="-60" w:right="80" w:firstLine="640"/>
        <w:spacing w:after="0" w:line="261" w:lineRule="auto"/>
        <w:tabs>
          <w:tab w:leader="none" w:pos="9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left="-60" w:right="420" w:firstLine="640"/>
        <w:spacing w:after="0" w:line="266" w:lineRule="auto"/>
        <w:tabs>
          <w:tab w:leader="none" w:pos="9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Expense Reimbursement. The Holder shall in no way be required to pay, or to reimburse the Company for, any fees or expenses of the Company’s Transfer Agent in connection with the issuance or holding or sale of the Common Stock, Warrants and/or Warrant Shares. The Company shall solely be responsible for any and all such fees and expenses.</w:t>
      </w:r>
    </w:p>
    <w:p>
      <w:pPr>
        <w:spacing w:after="0" w:line="175" w:lineRule="exact"/>
        <w:rPr>
          <w:rFonts w:ascii="Times New Roman" w:cs="Times New Roman" w:eastAsia="Times New Roman" w:hAnsi="Times New Roman"/>
          <w:sz w:val="18"/>
          <w:szCs w:val="18"/>
          <w:color w:val="auto"/>
        </w:rPr>
      </w:pPr>
    </w:p>
    <w:p>
      <w:pPr>
        <w:ind w:left="-60" w:right="520" w:firstLine="640"/>
        <w:spacing w:after="0" w:line="282" w:lineRule="auto"/>
        <w:tabs>
          <w:tab w:leader="none" w:pos="9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The headings used in this Warrant are for the convenience of reference only and shall not, for any purpose, be deemed a part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-1831340</wp:posOffset>
            </wp:positionV>
            <wp:extent cx="6724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2465"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-1419860</wp:posOffset>
            </wp:positionV>
            <wp:extent cx="66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6115"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-734060</wp:posOffset>
            </wp:positionV>
            <wp:extent cx="14211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21130"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-185420</wp:posOffset>
            </wp:positionV>
            <wp:extent cx="5454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5465" cy="8890"/>
                    </a:xfrm>
                    <a:prstGeom prst="rect">
                      <a:avLst/>
                    </a:prstGeom>
                    <a:noFill/>
                  </pic:spPr>
                </pic:pic>
              </a:graphicData>
            </a:graphic>
          </wp:anchor>
        </w:drawing>
      </w:r>
    </w:p>
    <w:p>
      <w:pPr>
        <w:spacing w:after="0" w:line="3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84" w:name="page85"/>
    <w:bookmarkEnd w:id="84"/>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By:__________________________________________</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HYDROFARM HOLDINGS GROUP,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ectPr>
          <w:pgSz w:w="11900" w:h="16838" w:orient="portrait"/>
          <w:cols w:equalWidth="0" w:num="2">
            <w:col w:w="620" w:space="40"/>
            <w:col w:w="10580"/>
          </w:cols>
          <w:pgMar w:left="320" w:top="553" w:right="339" w:bottom="1440" w:gutter="0" w:footer="0" w:header="0"/>
          <w:type w:val="continuous"/>
        </w:sectPr>
      </w:pPr>
    </w:p>
    <w:p>
      <w:pPr>
        <w:spacing w:after="0" w:line="7" w:lineRule="exact"/>
        <w:rPr>
          <w:sz w:val="20"/>
          <w:szCs w:val="20"/>
          <w:color w:val="auto"/>
        </w:rPr>
      </w:pPr>
    </w:p>
    <w:p>
      <w:pPr>
        <w:ind w:firstLine="1304"/>
        <w:spacing w:after="0" w:line="282" w:lineRule="auto"/>
        <w:tabs>
          <w:tab w:leader="none" w:pos="15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hanging="8"/>
        <w:spacing w:after="0" w:line="266" w:lineRule="auto"/>
        <w:tabs>
          <w:tab w:leader="none" w:pos="207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and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delivery of a certificate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 not use this form to purchase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VALUE RECEIVED, [____] all of or [_______] shares of the foregoing Warrant and all rights evidenced thereby are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assigned to</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4637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pacing w:after="0" w:line="3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24637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pacing w:after="0" w:line="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246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46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-7620</wp:posOffset>
            </wp:positionV>
            <wp:extent cx="6280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246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6318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31815" cy="260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ectPr>
          <w:pgSz w:w="11900" w:h="16838" w:orient="portrait"/>
          <w:cols w:equalWidth="0" w:num="1">
            <w:col w:w="11240"/>
          </w:cols>
          <w:pgMar w:left="320" w:top="549" w:right="339" w:bottom="1440" w:gutter="0" w:footer="0" w:header="0"/>
        </w:sectPr>
      </w:pPr>
    </w:p>
    <w:bookmarkStart w:id="86" w:name="page87"/>
    <w:bookmarkEnd w:id="86"/>
    <w:p>
      <w:pPr>
        <w:ind w:left="1040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162560</wp:posOffset>
            </wp:positionV>
            <wp:extent cx="1264285" cy="415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64285" cy="415290"/>
                    </a:xfrm>
                    <a:prstGeom prst="rect">
                      <a:avLst/>
                    </a:prstGeom>
                    <a:noFill/>
                  </pic:spPr>
                </pic:pic>
              </a:graphicData>
            </a:graphic>
          </wp:anchor>
        </w:drawing>
      </w:r>
    </w:p>
    <w:p>
      <w:pPr>
        <w:spacing w:after="0" w:line="248" w:lineRule="exact"/>
        <w:rPr>
          <w:sz w:val="20"/>
          <w:szCs w:val="20"/>
          <w:color w:val="auto"/>
        </w:rPr>
      </w:pPr>
    </w:p>
    <w:p>
      <w:pPr>
        <w:ind w:left="10840"/>
        <w:spacing w:after="0"/>
        <w:rPr>
          <w:sz w:val="20"/>
          <w:szCs w:val="20"/>
          <w:color w:val="auto"/>
        </w:rPr>
      </w:pPr>
      <w:r>
        <w:rPr>
          <w:rFonts w:ascii="Times New Roman" w:cs="Times New Roman" w:eastAsia="Times New Roman" w:hAnsi="Times New Roman"/>
          <w:sz w:val="18"/>
          <w:szCs w:val="18"/>
          <w:color w:val="auto"/>
        </w:rPr>
        <w:t>o.jpg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Hydrofarm Holdings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1510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Shoemakersville, PA 19555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(707) 765-9990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Hydrofarm Holdings Group, Inc.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We have acted as counsel to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offering of 1,599,400 shares (the “</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 of the Company’s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offering of the Registered Shares is being made pursuant to (i) the Company’s registration statement on Form S-3 (File No. 333-291444)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November 12, 2025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declared effective on December 10, 2025, (ii) the base prospectus dated December 10, 2025 thereunder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(iii) a prospectus supplement dated on October 27, 2026 to the Base Prospectus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Registered Shares are being sold pursuant to that certain Securities Purchase Agreement dated October 27,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by and between the Company and the purchasers signatory thereto.</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being provided at your request, to be filed with the Commission and incorporated by reference as an exhibit to the Registration Statement. This opinion letter is being furnished in connection with the requirements of Item 601(b)(5) of Regulation S-K under the Securities Act, and no opinion is expressed herein as to any matter pertaining to the contents of the Registration Statement or the Prospectus, other than as expressly stated herein with respect to the issuance of the Registered Shares.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below, we examined and relied upon such certificates, corporate records, agreements, instruments and other documents, and examined such matters of law, that we considered necessary or appropriate as a basis for the opinions. In rendering the opinions set forth below, we have examined and are familiar with originals or copies, certified or otherwise identified to our satisfaction, of (a) the Restated Certificate of Incorporation of the Company, as in effect on the date hereof, (b) Amended and Restated Bylaws of the Company, as in effect on the date hereof, (c) the Registration Statement and exhibits thereto, (d) the Prospectus, (e) the Purchase Agreement, (f) resolutions of the Board of Directors of the Company or committees thereof relating to, among other matters, the filing of the Prospectus Supplement and the issuance of the Registered Shares, and (g) such other documents as we have deemed necessary or appropriate as a basis for the opinions set forth below. In our examination, we have assumed the legal capacity of all natural persons, the genuineness of all signatures, the authenticity of all documents submitted to us as originals, the conformity to original documents of all documents submitted to us as certified or photostatic copies, the authenticity of the originals of such latter documents, that all parties to such documents (other than the Company) had the power, corporate or other, to enter into and perform all obligations thereunder and all such documents have been duly authorized by all requisite action, corporate or other, and duly executed and delivered by all parties thereto (other than the Company). As to any facts material to the opinions expressed herein that we did not independently establish or verify, we have relied upon oral or written statements and representations of officers and other representatives of the Company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your consent, we have relied upon certificates and other assurances of officers of the Company and others as to factual matters without having independently verified such factual matters. We are opining herein as to the General Corporation Law of the State of Delaware, including the statutory provisions, all applicable provisions of the Delaware Constitution and reported judicial decisions interpreting the foregoing,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Registered Shares shall have been duly registered on the books of the transfer agent and registrar therefor in the name or on behalf of the applicable purchaser, and have been issued by the Company against payment therefor (not less than par value) in the circumstances contemplated by the Purchase Agreement, the issuance and sale of the Registered Shares will have been duly authorized by all necessary corporate action of the Company, and the Registered Shares will be validly issued, fully paid and non-assessable.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the Prospectus and may be relied upon by you and by persons entitled to rely upon it pursuant to the applicable provisions of the Securities Act. This opinion letter is limited to the matters stated herein, and no opinion may be implied or inferred beyond the matters expressly stated in this opinion letter. This opinion letter is given as of the date hereof, and we assume no obligation to advise you after the date hereof of facts or circumstances that come to our attention or changes in the law, including judicial or administrative interpretations thereof, that occur which could affect the opinions contained herein. We consent to your filing this opinion as an exhibit to a Current Report on Form 8-K in accordance with the requirements of Item 601(b)(5) of Regulation S-K promulgated under the Securities Act, and to the reference to our firm’s name contained therein and in the Prospectus under the heading “Legal Matters.” In giving such consent, we do not thereby admit that we are 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0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Cozen O’Connor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Cozen O’Connor</w:t>
      </w:r>
    </w:p>
    <w:p>
      <w:pPr>
        <w:sectPr>
          <w:pgSz w:w="11900" w:h="16838" w:orient="portrait"/>
          <w:cols w:equalWidth="0" w:num="1">
            <w:col w:w="11240"/>
          </w:cols>
          <w:pgMar w:left="320" w:top="33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October 27, 2026, between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(i)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to the Registered Shares and (ii) in reliance on the exemption from the registration requirements of Section 5 of the Securities Act contained in Section 4(a)(2) thereof and/or Rule 506(b) of Regulation D promulgated thereunder, as to the Private Placement Securities,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the following terms have the meanings set forth in this Section 1.1: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Cannabis Customers</w:t>
      </w:r>
      <w:r>
        <w:rPr>
          <w:rFonts w:ascii="Times New Roman" w:cs="Times New Roman" w:eastAsia="Times New Roman" w:hAnsi="Times New Roman"/>
          <w:sz w:val="18"/>
          <w:szCs w:val="18"/>
          <w:color w:val="auto"/>
        </w:rPr>
        <w:t>” means cultivators and other participants that are licensed under one or more Cannabis Programs.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Cannabis Program</w:t>
      </w:r>
      <w:r>
        <w:rPr>
          <w:rFonts w:ascii="Times New Roman" w:cs="Times New Roman" w:eastAsia="Times New Roman" w:hAnsi="Times New Roman"/>
          <w:sz w:val="18"/>
          <w:szCs w:val="18"/>
          <w:color w:val="auto"/>
        </w:rPr>
        <w:t>” means the cannabis, marijuana, or hemp regulatory program of any state in which such program has been legalized under state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means the Closing Statement in the form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$0.0001, of the Company,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means, collectively, the Common Stock purchase warrants delivered to the Purchaser at the Closing in accordance with Section 2.2(a) hereof, which Common Warrants shall be exercisable immediately upon issuance and have a term of exercise equal to five and one-half (5.5) years, in the form of Exhibit C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 Shares</w:t>
      </w:r>
      <w:r>
        <w:rPr>
          <w:rFonts w:ascii="Times New Roman" w:cs="Times New Roman" w:eastAsia="Times New Roman" w:hAnsi="Times New Roman"/>
          <w:sz w:val="18"/>
          <w:szCs w:val="18"/>
          <w:color w:val="auto"/>
        </w:rPr>
        <w:t>” means the Common Stock issuable upon exercise of the Common Warrants.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CSA</w:t>
      </w:r>
      <w:r>
        <w:rPr>
          <w:rFonts w:ascii="Times New Roman" w:cs="Times New Roman" w:eastAsia="Times New Roman" w:hAnsi="Times New Roman"/>
          <w:sz w:val="18"/>
          <w:szCs w:val="18"/>
          <w:color w:val="auto"/>
        </w:rPr>
        <w:t>” means the U.S. Controlled Substances Act, 21 U.S.C. § 801 et seq.</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shall have the meaning ascribed to such term in Section 3.1 and shall be attached hereto following the Exhibits.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shall have the meaning ascribed to such term in Section 3.1(qq).</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one or more Registration Statements have been declared effective by the Commission registering all of the Private Placement Securities for resale; (b) all Private Placement Securities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Private Placement Securities is not an Affiliate of the Company, or (d) all of Private Placement Securities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Private Placement Securities pursuant to such exemption which opinion shall be in form and substance reasonably acceptable to such holders.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shall have the meaning ascribed to such term in Section 3.1(c).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ascribed to such term in Section 3.1(m).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CSC Delaware Trust Company, as escrow agent.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the escrow agreement, dated as of October 9, 2026, among Escrow Agent, the Company and the 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0" w:name="page91"/>
    <w:bookmarkEnd w:id="9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Common Stock or options to employees, consultants, officers or directors of the Company pursuant to any share or option plan duly adopted for such purpose, by a majority of the non-employee members of the Board of Directors or a majority of the members of a committee of non-employee directors established for such purpose for services rendered to the Company; provided, that the issuance of any securities to consultants shall be issued as “restricted securities” (as defined in Rule 144) and carry no registration rights that require or permit the filing of any registration statement in connection therewith during the prohibition period in Section 4.18 herein, or (b) warrants to the Placement Agent in connection with the transactions pursuant to this Agreement and any Common Stock upon exercise of the warrants to the Placement Agent, if applicable, and/or Common Stock upon the exercise or exchange of or conversion of any Securities issued hereunder and/or other securities exercisable or exchangeable for or convertible into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or (c) securities issued pursuant to licensing transactions or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4.18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ascribed to such term in Section 3.1(m).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3.1(bb).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xml:space="preserve"> means with respect to any statement made to the Knowledge of the Company, that the statement is based upon the actual or constructive knowledge of any director and executive officer (as defined in Rule 405 under the Securities Act) of the Company, after due inquiry.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written agreements, each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between the Company and the executive officers and directors of the Company and holders of ten percent (10%) or more of the Company’s outstanding Common Stock, restricting certain transactions in the Company’s securities for a period of one hundred twenty (120) days following the Effective Date upon which all of the Private Placement Securities are registered for resale.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shall have the meaning ascribed to such term in Section 5.17.</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$0.905.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ThinkEquity LLC.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Agency Agreement</w:t>
      </w:r>
      <w:r>
        <w:rPr>
          <w:rFonts w:ascii="Times New Roman" w:cs="Times New Roman" w:eastAsia="Times New Roman" w:hAnsi="Times New Roman"/>
          <w:sz w:val="18"/>
          <w:szCs w:val="18"/>
          <w:color w:val="auto"/>
        </w:rPr>
        <w:t>” means the placement agency agreement, dated on or about the date hereof, between the Company and the Placement Agent.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Agent’s Counsel</w:t>
      </w:r>
      <w:r>
        <w:rPr>
          <w:rFonts w:ascii="Times New Roman" w:cs="Times New Roman" w:eastAsia="Times New Roman" w:hAnsi="Times New Roman"/>
          <w:sz w:val="18"/>
          <w:szCs w:val="18"/>
          <w:color w:val="auto"/>
        </w:rPr>
        <w:t>” means Sheppard, Mullin, Richter &amp; Hampton LLP.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Securities</w:t>
      </w:r>
      <w:r>
        <w:rPr>
          <w:rFonts w:ascii="Times New Roman" w:cs="Times New Roman" w:eastAsia="Times New Roman" w:hAnsi="Times New Roman"/>
          <w:sz w:val="18"/>
          <w:szCs w:val="18"/>
          <w:color w:val="auto"/>
        </w:rPr>
        <w:t>” means, collectively, the Unregistered Shares, the Pre-Funded Warrants, the Common Warrants, and the Warrant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means the hydroponic and controlled-environment agriculture growing systems, equipment, and related products and supplies designed, manufactured, marketed, and sold by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most recent prospectus that formed a part of the Registration Statement.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will be filed with the Commission pursuant to Rule 424(b) under the Securities Act in connection with the registered offering of the Registered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4.9.</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pursuant to which the Company has agreed to register the resale of the Registrable Securities (as defined therein).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 means the Shares sold pursuant to the Registration Statement.</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2" w:name="page93"/>
    <w:bookmarkEnd w:id="9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filed with the Commission (File No. 333-291444), which registers the sale of the Registered Shares to the Purchasers, and any amendments or supplements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Private Placement Securities.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Pre-Funded Warrants, the Common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Registered Shares and Private Placement Securities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required to set forth in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are listed or quoted for trading on the date in question: the NYSE American, the Nasdaq Capital Market, the Nasdaq Global Market, the Nasdaq Global Select Market, or the New York Stock Exchange, OTCBB, OTCQB or OTCQX (or any successors to any of the foregoing).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Lock-Up Agreements, the Registration Rights Agreement, the Placement Agency Agreement, and the Escrow Agreement, all exhibits and schedules thereto and hereto and any other documents or agreements executed in connection with the transactions contemplated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Company, the current transfer agent of the Company, and any successor transfer agent of the Company.</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3" w:name="page94"/>
    <w:bookmarkEnd w:id="9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Unregistered Shares</w:t>
      </w:r>
      <w:r>
        <w:rPr>
          <w:rFonts w:ascii="Times New Roman" w:cs="Times New Roman" w:eastAsia="Times New Roman" w:hAnsi="Times New Roman"/>
          <w:sz w:val="18"/>
          <w:szCs w:val="18"/>
          <w:color w:val="auto"/>
        </w:rPr>
        <w:t>” means the Shares sold pursuant to the private placement.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Warrants and Pre-Funded Warrants.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collectively, the Common Stock issuable upon exercise of the Warrants.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$8,336,000 of the Securities. Unless otherwise directed by the Placement Agent, settlement of the Registered Shares shall occur via “Delivery Versus Payment” (“</w:t>
      </w:r>
      <w:r>
        <w:rPr>
          <w:rFonts w:ascii="Times New Roman" w:cs="Times New Roman" w:eastAsia="Times New Roman" w:hAnsi="Times New Roman"/>
          <w:sz w:val="18"/>
          <w:szCs w:val="18"/>
          <w:b w:val="1"/>
          <w:bCs w:val="1"/>
          <w:u w:val="single" w:color="auto"/>
          <w:color w:val="auto"/>
        </w:rPr>
        <w:t>DVP</w:t>
      </w:r>
      <w:r>
        <w:rPr>
          <w:rFonts w:ascii="Times New Roman" w:cs="Times New Roman" w:eastAsia="Times New Roman" w:hAnsi="Times New Roman"/>
          <w:sz w:val="18"/>
          <w:szCs w:val="18"/>
          <w:color w:val="auto"/>
        </w:rPr>
        <w:t>”) (i.e., on the Closing Date, the Company shall issue the Registered Shares registered in the Purchasers’ names and addresses and released by the Transfer Agent directly to the account(s) at the Placement Agent identified by each Purchaser; upon receipt of such Registered Shares, the Placement Agent shall promptly electronically deliver such Shares to the applicable Purchaser, and payment therefor shall be made by the Placement Agent (or its clearing firm) by wire transfer to the Company). Each Purchaser shall deliver via wire transfer immediately available funds equal to such Purchaser’s Subscription Amount for the Private Placement Securities, as set forth on the signature page hereto executed by such Purchaser, at such Purchaser’s election, either (x) directly to the Company or (y) to the escrow account (the “</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established pursuant to the Escrow Agreement, to be released in accordance therewith. At the Closing, following the release of the Subscription Amounts to the Company, the Company shall deliver to each Purchaser its respective Securities as determined pursuant to Section 2.2(a), and the Company and each Purchaser shall deliver the other items set forth in Section 2.2 deliverable at the Closing. Upon satisfaction or waiver of the covenants and conditions set forth in Sections 2.2 and 2.3, the Closing shall occur no later than one (1) Trading Day after such covenants and conditions have been satisfied or waived at 5:00 p.m., New York City time remotely by the exchange of electronic mails, at the offices of Company Counsel, 1650 Market Street Suite 2800 Philadelphia, PA 19103, or such other location as the parties shall mutually agree upon orally or in writing.</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1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opinion of Cozen O’Connor, counsel to the Company (the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in form and substance reasonably acceptable to the Placement Agent and each Purchaser;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2.1, a copy of the irrevocable instructions to the Transfer Agent instructing the Transfer Agent to deliver, on an expedited basis, in book entry form, evidence of the issuance of the Unregistered Shares equal to such amount set forth on the signature page hereof;</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5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2.1, a copy of the irrevocable instructions to the Transfer Agent instructing the Transfer Agent to deliver on an expedited basis via The Depository Trust Company Deposit or Withdrawal at Custodian system Registered Shares equal to such amount set forth on the signature page hereof;</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1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Company’s Chief Executive Officer or Chief Financial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left="640" w:firstLine="652"/>
        <w:spacing w:after="0" w:line="266" w:lineRule="auto"/>
        <w:tabs>
          <w:tab w:leader="none" w:pos="160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Warrant registered in the name of such Purchaser to purchase up to a number of Warrant Shares equal to 100% of such Purchaser’s Shares and/or Pre-Funded Warrants, if applicable, with an exercise price equal to $0.78, subject to adjustment therein;</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64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2.1, for each Purchaser of Pre-Funded Warrants, a Pre-Funded Warrant registered in the name of such Purchaser to purchase up to a number of shares of Common Stock equal to the portion of such Purchaser’s Subscription Amount applicable to Pre-Funded Warrants divided by the Per Share Purchase Price, with an exercise price equal to $0.0001, subject to adjustment therein;</w:t>
      </w:r>
    </w:p>
    <w:p>
      <w:pPr>
        <w:spacing w:after="0" w:line="179" w:lineRule="exact"/>
        <w:rPr>
          <w:rFonts w:ascii="Times New Roman" w:cs="Times New Roman" w:eastAsia="Times New Roman" w:hAnsi="Times New Roman"/>
          <w:sz w:val="18"/>
          <w:szCs w:val="18"/>
          <w:color w:val="auto"/>
        </w:rPr>
      </w:pPr>
    </w:p>
    <w:p>
      <w:pPr>
        <w:ind w:left="1720" w:hanging="428"/>
        <w:spacing w:after="0"/>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duly executed by directors and executive officers and 10% or greater stockholders of the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61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Chief Financial Officer of the Company and dated as of the date of the Closing Date and addressed to the Placement Agent, relating to certain financial data included in the Registration Statement, the Prospectus, the Prospectus Supplement, and the information incorporated by reference therein, providing “management comfort” with respect to such information, in form and substance reasonably satisfactory to the Placement Agent;</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67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comfort letter from the Company’s independent registered public accounting firm, dated as of the Closing Date and addressed to the Placement Agent, in form and substance reasonably satisfactory to the Placement Agent, containing statements and information of the type customarily included in accountants’ comfort letters delivered in connection with registered public offerings; and</w:t>
      </w:r>
    </w:p>
    <w:p>
      <w:pPr>
        <w:spacing w:after="0" w:line="175" w:lineRule="exact"/>
        <w:rPr>
          <w:rFonts w:ascii="Times New Roman" w:cs="Times New Roman" w:eastAsia="Times New Roman" w:hAnsi="Times New Roman"/>
          <w:sz w:val="18"/>
          <w:szCs w:val="18"/>
          <w:color w:val="auto"/>
        </w:rPr>
      </w:pPr>
    </w:p>
    <w:p>
      <w:pPr>
        <w:ind w:left="1700" w:hanging="408"/>
        <w:spacing w:after="0"/>
        <w:tabs>
          <w:tab w:leader="none" w:pos="170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duly executed by the Company, the Escrow Agent and the Placement Agent.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7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delivered by wire transfer, at such Purchaser’s election, either (x) to the account specified in writing by the Company or (y) to the Escrow Account, to be released in accordance with the Escrow Agreement;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1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5" w:name="page96"/>
    <w:bookmarkEnd w:id="95"/>
    <w:p>
      <w:pPr>
        <w:ind w:left="640" w:right="20" w:firstLine="652"/>
        <w:spacing w:after="0" w:line="282" w:lineRule="auto"/>
        <w:tabs>
          <w:tab w:leader="none" w:pos="156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66" w:lineRule="auto"/>
        <w:tabs>
          <w:tab w:leader="none" w:pos="15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55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Lock-Up Agreements shall remain in full force and effect;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6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for which the Purchaser is subscribing to purchase pursuant to this Agreement will not result in such Purchaser‘s beneficial ownership (as calculated in accordance with Section 13(d) of the Exchange Act and the rules and regulations promulgated thereunder) to exceed 9.99% (or upon election by the Purchaser 4.99%) (the “</w:t>
      </w:r>
      <w:r>
        <w:rPr>
          <w:rFonts w:ascii="Times New Roman" w:cs="Times New Roman" w:eastAsia="Times New Roman" w:hAnsi="Times New Roman"/>
          <w:sz w:val="18"/>
          <w:szCs w:val="18"/>
          <w:u w:val="single" w:color="auto"/>
          <w:color w:val="auto"/>
        </w:rPr>
        <w:t>Beneficial Ownership Threshold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Beneficial Ownership Threshold is exceeded, the Purchaser’s subscription pursuant to this Agreement shall be reduced such that the number of Shares subscribed for pursuant to this Agreement shall be equal to the number of Securities which would result in the Purchaser’s beneficial ownership equaling 9.99% (or 4.99%) after giving effect to the Closing. A determination as to any group status as contemplated above shall be determined in accordance with Section 13(d) of the Exchange Act and the rules and regulations promulgated thereunder;</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6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payoff letter relating to the Credit and Guaranty Agreement, dated as of October 25, 2021, among the Company, the other credit parties party thereto, the lenders party thereto and the administrative and collateral agent, in the form provided to the Purchasers prior to the execution of this Agreement (the “Payoff Letter”), shall have been duly executed and delivered by the Company, and shall be in full force and effect as of the Closing Date;</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71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side letter relating to the Payoff Letter, among the Company, the other credit parties party thereto, the lenders party thereto and the administrative and collateral agent, in the form provided to the Purchasers prior to the execution of this Agreement, shall have been duly executed and delivered by the Company, and shall be in full force and effect as of the Closing Date; and</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60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 Notwithstanding the foregoing, this Subsection (viii) shall not be construed to include suspension of trading of the Common Stock in the Company’s principal Trading Market on the date hereof for the purpose of disclosure of this Agreement and the Transaction Documents.</w:t>
      </w:r>
    </w:p>
    <w:p>
      <w:pPr>
        <w:spacing w:after="0" w:line="1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to this Agreement delivered by the Company to the Purchasers dated as of the date hereof (the</w:t>
      </w: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which Disclosure Schedules shall qualify any representation or warranties otherwise made herein to the extent of the disclosure contained in the corresponding section of the Disclosure Schedules, the Company hereby makes the following representations and warranties to each Purchaser as of the date hereof and as of the Closing Date (unless as of a specific date, in which case they shall be accurate as of such date):</w:t>
      </w:r>
    </w:p>
    <w:p>
      <w:pPr>
        <w:spacing w:after="0" w:line="186" w:lineRule="exact"/>
        <w:rPr>
          <w:sz w:val="20"/>
          <w:szCs w:val="20"/>
          <w:color w:val="auto"/>
        </w:rPr>
      </w:pPr>
    </w:p>
    <w:p>
      <w:pPr>
        <w:jc w:val="both"/>
        <w:ind w:left="660" w:firstLine="644"/>
        <w:spacing w:after="0" w:line="261" w:lineRule="auto"/>
        <w:tabs>
          <w:tab w:leader="none" w:pos="155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material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(the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both"/>
        <w:ind w:left="4" w:firstLine="644"/>
        <w:spacing w:after="0" w:line="252" w:lineRule="auto"/>
        <w:tabs>
          <w:tab w:leader="none" w:pos="93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Except as may be set forth on </w:t>
      </w:r>
      <w:r>
        <w:rPr>
          <w:rFonts w:ascii="Times New Roman" w:cs="Times New Roman" w:eastAsia="Times New Roman" w:hAnsi="Times New Roman"/>
          <w:sz w:val="18"/>
          <w:szCs w:val="18"/>
          <w:u w:val="single" w:color="auto"/>
          <w:color w:val="auto"/>
        </w:rPr>
        <w:t>Schedule 3.1(d)</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which conflict, default or right has not been waived in writing by the other party or parties to such agreement or other instrument or understanding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1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approval, registration, license, qualification, certificate, permit or order of, give any notice to, or make any filing or registration with, any court or other federal, state, local or other governmental authority or regulatory authority or other Person in connection with the execution, delivery and performance by the Company of the Transaction Documents, other than: (i) the filings required pursuant to Section 4.6 of this Agreement, (ii) the filing with the Commission of the Prospectus Supplement pursuant to Rule 424(b), (iii) the filings required to be made with the Commission pursuant to the Registration Rights Agreement, (iv) the notice and/or application(s), if any, to each applicable Trading Market for the issuance and sale of the Securities and the listing of the Shares and Warrant Shares for trading thereon in the time and manner required thereby, and (v) the filing of Form D with the Commission with respect to the Private Placement Securities and such filings as are required to be made under applicable state securities laws in connection with the offer and sale of the Private Placement Securities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0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 Use of Form S-3</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a number of shares of Common Stock sufficient to satisfy its obligations to issue the Shares and 100% of the Warrant Shares issuable upon exercise of the Warrants. The offer and sale of the Registered Shares have been registered under the Securities Act pursuant to the Registration Statement, and the Registered Shares are freely transferable and freely tradable by each of the Purchasers without restriction under the Securities Act, subject to applicable prospectus delivery requirements and any restrictions applicable to such Purchaser by reason of its status or relationship with the Company. Assuming the accuracy of the representations and warranties of the Purchasers contained herein, the Private Placement Securities are being issued in reliance on the exemption from the registration requirements of Section 5 of the Securities Act contained in Section 4(a)(2) thereof and/or Regulation D thereunder, and the Private Placement Securities are “restricted securities” and are not freely transferable or freely tradable absent registration for resale under the Securities Act, availability of an exemption therefrom (including Rule</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8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 opinion of counsel reasonably satisfactory to the Company that such registration is not required. The Company has prepared and filed the Registration Statement in conformity with the requirements of the Securities Act,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Registration Statement, the Prospectus or the Prospectus Supplement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the Prospectus Supplement and any amendments or supplements thereto, at the time the Prospectus, the Prospectus Supplement or any amendment or supplement thereto was issued and at the Closing Date, conformed and will conform in all material respects to the requirements of the Securities Act and did not and will not contain any untrue statement of a material fact or omit to state a material fact necessary in order to make the statements therein, in light of the circumstances under which they were made, not misleading. The Company meets all of the requirements for the use of Form S-3 under the Securities Act for the offering and sale of the Registered Shares contemplated by this Agreement and the other Transaction Documents, including the requirements of General Instruction I.B.6 thereof. The Commission has not notified the Company of any objection to the use of the form of the Registration Statement pursuant to Rule 401(g)(1) under the Securities Act. The Registration Statement meets the requirements set forth in Rule 415(a)(1)(x) under the Securities Act. The Company has not been and is not currently an “Ineligible Issuer” (as defined in Rule 405 under the Securities Act).</w:t>
      </w:r>
    </w:p>
    <w:p>
      <w:pPr>
        <w:spacing w:after="0" w:line="18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98" w:name="page99"/>
    <w:bookmarkEnd w:id="98"/>
    <w:p>
      <w:pPr>
        <w:jc w:val="both"/>
        <w:ind w:left="-460" w:firstLine="644"/>
        <w:spacing w:after="0" w:line="251" w:lineRule="auto"/>
        <w:tabs>
          <w:tab w:leader="none" w:pos="4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shares of Common Stock owned beneficially, and of record, by Affiliates of the Company as of the date hereof. The authorized and issued capital of the Company conform to the description thereof contained in the SEC Reports. All of the issued and outstanding shares of Common Stock are fully paid and non-assessable and have been duly and validly authorized and issued, in compliance with all applicable securities laws and not in violation of or subject to any preemptive or similar right that entitles any person to acquire from the Company any Common Stock or other security of the Company or any security convertible into, or exercisable or exchangeable for, Common Stock or any other such security, except for such rights as may have been fully satisfied or waived prior to the date hereof or as disclosed in the SEC Reports and as disclosed in writing to the Placement Agent. The Company has not issued any capital stock since its most recently filed periodic report under the Exchange Act, other than pursuant to the exercise of employee stock options under the Company’s equity incentive plans, the issuance of Common Stock to employees and directors pursuant to the Company’s employee equity incentive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or as described in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Stock or the capital of any Subsidiary, or contracts, commitments, understandings or arrangements by which the Company or any Subsidiary is or may become bound to issue additional Common Stock or Common Stock Equivalents or capital of any Subsidiary. The issuance and sale of the Securities will not obligate the Company or any Subsidiary to issue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stock” plans or agreements or any similar plan or agreement. All of the outstanding shares of capital stock of the Company are duly authorized, validly issued, fully paid and nonassessable, and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to which the Company is a party or, to the Knowledge of the Company, between or among any of the Company’s stockholders.</w:t>
      </w:r>
    </w:p>
    <w:p>
      <w:pPr>
        <w:spacing w:after="0" w:line="2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99" w:name="page100"/>
    <w:bookmarkEnd w:id="99"/>
    <w:p>
      <w:pPr>
        <w:jc w:val="both"/>
        <w:ind w:left="4" w:firstLine="644"/>
        <w:spacing w:after="0" w:line="252" w:lineRule="auto"/>
        <w:tabs>
          <w:tab w:leader="none" w:pos="90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GAAP, and fairly present in all material respects the consolidated financial position of the Company and its Subsidiaries as of and for the dates thereof and the consolidated results of operations and cash flows for the periods then ended, subject, in the case of unaudited statements, to normal, immaterial, year-end audit adjustments. No other financial statements or supporting schedules are required to be included pursuant to the Exchange Act. The other financial and statistical information included in the SEC Reports present fairly the information included therein and have been prepared on a basis consistent with that of the financial statements that are included in the SEC Reports and the books and records of the Company. There are no material off-balance sheet transactions, arrangements or obligations (including contingent obligations) of the Company that would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72" w:lineRule="auto"/>
        <w:tabs>
          <w:tab w:leader="none" w:pos="867"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xml:space="preserve">. Since the date of the latest audited financial statements included within the SEC Reports, except as set forth on </w:t>
      </w:r>
      <w:r>
        <w:rPr>
          <w:rFonts w:ascii="Times New Roman" w:cs="Times New Roman" w:eastAsia="Times New Roman" w:hAnsi="Times New Roman"/>
          <w:sz w:val="17"/>
          <w:szCs w:val="17"/>
          <w:u w:val="single" w:color="auto"/>
          <w:color w:val="auto"/>
        </w:rPr>
        <w:t>Schedule 3.1(i)</w:t>
      </w:r>
      <w:r>
        <w:rPr>
          <w:rFonts w:ascii="Times New Roman" w:cs="Times New Roman" w:eastAsia="Times New Roman" w:hAnsi="Times New Roman"/>
          <w:sz w:val="17"/>
          <w:szCs w:val="17"/>
          <w:color w:val="auto"/>
        </w:rPr>
        <w:t>, (i) there has been no event, occurrence or development that has had or that could reasonably be expected to result in a Material Adverse Effect, (ii) the Company has not incurred any liabilities (contingent or otherwise) other than</w:t>
      </w:r>
    </w:p>
    <w:p>
      <w:pPr>
        <w:spacing w:after="0" w:line="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30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The Company’s unaudited accounts receivable pursuant to GAAP as of August 31, 2026 are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to the Knowledge of the Company,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0" w:name="page101"/>
    <w:bookmarkEnd w:id="100"/>
    <w:p>
      <w:pPr>
        <w:jc w:val="both"/>
        <w:ind w:left="-460" w:firstLine="644"/>
        <w:spacing w:after="0" w:line="253" w:lineRule="auto"/>
        <w:tabs>
          <w:tab w:leader="none" w:pos="4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3.1(l)</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7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approvals, consents, registrations, licenses, qualifications, certifications,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1" w:name="page102"/>
    <w:bookmarkEnd w:id="101"/>
    <w:p>
      <w:pPr>
        <w:jc w:val="both"/>
        <w:ind w:left="-460" w:firstLine="644"/>
        <w:spacing w:after="0" w:line="254" w:lineRule="auto"/>
        <w:tabs>
          <w:tab w:leader="none" w:pos="44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Except as set forth in </w:t>
      </w:r>
      <w:r>
        <w:rPr>
          <w:rFonts w:ascii="Times New Roman" w:cs="Times New Roman" w:eastAsia="Times New Roman" w:hAnsi="Times New Roman"/>
          <w:sz w:val="18"/>
          <w:szCs w:val="18"/>
          <w:u w:val="single" w:color="auto"/>
          <w:color w:val="auto"/>
        </w:rPr>
        <w:t>Schedule 3.1(o)</w:t>
      </w:r>
      <w:r>
        <w:rPr>
          <w:rFonts w:ascii="Times New Roman" w:cs="Times New Roman" w:eastAsia="Times New Roman" w:hAnsi="Times New Roman"/>
          <w:sz w:val="18"/>
          <w:szCs w:val="18"/>
          <w:color w:val="auto"/>
        </w:rPr>
        <w:t>, any real property and facilities held under lease by the Company and the Subsidiaries are held by them under valid, subsisting and enforceable leases with which the Company and the Subsidiaries are in compliance in all material respects, except for any noncompliance that would not, individually or in the aggregate,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reasonably be expected to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the Company nor any Subsidiary has received a written notice or to the Knowledge of the Company, an oral notice that (i) any of, the Intellectual Property Rights has expired, terminated or been abandoned, or (ii) is expected to expire or terminate or be abandoned, within two (2) years from the date of this Agreement, in each clause (i) and (ii), where such expiration, termination or abandonment could be reasonably expected to have, individually or in the aggregate, a Material Adverse Effect. Neither the Company nor any Subsidiary has received, since the date of the latest audited financial statements included within the SEC Reports, a written notice of a claim or to the Knowledge of the Company has reason to believe that the Intellectual Property Rights violate or infringe upon the rights of any Person, except as could not have or reasonably be expected to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To the Knowledge of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directors or beneficial holders of 5% or more of any class of capital shares of the Company, or any officers or directors of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the lesser of $120,000 or one percent (1%) of the average of the Company’s total assets at year-end for the last two (2) completed fiscal years other than for: (i) payment of salary or consulting fees for services rendered, (ii) reimbursement for expenses incurred on behalf of the Company and (iii) other employee benefits, including under any equity incentive plan of the Company.</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2" w:name="page103"/>
    <w:bookmarkEnd w:id="102"/>
    <w:p>
      <w:pPr>
        <w:jc w:val="both"/>
        <w:ind w:left="-460" w:firstLine="644"/>
        <w:spacing w:after="0" w:line="252" w:lineRule="auto"/>
        <w:tabs>
          <w:tab w:leader="none" w:pos="4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or is reasonably likely to have a Material Adverse Effect on, the internal control over financial reporting of the Company or its Subsidiaries.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Except to the Placement Agent and as set forth in </w:t>
      </w:r>
      <w:r>
        <w:rPr>
          <w:rFonts w:ascii="Times New Roman" w:cs="Times New Roman" w:eastAsia="Times New Roman" w:hAnsi="Times New Roman"/>
          <w:sz w:val="18"/>
          <w:szCs w:val="18"/>
          <w:u w:val="single" w:color="auto"/>
          <w:color w:val="auto"/>
        </w:rPr>
        <w:t>Schedule 3.1(t)</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Private Placement Securities by the Company to the Purchasers as contemplated hereby. The issuance and sale of the Securities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4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The Company shall conduct its business in a manner so that it will not become an “investment company” subject to registration under the Investment Company Act.</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48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each of the Purchasers with respect to the Securities, no Person has any right to cause the Company or any Subsidiary to effect a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xml:space="preserve">. The Common Stock is registered pursuant to Section 12(b) or 12(g) of the Exchange Act, and the Company has taken no action designed to terminate, or which to the Knowledge of the Company is likely to have the effect of terminating, the registration of the Common Stock under the Exchange Act nor has the Company received any notification that the Commission is contemplating terminating such registration. Except as set forth in </w:t>
      </w:r>
      <w:r>
        <w:rPr>
          <w:rFonts w:ascii="Times New Roman" w:cs="Times New Roman" w:eastAsia="Times New Roman" w:hAnsi="Times New Roman"/>
          <w:sz w:val="18"/>
          <w:szCs w:val="18"/>
          <w:u w:val="single" w:color="auto"/>
          <w:color w:val="auto"/>
        </w:rPr>
        <w:t>Schedule 3.1(x)</w:t>
      </w:r>
      <w:r>
        <w:rPr>
          <w:rFonts w:ascii="Times New Roman" w:cs="Times New Roman" w:eastAsia="Times New Roman" w:hAnsi="Times New Roman"/>
          <w:sz w:val="18"/>
          <w:szCs w:val="18"/>
          <w:color w:val="auto"/>
        </w:rPr>
        <w:t xml:space="preserve">, the Company has not, in the twelve (12) months preceding the date hereof, received notice from any Trading Market on which the Common Stock is or has been listed or quoted to the effect that the Company is not in compliance with the listing or maintenance requirements of such Trading Market. Except as set forth in </w:t>
      </w:r>
      <w:r>
        <w:rPr>
          <w:rFonts w:ascii="Times New Roman" w:cs="Times New Roman" w:eastAsia="Times New Roman" w:hAnsi="Times New Roman"/>
          <w:sz w:val="18"/>
          <w:szCs w:val="18"/>
          <w:u w:val="single" w:color="auto"/>
          <w:color w:val="auto"/>
        </w:rPr>
        <w:t>Schedule 3.1(x)</w:t>
      </w:r>
      <w:r>
        <w:rPr>
          <w:rFonts w:ascii="Times New Roman" w:cs="Times New Roman" w:eastAsia="Times New Roman" w:hAnsi="Times New Roman"/>
          <w:sz w:val="18"/>
          <w:szCs w:val="18"/>
          <w:color w:val="auto"/>
        </w:rPr>
        <w:t>, the Company is, and to the Knowledge of the Company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3" w:name="page104"/>
    <w:bookmarkEnd w:id="103"/>
    <w:p>
      <w:pPr>
        <w:jc w:val="both"/>
        <w:ind w:left="-460" w:firstLine="644"/>
        <w:spacing w:after="0" w:line="256" w:lineRule="auto"/>
        <w:tabs>
          <w:tab w:leader="none" w:pos="45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to the Knowledge of the Company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(other than knowledge of the transactions contemplated hereby, which will be publicly disclosed in a press release pursuant to Section 4.5. below). The Company understands and confirms that the Purchasers will rely on the foregoing representation in effecting transactions in securities of the Company. All of the disclosure furnished by or on behalf of the Company to the Purchasers in this Agreement (including the schedules hereto)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information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7" w:lineRule="exact"/>
        <w:rPr>
          <w:sz w:val="20"/>
          <w:szCs w:val="20"/>
          <w:color w:val="auto"/>
        </w:rPr>
      </w:pPr>
    </w:p>
    <w:p>
      <w:pPr>
        <w:jc w:val="both"/>
        <w:ind w:left="-460" w:firstLine="644"/>
        <w:spacing w:after="0" w:line="256" w:lineRule="auto"/>
        <w:tabs>
          <w:tab w:leader="none" w:pos="51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to the Knowledge of the Company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Private Placement Securities under the Securities Act, or (ii) any applicable stockholder approval provisions of any Trading Market on which any of the securities of the Company are listed or designated.</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3.1(bb)</w:t>
      </w:r>
      <w:r>
        <w:rPr>
          <w:rFonts w:ascii="Times New Roman" w:cs="Times New Roman" w:eastAsia="Times New Roman" w:hAnsi="Times New Roman"/>
          <w:sz w:val="18"/>
          <w:szCs w:val="18"/>
          <w:color w:val="auto"/>
        </w:rPr>
        <w:t xml:space="preserve"> and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8"/>
          <w:szCs w:val="18"/>
          <w:u w:val="single" w:color="auto"/>
          <w:color w:val="auto"/>
        </w:rPr>
        <w:t>Schedule 3.1(bb)</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Except as set forth in </w:t>
      </w:r>
      <w:r>
        <w:rPr>
          <w:rFonts w:ascii="Times New Roman" w:cs="Times New Roman" w:eastAsia="Times New Roman" w:hAnsi="Times New Roman"/>
          <w:sz w:val="18"/>
          <w:szCs w:val="18"/>
          <w:u w:val="single" w:color="auto"/>
          <w:color w:val="auto"/>
        </w:rPr>
        <w:t>Schedule 3.1(bb)</w:t>
      </w:r>
      <w:r>
        <w:rPr>
          <w:rFonts w:ascii="Times New Roman" w:cs="Times New Roman" w:eastAsia="Times New Roman" w:hAnsi="Times New Roman"/>
          <w:sz w:val="18"/>
          <w:szCs w:val="18"/>
          <w:color w:val="auto"/>
        </w:rPr>
        <w:t>, the Company nor any Subsidiary is in default with respect to any Indebtedness.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1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4" w:name="page105"/>
    <w:bookmarkEnd w:id="104"/>
    <w:p>
      <w:pPr>
        <w:jc w:val="both"/>
        <w:ind w:left="4" w:firstLine="644"/>
        <w:spacing w:after="0" w:line="255" w:lineRule="auto"/>
        <w:tabs>
          <w:tab w:leader="none" w:pos="97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to the Knowledge of the Company there is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9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to the Knowledge of the Company any Person acting on behalf of the Company has offered or sold any of the Private Placement Securities by any form of general solicitation or general advertising. Assuming the accuracy of the Purchasers’ representations and warranties under this Agreement, the Company has offered the Private Placement Securities for sale only to the Purchasers and certain other “accredited investors” within the meaning of Rule 501 under the Securities Act.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7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4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CBIZ CPAs P.C. To the Knowledge of the Company, such accounting firm is a registered public accounting firm as required by the Exchange Act. The financial statements of the Company for the fiscal year ended December 31, 2025 were audited by Deloitte &amp; Touche LLP, the Company's former independent registered public accounting firm, which included its opinion with respect to such financial statements in the Company’s Annual Report for the fiscal year ended December 31, 2025.</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02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5" w:name="page106"/>
    <w:bookmarkEnd w:id="105"/>
    <w:p>
      <w:pPr>
        <w:jc w:val="both"/>
        <w:ind w:left="-460" w:firstLine="644"/>
        <w:spacing w:after="0" w:line="254" w:lineRule="auto"/>
        <w:tabs>
          <w:tab w:leader="none" w:pos="53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0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xml:space="preserve"> Anything in this Agreement or elsewhere herein to the contrary notwithstanding (except for Sections 3.2(g) and 4.13 hereof), it is understood and acknowledged by the Company that: (i) none of the Purchasers has been asked by the Company to agree, nor, to the Knowledge of the Company,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xml:space="preserve"> The Company has not, and to the Knowledge of the Company no Person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above, compensation paid to the Placement Agent in connection with the placement of the Securities.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Any stock option granted by the Company under an equity incentive plan was granted (i) in accordance therewith and (ii) with an exercise price at least equal to the fair market value of the Common Stock on the date such stock option would be considered granted under GAAP and applicable law. No stock option granted under any equity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Knowledge of the Company,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6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 and Import Laws</w:t>
      </w:r>
      <w:r>
        <w:rPr>
          <w:rFonts w:ascii="Times New Roman" w:cs="Times New Roman" w:eastAsia="Times New Roman" w:hAnsi="Times New Roman"/>
          <w:sz w:val="18"/>
          <w:szCs w:val="18"/>
          <w:color w:val="auto"/>
        </w:rPr>
        <w:t>. The Company and, to the Knowledge of the Company, each of its affiliates and each director, officer, agent or employee of, or other person associated with or acting on behalf of the Company, has acted at all times in compliance in all material respects with applicable Export and Import Laws (as defined below) and there are no claims, complaints, charges, investigations or proceedings pending or expected or, to the Knowledge of the Company, threatened between the Company or any of its Subsidiaries and any governmental authority under any Export or Import Laws. The term “Export and Import Laws” means the Arms Export Control Act (22 U.S.C.A. § 2278), the Export Administration Act (50 U.S.C. App. §§ 2401-2420), the International Traffic in Arms Regulations (22 C.F.R. §§ 120-130), the Export Administration Regulations (15 C.F.R. 730 et seq.), the Customs Laws of the United States (19 U.S.C. § 1 et seq.), any executive orders or regulations issued pursuant to the foregoing or by the agencies listed in Part 730 of the Export Administration Regulations ,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6" w:name="page107"/>
    <w:bookmarkEnd w:id="106"/>
    <w:p>
      <w:pPr>
        <w:ind w:left="-460" w:right="20" w:firstLine="644"/>
        <w:spacing w:after="0" w:line="282" w:lineRule="auto"/>
        <w:tabs>
          <w:tab w:leader="none" w:pos="53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3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material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3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Private Placement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8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To the Knowledge of the Company, no person (other than any Issuer Covered Person and the Placement Agent)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9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D&amp;O Questionnaires</w:t>
      </w:r>
      <w:r>
        <w:rPr>
          <w:rFonts w:ascii="Times New Roman" w:cs="Times New Roman" w:eastAsia="Times New Roman" w:hAnsi="Times New Roman"/>
          <w:sz w:val="18"/>
          <w:szCs w:val="18"/>
          <w:color w:val="auto"/>
        </w:rPr>
        <w:t>. To the Knowledge of the Company’s, all information contained in the questionnaires most recently completed or otherwise most recently confirmed as accurate by each of the Company’s directors and officers and beneficial owner of 5% or more of the Common Stock or Common Stock Equivalents is true and correct in all respects and the Company has not become aware of any information which would cause the information disclosed in such questionnaires or otherwise most recently confirmed to become inaccurate and incorrect.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7" w:name="page108"/>
    <w:bookmarkEnd w:id="107"/>
    <w:p>
      <w:pPr>
        <w:jc w:val="both"/>
        <w:ind w:left="660" w:firstLine="644"/>
        <w:spacing w:after="0" w:line="255" w:lineRule="auto"/>
        <w:tabs>
          <w:tab w:leader="none" w:pos="170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Company’s Business; No Direct Cannabis Operations</w:t>
      </w:r>
      <w:r>
        <w:rPr>
          <w:rFonts w:ascii="Times New Roman" w:cs="Times New Roman" w:eastAsia="Times New Roman" w:hAnsi="Times New Roman"/>
          <w:sz w:val="18"/>
          <w:szCs w:val="18"/>
          <w:color w:val="auto"/>
        </w:rPr>
        <w:t>. The Company is engaged in the business of designing, manufacturing, marketing, and selling Products directly or indirectly to a range of commercial and horticultural customers, which may include, among others, Cannabis Customers. The Company represents and warrants that neither the Company nor any Subsidiary plants, cultivates, harvests, processes, distributes, sells, dispenses, or otherwise takes possession of, or takes title to, cannabis, marijuana, or any derivative product regulated as a controlled substance under the CSA. The Company's revenue is not derived from the cultivation, manufacture, processing, distribution, dispensing, or sale of cannabis or marijuana and does not arise from any activity that would cause the Company to be a “manufacturer,” “distributor,” “dispensary,” or other cannabis-licensed operator under the CSA or any state Cannabis Program.</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6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Cannabis Law Risk Disclosure</w:t>
      </w:r>
      <w:r>
        <w:rPr>
          <w:rFonts w:ascii="Times New Roman" w:cs="Times New Roman" w:eastAsia="Times New Roman" w:hAnsi="Times New Roman"/>
          <w:sz w:val="18"/>
          <w:szCs w:val="18"/>
          <w:color w:val="auto"/>
        </w:rPr>
        <w:t xml:space="preserve">. The Company acknowledges that cannabis and marijuana remain classified as Schedule I controlled substances under the CSA, and that the cultivation, distribution, and sale of cannabis and marijuana are illegal under U.S. federal law notwithstanding that such activities may be legal under the law of certain states in which the Company’s Cannabis Customers are licensed to operate. The Company represents that except as set forth on </w:t>
      </w:r>
      <w:r>
        <w:rPr>
          <w:rFonts w:ascii="Times New Roman" w:cs="Times New Roman" w:eastAsia="Times New Roman" w:hAnsi="Times New Roman"/>
          <w:sz w:val="18"/>
          <w:szCs w:val="18"/>
          <w:u w:val="single" w:color="auto"/>
          <w:color w:val="auto"/>
        </w:rPr>
        <w:t>Schedule 3(vv)</w:t>
      </w:r>
      <w:r>
        <w:rPr>
          <w:rFonts w:ascii="Times New Roman" w:cs="Times New Roman" w:eastAsia="Times New Roman" w:hAnsi="Times New Roman"/>
          <w:sz w:val="18"/>
          <w:szCs w:val="18"/>
          <w:color w:val="auto"/>
        </w:rPr>
        <w:t>: (i) to the Knowledge of the Company, its sale of Products to Cannabis Customers, in the manner conducted by the Company, does not constitute a violation of the CSA or aiding and abetting a violation of the CSA; and (ii) neither the Company nor any Subsidiary has been charged with, or received written notice of any pending or threatened investigation, enforcement action, or prosecution relating to, a violation of the CSA or any other federal law arising from its sale of Products to Cannabis Customers.</w:t>
      </w:r>
    </w:p>
    <w:p>
      <w:pPr>
        <w:spacing w:after="0" w:line="192" w:lineRule="exact"/>
        <w:rPr>
          <w:sz w:val="20"/>
          <w:szCs w:val="20"/>
          <w:color w:val="auto"/>
        </w:rPr>
      </w:pPr>
    </w:p>
    <w:p>
      <w:pPr>
        <w:jc w:val="both"/>
        <w:ind w:left="660" w:firstLine="644"/>
        <w:spacing w:after="0" w:line="255" w:lineRule="auto"/>
        <w:tabs>
          <w:tab w:leader="none" w:pos="165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Banking, Payment Processing, and Financial Institution Relationships</w:t>
      </w:r>
      <w:r>
        <w:rPr>
          <w:rFonts w:ascii="Times New Roman" w:cs="Times New Roman" w:eastAsia="Times New Roman" w:hAnsi="Times New Roman"/>
          <w:sz w:val="18"/>
          <w:szCs w:val="18"/>
          <w:color w:val="auto"/>
        </w:rPr>
        <w:t>. The Company represents that (i) neither the Company nor any Subsidiary has received written notice from any bank, financial institution, or payment processor that its accounts have been or will be closed, suspended, or restricted as a result of the Company’s sale of Products to Cannabis Customers, and (ii) to the Knowledge of the Company there is no fact that would lead it to reasonably conclude that its banking, merchant processing, or other financial institution relationships material to its business will be terminated or materially impaired as a result of its relationships with Cannabis Customers, other than general industry-wide risks disclosed in the SEC Reports relating to the reluctance of certain federally regulated financial institutions to service companies connected to the cannabis industry.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4"/>
        <w:spacing w:after="0" w:line="254" w:lineRule="auto"/>
        <w:tabs>
          <w:tab w:leader="none" w:pos="15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as limited by the Enforceability Exceptions.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both"/>
        <w:ind w:left="-460" w:firstLine="644"/>
        <w:spacing w:after="0" w:line="253" w:lineRule="auto"/>
        <w:tabs>
          <w:tab w:leader="none" w:pos="47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Such Purchaser understands that the Private Placement Securities are “restricted securities” and have not been registered under the Securities Act or any applicable state securities law and is acquiring the Private Placement Securities as principal for its own account and not with a view to or for distributing or reselling such Private Placement Securities or any part thereof in violation of the Securities Act or any applicable state securities law, has no present intention of distributing any of such Private Placement Securities in violation of the Securities Act or any applicable state securities law and has no direct or indirect arrangement or understandings with any other Persons to distribute or regarding the distribution of such Private Placement Securities in violation of the Securities Act or any applicable state securities law (this representation and warranty not limiting such Purchaser’s right to sell the Private Placement Securities pursuant to an effective Registration Statement or in compliance with applicable federal and state securities laws). Such Purchaser is acquiring the Securities hereunder in the ordinary course of its business. Such Purchaser understands that the Registered Shares are being sold pursuant to the Registration Statement and that the Registered Shares are freely tradable, subject to applicable prospectus delivery requirements.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3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Purchaser represents that (i) Purchaser was contacted regarding the sale of the Securities by the Placement Agent or the Company (or authorized representative thereof) and the Purchaser had a prior pre-existing relationship with the Company or the Placement Agent under the U.S. securities laws and interpretations, (ii) to the knowledge of such Purchaser, no Securities were offered or sold to it by means of any form of general solicitation, and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the Registration Statement, the Prospectus, the Prospectus Supplement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9" w:name="page110"/>
    <w:bookmarkEnd w:id="109"/>
    <w:p>
      <w:pPr>
        <w:jc w:val="both"/>
        <w:ind w:left="660" w:firstLine="644"/>
        <w:spacing w:after="0" w:line="269" w:lineRule="auto"/>
        <w:tabs>
          <w:tab w:leader="none" w:pos="1563"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Transactions and Confidentiality</w:t>
      </w:r>
      <w:r>
        <w:rPr>
          <w:rFonts w:ascii="Times New Roman" w:cs="Times New Roman" w:eastAsia="Times New Roman" w:hAnsi="Times New Roman"/>
          <w:sz w:val="17"/>
          <w:szCs w:val="17"/>
          <w:color w:val="auto"/>
        </w:rPr>
        <w:t>. Other than consummating the transactions contemplated hereunder, such Purchaser has not directly or indirectly, nor has any Person acting on behalf of or pursuant to any understanding with such Purchaser, executed any purchases or sales, including Short Sales, of the securities of the Company during the period commencing as of the time that such Purchaser first communicated with the Company or any other Person representing the Company regarding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employees, partners, legal and other advisors,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Securities may only be disposed of in compliance with state and federal securities laws. In connection with any transfer of Private Placement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Private Placement Securities, under the Securities Act. As a condition of transfer, any such transferee shall agree in writing to be bound by the terms of the Transaction Documents and shall have the rights and obligations of a Purchaser under the Transaction Documents.</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59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Private Placement Securities in the following form:</w:t>
      </w:r>
    </w:p>
    <w:p>
      <w:pPr>
        <w:spacing w:after="0" w:line="16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THIS SECURITY [AND THE SECURITIES FOR WHICH THIS SECURITY IS EXERCISABLE] HAS NOT BEEN REGISTERED WITH THE UNITED STATES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FOR WHICH THIS SECURITY IS EXERCISABLE]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Private Placement Securities to a financial institution that is an “accredited investor” as defined in Rule 501(a) under the Securities Act and, if required under the terms of such arrangement, such Purchaser may transfer pledged or secured Private Placement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Private Placement Securities may reasonably request in connection with a pledge or transfer of the Private Placement Securities, including, if the Private Placement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spacing w:after="0" w:line="192" w:lineRule="exact"/>
        <w:rPr>
          <w:sz w:val="20"/>
          <w:szCs w:val="20"/>
          <w:color w:val="auto"/>
        </w:rPr>
      </w:pPr>
    </w:p>
    <w:p>
      <w:pPr>
        <w:jc w:val="both"/>
        <w:ind w:firstLine="644"/>
        <w:spacing w:after="0" w:line="252" w:lineRule="auto"/>
        <w:tabs>
          <w:tab w:leader="none" w:pos="89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Private Placement Securities shall not contain any legend (including the legend set forth in Section 4.1(b) hereof): (i) while a registration statement (including the Resale Registration Statement) covering the resale of such security is effective under the Securities Act, (ii) following any sale of such Private Placement Securities pursuant to Rule 144 (assuming cashless exercise of the Warrants), (iii) if such Private Placement Securities are eligible for sale under Rule 144 (assuming cashless exercise of the Warrants) without volume or manner-of-sale restrictions, or (iv) if such legend is not required under applicable requirements of the Securities Act (including judicial interpretations and pronouncements issued by the staff of the Commission). The Company shall, at its expense, cause its counsel to issue a legal opinion to the Transfer Agent and/or any Purchaser promptly after the Effective Date if required by the Transfer Agent or if requested by a Purchaser to effect the removal of the legend hereunder or if requested by a Purchaser. The Company agrees that following the Effective Date or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Private Placement Securities,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Private Placement Securities that is free from all restrictive and other legends. The Company may not make any notation on its records or give instructions to the Transfer Agent that enlarge the restrictions on transfer set forth in this Section 4. Certificates for Private Placement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or DRS statements evidencing Private Placement Securities issued with a restrictive legend.</w:t>
      </w:r>
    </w:p>
    <w:p>
      <w:pPr>
        <w:spacing w:after="0" w:line="191" w:lineRule="exact"/>
        <w:rPr>
          <w:rFonts w:ascii="Times New Roman" w:cs="Times New Roman" w:eastAsia="Times New Roman" w:hAnsi="Times New Roman"/>
          <w:sz w:val="18"/>
          <w:szCs w:val="18"/>
          <w:color w:val="auto"/>
        </w:rPr>
      </w:pPr>
    </w:p>
    <w:p>
      <w:pPr>
        <w:jc w:val="both"/>
        <w:ind w:firstLine="644"/>
        <w:spacing w:after="0" w:line="252" w:lineRule="auto"/>
        <w:tabs>
          <w:tab w:leader="none" w:pos="92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$2,500 of Private Placement Securities (based on the average high and low prices of the Common Stock on the date such Private Placement Securities are submitted to the Transfer Agent) for which removal of the restrictive legend was requested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(or book entry notation) representing the Private Placement Securities so delivered to the Company by such Purchaser that is free from all restrictive and other legends and (b) if after the Legend Removal Date such Purchaser purchases (in an open market transaction or otherwise) Common Stock to deliver in satisfaction of a sale by such Purchaser of all or any portion of the number of Common Stock, or a sale of a number of Common Stock equal to all or any portion of the number of Common Stock that such Purchaser anticipated receiving from the Company without any restrictive legend, then, an amount equal to the excess of such Purchaser’s total purchase price (including brokerage commissions and other out-of-pocket expenses, if any) for the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(x) such number of Private Placement Securities for which legend removal was requested by the Legend Removal Date multiplied by (y) the average of the high and low sales prices of the Private Placement Securities on the date on which the legend removal was requested.</w:t>
      </w:r>
    </w:p>
    <w:p>
      <w:pPr>
        <w:spacing w:after="0" w:line="1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1" w:name="page112"/>
    <w:bookmarkEnd w:id="111"/>
    <w:p>
      <w:pPr>
        <w:jc w:val="both"/>
        <w:ind w:left="660" w:firstLine="644"/>
        <w:spacing w:after="0" w:line="258" w:lineRule="auto"/>
        <w:tabs>
          <w:tab w:leader="none" w:pos="156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only sell any Private Placement Securities pursuant to either the registration requirements of the Securities Act, including any applicable prospectus delivery requirements, or an exemption therefrom, and that if Private Placement Securities are sold pursuant to a registration statement, they will be sold in compliance with the plan of distribution set forth therein, and acknowledges that the removal of the restrictive legend from certificates representing Private Placement Securities as set forth in this Section 4.1 is predicated upon the Company’s reliance upon this understanding.</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Registered Shares issued to any Affiliate of the Company, if any, the Registered Shares shall be issued free of restrictive legends.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65"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earliest of the time that no Purchaser owns Securities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5"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Resale Registration Statement is not effective and available for use, at any time during the period commencing from the six (6) month anniversary of the date hereof and ending at such time that all of the Private Placement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such an issuer in the future, and the Company shall fail to satisfy any condition set forth in Rule 144(i)</w:t>
      </w:r>
    </w:p>
    <w:p>
      <w:pPr>
        <w:spacing w:after="0" w:line="3"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Private Placement Securities, an amount in cash equal to one percent (1%) of the aggregate Subscription Amount of such Purchaser’s Securities remaining to be sold on the day</w:t>
      </w:r>
    </w:p>
    <w:p>
      <w:pPr>
        <w:ind w:left="660"/>
        <w:spacing w:after="0" w:line="186" w:lineRule="auto"/>
        <w:rPr>
          <w:sz w:val="20"/>
          <w:szCs w:val="20"/>
          <w:color w:val="auto"/>
        </w:rPr>
      </w:pPr>
      <w:r>
        <w:rPr>
          <w:rFonts w:ascii="Times New Roman" w:cs="Times New Roman" w:eastAsia="Times New Roman" w:hAnsi="Times New Roman"/>
          <w:sz w:val="18"/>
          <w:szCs w:val="18"/>
          <w:color w:val="auto"/>
        </w:rPr>
        <w:t>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(pro-rated for periods totaling less than thirty days) thereafter until the earlier of</w:t>
      </w:r>
    </w:p>
    <w:p>
      <w:pPr>
        <w:spacing w:after="0" w:line="1" w:lineRule="exact"/>
        <w:rPr>
          <w:sz w:val="20"/>
          <w:szCs w:val="20"/>
          <w:color w:val="auto"/>
        </w:rPr>
      </w:pPr>
    </w:p>
    <w:p>
      <w:pPr>
        <w:jc w:val="both"/>
        <w:ind w:left="660" w:hanging="4"/>
        <w:spacing w:after="0" w:line="249" w:lineRule="auto"/>
        <w:tabs>
          <w:tab w:leader="none" w:pos="91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such Public Information Failure is cured, and (b) such time that such public information is no longer required for the Purchasers to transfer the Private Placement Securities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 the last day</w:t>
      </w:r>
    </w:p>
    <w:p>
      <w:pPr>
        <w:spacing w:after="0" w:line="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18"/>
          <w:szCs w:val="18"/>
          <w:color w:val="auto"/>
        </w:rPr>
        <w:t>of the 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 The parties agree that the maximum aggregate Public Information Failure Payments payable to a Purchaser under this Agreement shall be 10% of the aggregate Subscription Amount paid by such Purchaser pursuant to this Agreement.</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Private Placement Securities in a manner that would require the registration of the Private Placement Securities under the Securities Act or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If all or any portion of a Warrant is exercised at a time when there is an effective Resale Registration Statement to cover the issuance or resale of the Warrant Shares or if the Warrant is exercised via cashless exercise, the Warrant Shares issued pursuant to any such exercise shall be issued free of all legends. If at any time following the date hereof the Resale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and be of no further force and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Stockholder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4.5, the Company covenants and agrees that neither it, nor any other Person acting on its behalf will provide any Purchaser (other than Purchasers who are then directors or officers of the Company)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or any of its Subsidiaries, or any of their respective officers, directors, employees or agents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furnish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general corporate purposes and shall not use such proceeds in violation of FCPA or OFAC regulations.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4.9,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(including a Purchaser Party’s status as an investor), or any of them or their respective Affiliates, by the Company or any stockholder of the Company who is not an Affiliate of such Purchaser Party, arising out of or relating to any of the transactions contemplated by the Transaction Documents, or (c) any untrue or alleged untrue statement of a material fact contained in the Registration Statement, the Prospectus or the Prospectus Supplement, or any omission or alleged omission of a material fact required to be stated therein or necessary in order to make the statements therein, in light of the circumstances under which they were made, not misleading, except insofar as such untrue statement or omission was made in reliance upon and in conformity with information furnished in writing by or on behalf of such Purchaser Party expressly for use in the Registration Statement, the Prospectus or the Prospectus Supplement. For the avoidance of doubt, the indemnification provided herein is intended to, and shall also cover, direct claims brought by the Company against the Purchaser Parties; provided, however, that such indemnification shall not cover any loss, claim, damage or liability to the extent it is finally judicially determined to be attributable to any Purchaser Party’s breach of any of the representations, warranties, covenants or agreements made by such Purchaser Party in any Transaction Document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4.9 shall be made by periodic payments of the amount thereof during the course of the investigation, defense, collection, enforcement or action, as and when bills are received or are incurred; provided, that if any Purchaser Party is finally judicially determined not to be entitled to indemnification or payment under this Section 4.9,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Shares and Warrant Shares.</w:t>
      </w:r>
      <w:r>
        <w:rPr>
          <w:rFonts w:ascii="Times New Roman" w:cs="Times New Roman" w:eastAsia="Times New Roman" w:hAnsi="Times New Roman"/>
          <w:sz w:val="18"/>
          <w:szCs w:val="18"/>
          <w:color w:val="auto"/>
        </w:rPr>
        <w:t xml:space="preserve"> The Company shall use reasonable best efforts to, if applicable: (i) in the time and manner required by the principal Trading Market, prepare and file with such Trading Market an additional shares listing application covering the Shares and Warrant Shares,</w:t>
      </w:r>
    </w:p>
    <w:p>
      <w:pPr>
        <w:jc w:val="both"/>
        <w:ind w:firstLine="8"/>
        <w:spacing w:after="0" w:line="253" w:lineRule="auto"/>
        <w:tabs>
          <w:tab w:leader="none" w:pos="2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steps necessary to cause such Shares and Warrant Shares to be approved for listing or quotation on such Trading Market as soon as possible thereafter, (iii) provide to the Purchasers evidence of such listing or quotation and (iv) maintain the listing or quotation of such Common Stock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On Closing, the Company shall have reserved and the Company shall continue to reserve and keep available at all times, free of preemptive rights, a sufficient number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4.5. Each Purchaser, severally and not jointly with the other Purchasers, covenants that until such time as the transactions contemplated by this Agreement are publicly disclosed by the Company pursuant to the initial press release as described in Section 4.5, such Purchaser will maintain the confidentiality of the existence and terms of this transaction and the information included in the Transaction Documents and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4.5,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4.5 and (iii) no Purchaser that is not a director, officer or employee of the Company shall have any duty of confidentiality or duty not to trade in the securities of the Company to the Company or its Subsidiaries after the issuance of the initial press release as described in Section 4.5.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xml:space="preserve">. The Company shall timely file a Form D with respect to the Private Placement Securities as required under Regulation D and to provide a copy thereof, promptly upon request of any Purchaser. The Company shall take such action as the Company shall reasonably determine is necessary in order to obtain an exemption for, or to qualify the Private Placement Securities for, sale to the Purchasers at the Closing under applicable securities or “Blue Sky” laws of the states of the United States, and shall provide evidence of such actions promptly upon request of any Purchaser. Each Purchaser acknowledges and agrees to promptly provide to the Company or its representatives any such information as may be reasonably requested so as to allow the Company to comply with the provisions of this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Capital Changes</w:t>
      </w:r>
      <w:r>
        <w:rPr>
          <w:rFonts w:ascii="Times New Roman" w:cs="Times New Roman" w:eastAsia="Times New Roman" w:hAnsi="Times New Roman"/>
          <w:sz w:val="18"/>
          <w:szCs w:val="18"/>
          <w:color w:val="auto"/>
        </w:rPr>
        <w:t>. Until the one hundred twentieth (120th) day following the Effective Date upon which all of the Private Placement Securities are registered for resale or, if earlier, the date on which all of the Securities have been sold pursuant to Rule 144, the Company shall not undertake a reverse or forward stock split or reclassification of the Common Stock without the prior written consent of the Purchasers then holding a majority in interest of the Securities based on the initial Subscription Amounts hereunder, unless such capital change becomes necessary to maintain listing on the Trading Market.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Common Stock, which dilution may be substantial under certain market conditions. The Company further acknowledges, subject to the terms and conditions in the Transaction Documents, that its obligations under the Transaction Documents, including, without limitation, its obligation to issue the Securities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will, at the Closing, execute and deliver Lock-Up Agreements with each of the directors and executive officers and 10% or greater stockholders of the Company. The Company shall not amend, modify, waive or terminate any provision of any of the Lock-Up Agreements except to extend the term of the lock-up period and shall enforce the provisions of each Lock-Up Agreement in accordance with its terms. If any officer or director that is a party to a Lock-Up Agreement breaches any provision of a Lock-Up Agreement, the Company shall promptly use its reasonable best efforts to seek specific performance of the terms of such Lock-Up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xml:space="preserve"> (a) From the date hereof until one hundred twenty (120) days after the Effective Date upon which all of the Private Placement Securities are registered for resale (the “120</w:t>
      </w:r>
      <w:r>
        <w:rPr>
          <w:rFonts w:ascii="Times New Roman" w:cs="Times New Roman" w:eastAsia="Times New Roman" w:hAnsi="Times New Roman"/>
          <w:sz w:val="18"/>
          <w:szCs w:val="18"/>
          <w:u w:val="single" w:color="auto"/>
          <w:color w:val="auto"/>
        </w:rPr>
        <w:t>-Day Standstill</w:t>
      </w:r>
      <w:r>
        <w:rPr>
          <w:rFonts w:ascii="Times New Roman" w:cs="Times New Roman" w:eastAsia="Times New Roman" w:hAnsi="Times New Roman"/>
          <w:sz w:val="18"/>
          <w:szCs w:val="18"/>
          <w:color w:val="auto"/>
        </w:rPr>
        <w:t>”), neither the Company nor any Subsidiary shall (i) issue, enter into any agreement to issue or announce the issuance or proposed issuance of any Common Stock or Common Stock Equivalents or (ii) file any registration statement or any amendment or supplement thereto, except as required to be filed pursuant to the Registration Rights Agreement or a post-effective amendment required to keep a prospectus under a currently effective registration statement current, without the prior written consent of the Purchasers then holding a majority in interest of the Securities based on the initial Subscription Amounts hereunder. Notwithstanding the foregoing, this Section 4.18 shall not apply in respect of an Exempt Issuance.</w:t>
      </w:r>
    </w:p>
    <w:p>
      <w:pPr>
        <w:spacing w:after="0" w:line="189" w:lineRule="exact"/>
        <w:rPr>
          <w:sz w:val="20"/>
          <w:szCs w:val="20"/>
          <w:color w:val="auto"/>
        </w:rPr>
      </w:pPr>
    </w:p>
    <w:p>
      <w:pPr>
        <w:jc w:val="both"/>
        <w:ind w:firstLine="656"/>
        <w:spacing w:after="0" w:line="252" w:lineRule="auto"/>
        <w:tabs>
          <w:tab w:leader="none" w:pos="91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eighteen (18) month anniversary of the Effective Date upon which all of the Private Placement Securities are registered for resale, the Company shall be prohibited from effecting or entering into an agreement to effect any issuance by the Company or any of its Subsidiaries of Common Stock or Common Stock Equivalents (or a combination of units thereof) involving a Variable Rate Transaction, without the prior written consent of the Purchasers then holding a majority in interest of the Securities based on the initial Subscription Amounts hereunder. “</w:t>
      </w:r>
      <w:r>
        <w:rPr>
          <w:rFonts w:ascii="Times New Roman" w:cs="Times New Roman" w:eastAsia="Times New Roman" w:hAnsi="Times New Roman"/>
          <w:sz w:val="18"/>
          <w:szCs w:val="18"/>
          <w:u w:val="single" w:color="auto"/>
          <w:color w:val="auto"/>
        </w:rPr>
        <w:t>Variable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“at the market” offering, whereby the Company may issue securities at a future determined price. Any Purchaser shall be entitled to obtain injunctive relief against the Company to preclude any such issuance, which remedy shall be in addition to any right to collect damages. Notwithstanding the foregoing, but subject to the 120-Day Standstill, this Section 4.18(b) shall not apply in respect of any sales under an at-the-market facility effected through a registered broker dealer sales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ind w:left="51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five (5) Trading Days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will not affect the right of any party to sue for any breach by any other party (or parties).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The Company shall deliver to each Purchaser, prior to the Closing, a completed and executed copy of the Closing Statement,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(email shall suffice) and shall be deemed given and effective on the earliest of: (a) the time of transmission, if such notice or communication is delivered via facsimile or email at the facsimile number or email address as set forth on the signature pages attached hereto at or prior to 5:30 p.m. (New York City time) on a Trading Day, (b) the next Trading Day after the date of transmission, if such notice or communication is delivered via facsimile or email at the facsimile number or email address as set forth on the signature pages attached hereto on a day that is not a Trading Day or later than 5:30 p.m. (New York</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file or furnish, as applicable, such notice with the Commission pursuant to a Current Report on Form 8-K.</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No provision of this Agreement may be waived, modified, supplemented or amended except in a written instrument signed, in the case of an amendment, by the Company and the Purchasers holding at least a majority in interest of the Securities based on the initial Subscription Amounts hereunder (or, prior to the Closing, the Company and each Purchaser) or, in the case of a waiver, by the party against whom enforcement of any such waived provision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Securities, by the provisions of the Transaction Documents and shall have the rights and obligations of a Purchaser under the Transaction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third-party beneficiary of the representations and warranties of the Company in Section 3.1 hereof and with respect to the representations and warranties of the Purchasers in Section 3.2 hereof. This Agreement is intended for the benefit of the parties hereto and their respective successors and permitted assigns and is not for the benefit of, nor may any provision hereof be enforced by, any other Person, except as otherwise set forth in Section 4.9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hereto shall commence an Action or Proceeding to enforce any provisions of the Transaction Documents, then, in addition to the obligations of the Company under Section 4.9,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Usury</w:t>
      </w:r>
      <w:r>
        <w:rPr>
          <w:rFonts w:ascii="Times New Roman" w:cs="Times New Roman" w:eastAsia="Times New Roman" w:hAnsi="Times New Roman"/>
          <w:sz w:val="18"/>
          <w:szCs w:val="18"/>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Placement Agent Counsel. The Placement Agent Counsel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Hydrofarm Holdings Group, Inc.</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59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Hydrofarm Holdings Group, Inc.</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1510 Main Street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Shoemakersville, Pennsylvania 19555</w:t>
            </w:r>
          </w:p>
        </w:tc>
      </w:tr>
      <w:tr>
        <w:trPr>
          <w:trHeight w:val="216"/>
        </w:trPr>
        <w:tc>
          <w:tcPr>
            <w:tcW w:w="594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r>
      <w:tr>
        <w:trPr>
          <w:trHeight w:val="234"/>
        </w:trPr>
        <w:tc>
          <w:tcPr>
            <w:tcW w:w="594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PURCHASERS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HYDROFARM HOLDINGS GROUP,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PURCHASE AGREEMENT]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-7620</wp:posOffset>
            </wp:positionV>
            <wp:extent cx="2571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-7620</wp:posOffset>
            </wp:positionV>
            <wp:extent cx="2571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-6350</wp:posOffset>
            </wp:positionV>
            <wp:extent cx="2571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-7620</wp:posOffset>
            </wp:positionV>
            <wp:extent cx="2571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-7620</wp:posOffset>
            </wp:positionV>
            <wp:extent cx="2571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-7620</wp:posOffset>
            </wp:positionV>
            <wp:extent cx="2857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Address for Notices to Purchaser:</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Address for Notices (if different than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-7620</wp:posOffset>
            </wp:positionV>
            <wp:extent cx="2571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notices):</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Amount: $</w:t>
            </w:r>
          </w:p>
        </w:tc>
        <w:tc>
          <w:tcPr>
            <w:tcW w:w="860" w:type="dxa"/>
            <w:vAlign w:val="bottom"/>
          </w:tcPr>
          <w:p>
            <w:pPr>
              <w:spacing w:after="0"/>
              <w:rPr>
                <w:sz w:val="20"/>
                <w:szCs w:val="20"/>
                <w:color w:val="auto"/>
              </w:rPr>
            </w:pPr>
          </w:p>
        </w:tc>
      </w:tr>
      <w:tr>
        <w:trPr>
          <w:trHeight w:val="64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Shares: __________________________________</w:t>
            </w:r>
          </w:p>
        </w:tc>
        <w:tc>
          <w:tcPr>
            <w:tcW w:w="860" w:type="dxa"/>
            <w:vAlign w:val="bottom"/>
          </w:tcPr>
          <w:p>
            <w:pPr>
              <w:spacing w:after="0"/>
              <w:rPr>
                <w:sz w:val="24"/>
                <w:szCs w:val="24"/>
                <w:color w:val="auto"/>
              </w:rPr>
            </w:pPr>
          </w:p>
        </w:tc>
      </w:tr>
      <w:tr>
        <w:trPr>
          <w:trHeight w:val="64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Unregistered Shares: _________________</w:t>
            </w:r>
          </w:p>
        </w:tc>
        <w:tc>
          <w:tcPr>
            <w:tcW w:w="860" w:type="dxa"/>
            <w:vAlign w:val="bottom"/>
          </w:tcPr>
          <w:p>
            <w:pPr>
              <w:spacing w:after="0"/>
              <w:rPr>
                <w:sz w:val="24"/>
                <w:szCs w:val="24"/>
                <w:color w:val="auto"/>
              </w:rPr>
            </w:pPr>
          </w:p>
        </w:tc>
      </w:tr>
      <w:tr>
        <w:trPr>
          <w:trHeight w:val="86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 Shares: _________________</w:t>
            </w:r>
          </w:p>
        </w:tc>
        <w:tc>
          <w:tcPr>
            <w:tcW w:w="860" w:type="dxa"/>
            <w:vAlign w:val="bottom"/>
          </w:tcPr>
          <w:p>
            <w:pPr>
              <w:spacing w:after="0"/>
              <w:rPr>
                <w:sz w:val="24"/>
                <w:szCs w:val="24"/>
                <w:color w:val="auto"/>
              </w:rPr>
            </w:pPr>
          </w:p>
        </w:tc>
      </w:tr>
      <w:tr>
        <w:trPr>
          <w:trHeight w:val="64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Warrant Shares:_______________________</w:t>
            </w:r>
          </w:p>
        </w:tc>
        <w:tc>
          <w:tcPr>
            <w:tcW w:w="860" w:type="dxa"/>
            <w:vAlign w:val="bottom"/>
          </w:tcPr>
          <w:p>
            <w:pPr>
              <w:spacing w:after="0"/>
              <w:rPr>
                <w:sz w:val="24"/>
                <w:szCs w:val="24"/>
                <w:color w:val="auto"/>
              </w:rPr>
            </w:pPr>
          </w:p>
        </w:tc>
      </w:tr>
      <w:tr>
        <w:trPr>
          <w:trHeight w:val="676"/>
        </w:trPr>
        <w:tc>
          <w:tcPr>
            <w:tcW w:w="5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Beneficial Ownership Blocker (Warrant)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tc>
        <w:tc>
          <w:tcPr>
            <w:tcW w:w="860" w:type="dxa"/>
            <w:vAlign w:val="bottom"/>
          </w:tcPr>
          <w:p>
            <w:pPr>
              <w:spacing w:after="0"/>
              <w:rPr>
                <w:sz w:val="24"/>
                <w:szCs w:val="24"/>
                <w:color w:val="auto"/>
              </w:rPr>
            </w:pPr>
          </w:p>
        </w:tc>
      </w:tr>
      <w:tr>
        <w:trPr>
          <w:trHeight w:val="432"/>
        </w:trPr>
        <w:tc>
          <w:tcPr>
            <w:tcW w:w="5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Beneficial Ownership Blocker (Pre-Funded Warrant, if applicable)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w:t>
            </w:r>
          </w:p>
        </w:tc>
        <w:tc>
          <w:tcPr>
            <w:tcW w:w="8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w w:val="92"/>
              </w:rPr>
              <w:t>☐</w:t>
            </w:r>
            <w:r>
              <w:rPr>
                <w:rFonts w:ascii="Times New Roman" w:cs="Times New Roman" w:eastAsia="Times New Roman" w:hAnsi="Times New Roman"/>
                <w:sz w:val="18"/>
                <w:szCs w:val="18"/>
                <w:color w:val="auto"/>
                <w:w w:val="92"/>
              </w:rPr>
              <w:t xml:space="preserve"> 9.99%</w:t>
            </w:r>
          </w:p>
        </w:tc>
      </w:tr>
      <w:tr>
        <w:trPr>
          <w:trHeight w:val="4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Tax ID Number:</w:t>
            </w:r>
          </w:p>
        </w:tc>
        <w:tc>
          <w:tcPr>
            <w:tcW w:w="432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________________</w:t>
            </w: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-2767965</wp:posOffset>
            </wp:positionV>
            <wp:extent cx="2857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855345</wp:posOffset>
            </wp:positionH>
            <wp:positionV relativeFrom="paragraph">
              <wp:posOffset>-25400</wp:posOffset>
            </wp:positionV>
            <wp:extent cx="11709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 –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ind w:left="105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attached Securities Purchase Agreement, dated as of the date hereto, the purchasers shall purchase up to $8,336,000 of Securities of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Section 2.1 of the Securities Purchase Agreement, each purchaser’s funds will be wired, at such purchaser’s election, either into an account maintained by the Company or into the escrow account established pursuant to the Escrow Agreement. All funds will be disbursed in accordance with this Closing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Disbursement Date: </w:t>
      </w:r>
      <w:r>
        <w:rPr>
          <w:rFonts w:ascii="Times New Roman" w:cs="Times New Roman" w:eastAsia="Times New Roman" w:hAnsi="Times New Roman"/>
          <w:sz w:val="18"/>
          <w:szCs w:val="18"/>
          <w:color w:val="auto"/>
        </w:rPr>
        <w:t>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 PER SHARE PURCHASE PRICE</w:t>
            </w:r>
          </w:p>
        </w:tc>
        <w:tc>
          <w:tcPr>
            <w:tcW w:w="36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53"/>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Gross Proceeds to be Received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391"/>
        </w:trPr>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II. DISBURSEMENTS</w:t>
            </w:r>
          </w:p>
        </w:tc>
        <w:tc>
          <w:tcPr>
            <w:tcW w:w="36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20" w:type="dxa"/>
            <w:vAlign w:val="bottom"/>
            <w:gridSpan w:val="4"/>
          </w:tcPr>
          <w:p>
            <w:pPr>
              <w:ind w:left="1320"/>
              <w:spacing w:after="0"/>
              <w:rPr>
                <w:sz w:val="20"/>
                <w:szCs w:val="20"/>
                <w:color w:val="auto"/>
              </w:rPr>
            </w:pPr>
            <w:r>
              <w:rPr>
                <w:rFonts w:ascii="Times New Roman" w:cs="Times New Roman" w:eastAsia="Times New Roman" w:hAnsi="Times New Roman"/>
                <w:sz w:val="18"/>
                <w:szCs w:val="18"/>
                <w:color w:val="auto"/>
              </w:rPr>
              <w:t>Cash Fee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w:t>
            </w:r>
          </w:p>
        </w:tc>
      </w:tr>
      <w:tr>
        <w:trPr>
          <w:trHeight w:val="216"/>
        </w:trPr>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20" w:type="dxa"/>
            <w:vAlign w:val="bottom"/>
            <w:gridSpan w:val="4"/>
          </w:tcPr>
          <w:p>
            <w:pPr>
              <w:ind w:left="1320"/>
              <w:spacing w:after="0"/>
              <w:rPr>
                <w:sz w:val="20"/>
                <w:szCs w:val="20"/>
                <w:color w:val="auto"/>
              </w:rPr>
            </w:pPr>
            <w:r>
              <w:rPr>
                <w:rFonts w:ascii="Times New Roman" w:cs="Times New Roman" w:eastAsia="Times New Roman" w:hAnsi="Times New Roman"/>
                <w:sz w:val="18"/>
                <w:szCs w:val="18"/>
                <w:color w:val="auto"/>
              </w:rPr>
              <w:t>Expense Reimbursement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20" w:type="dxa"/>
            <w:vAlign w:val="bottom"/>
            <w:gridSpan w:val="4"/>
          </w:tcPr>
          <w:p>
            <w:pPr>
              <w:ind w:left="1320"/>
              <w:spacing w:after="0"/>
              <w:rPr>
                <w:sz w:val="20"/>
                <w:szCs w:val="20"/>
                <w:color w:val="auto"/>
              </w:rPr>
            </w:pPr>
            <w:r>
              <w:rPr>
                <w:rFonts w:ascii="Times New Roman" w:cs="Times New Roman" w:eastAsia="Times New Roman" w:hAnsi="Times New Roman"/>
                <w:sz w:val="18"/>
                <w:szCs w:val="18"/>
                <w:color w:val="auto"/>
              </w:rPr>
              <w:t>Purchase Price for Placement Agent’s Warrants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410"/>
        </w:trPr>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Disbursements: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$_______</w:t>
            </w:r>
          </w:p>
        </w:tc>
      </w:tr>
      <w:tr>
        <w:trPr>
          <w:trHeight w:val="238"/>
        </w:trPr>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Proceeds to be Received: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$_______</w:t>
            </w:r>
          </w:p>
        </w:tc>
      </w:tr>
      <w:tr>
        <w:trPr>
          <w:trHeight w:val="392"/>
        </w:trPr>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WIRE INSTRUCTIONS:</w:t>
            </w:r>
          </w:p>
        </w:tc>
        <w:tc>
          <w:tcPr>
            <w:tcW w:w="3680" w:type="dxa"/>
            <w:vAlign w:val="bottom"/>
          </w:tcPr>
          <w:p>
            <w:pPr>
              <w:spacing w:after="0"/>
              <w:rPr>
                <w:sz w:val="24"/>
                <w:szCs w:val="24"/>
                <w:color w:val="auto"/>
              </w:rPr>
            </w:pPr>
          </w:p>
        </w:tc>
      </w:tr>
      <w:tr>
        <w:trPr>
          <w:trHeight w:val="218"/>
        </w:trPr>
        <w:tc>
          <w:tcPr>
            <w:tcW w:w="19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5640" w:type="dxa"/>
            <w:vAlign w:val="bottom"/>
            <w:gridSpan w:val="2"/>
          </w:tcPr>
          <w:p>
            <w:pPr>
              <w:spacing w:after="0"/>
              <w:rPr>
                <w:sz w:val="18"/>
                <w:szCs w:val="18"/>
                <w:color w:val="auto"/>
              </w:rPr>
            </w:pPr>
          </w:p>
        </w:tc>
        <w:tc>
          <w:tcPr>
            <w:tcW w:w="3680" w:type="dxa"/>
            <w:vAlign w:val="bottom"/>
          </w:tcPr>
          <w:p>
            <w:pPr>
              <w:spacing w:after="0"/>
              <w:rPr>
                <w:sz w:val="18"/>
                <w:szCs w:val="18"/>
                <w:color w:val="auto"/>
              </w:rPr>
            </w:pPr>
          </w:p>
        </w:tc>
      </w:tr>
      <w:tr>
        <w:trPr>
          <w:trHeight w:val="234"/>
        </w:trPr>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Hydrofarm Holdings Group, Inc.</w:t>
            </w:r>
          </w:p>
        </w:tc>
        <w:tc>
          <w:tcPr>
            <w:tcW w:w="3680" w:type="dxa"/>
            <w:vAlign w:val="bottom"/>
          </w:tcPr>
          <w:p>
            <w:pPr>
              <w:spacing w:after="0"/>
              <w:rPr>
                <w:sz w:val="20"/>
                <w:szCs w:val="20"/>
                <w:color w:val="auto"/>
              </w:rPr>
            </w:pPr>
          </w:p>
        </w:tc>
      </w:tr>
      <w:tr>
        <w:trPr>
          <w:trHeight w:val="331"/>
        </w:trPr>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Common Warrant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added]</w:t>
      </w:r>
    </w:p>
    <w:p>
      <w:pPr>
        <w:sectPr>
          <w:pgSz w:w="11900" w:h="16838" w:orient="portrait"/>
          <w:cols w:equalWidth="0" w:num="1">
            <w:col w:w="9019"/>
          </w:cols>
          <w:pgMar w:left="1440" w:top="333"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October 27, 2026, between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5" w:lineRule="exact"/>
        <w:rPr>
          <w:sz w:val="20"/>
          <w:szCs w:val="20"/>
          <w:color w:val="auto"/>
        </w:rPr>
      </w:pPr>
    </w:p>
    <w:p>
      <w:pPr>
        <w:ind w:left="840" w:hanging="184"/>
        <w:spacing w:after="0"/>
        <w:tabs>
          <w:tab w:leader="none" w:pos="8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45th calendar day following the filing of the Initial Registration Statement (or, in the event of a “full review” by the Commission, the 75th calendar day following the filing of the Initial Registration Statement), and with respect to any additional Registration Statements which may be required pursuant to Section 2(c) or Section 3(c), the 30th calendar day following the date on which an additional Registration Statement is required to be filed hereunder (or, in the event of a “full review” by the Commission, the 60th calendar day following the date on which an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15th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Private Placement Securities then issued and outstanding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or (iii)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w:t>
      </w:r>
    </w:p>
    <w:p>
      <w:pPr>
        <w:spacing w:after="0" w:line="19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w:t>
      </w:r>
    </w:p>
    <w:p>
      <w:pPr>
        <w:sectPr>
          <w:pgSz w:w="11900" w:h="16838" w:orient="portrait"/>
          <w:cols w:equalWidth="0" w:num="1">
            <w:col w:w="11240"/>
          </w:cols>
          <w:pgMar w:left="320" w:top="117" w:right="339" w:bottom="0" w:gutter="0" w:footer="0" w:header="0"/>
        </w:sectPr>
      </w:pPr>
    </w:p>
    <w:bookmarkStart w:id="128" w:name="page129"/>
    <w:bookmarkEnd w:id="128"/>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such registration statement or Prospectus, including pre- and post-effective amendments, all exhibits thereto, and all material incorporated by reference or deemed to be incorporated by reference in any such registration statement.</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 w:lineRule="exact"/>
        <w:rPr>
          <w:sz w:val="20"/>
          <w:szCs w:val="20"/>
          <w:color w:val="auto"/>
        </w:rPr>
      </w:pPr>
    </w:p>
    <w:p>
      <w:pPr>
        <w:ind w:left="64" w:firstLine="594"/>
        <w:spacing w:after="0" w:line="260" w:lineRule="auto"/>
        <w:rPr>
          <w:sz w:val="20"/>
          <w:szCs w:val="20"/>
          <w:color w:val="auto"/>
        </w:rPr>
      </w:pP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ind w:left="184" w:hanging="184"/>
        <w:spacing w:after="0"/>
        <w:tabs>
          <w:tab w:leader="none" w:pos="18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99"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any changes required by SEC Guidance or Commission comments;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applicable law,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Eastern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Eastern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aforesaid shall be deemed an Event under Section 2(d).</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45"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best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02"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225" w:lineRule="exact"/>
        <w:rPr>
          <w:rFonts w:ascii="Times New Roman" w:cs="Times New Roman" w:eastAsia="Times New Roman" w:hAnsi="Times New Roman"/>
          <w:sz w:val="18"/>
          <w:szCs w:val="18"/>
          <w:color w:val="auto"/>
        </w:rPr>
      </w:pPr>
    </w:p>
    <w:p>
      <w:pPr>
        <w:ind w:left="644" w:right="40" w:hanging="320"/>
        <w:spacing w:after="0" w:line="312" w:lineRule="auto"/>
        <w:tabs>
          <w:tab w:leader="none" w:pos="644"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the Company shall reduce Registrable Securities represented by Warrant Shares (applied, in the case that some Warrant Shares may be registered, to the Holders on a pro rata basis based on the total number of unregistered Warrant Shares held by such Holders); and</w:t>
      </w:r>
    </w:p>
    <w:p>
      <w:pPr>
        <w:spacing w:after="0" w:line="355" w:lineRule="exact"/>
        <w:rPr>
          <w:rFonts w:ascii="Times New Roman" w:cs="Times New Roman" w:eastAsia="Times New Roman" w:hAnsi="Times New Roman"/>
          <w:sz w:val="17"/>
          <w:szCs w:val="17"/>
          <w:color w:val="auto"/>
        </w:rPr>
      </w:pPr>
    </w:p>
    <w:p>
      <w:pPr>
        <w:ind w:left="644" w:right="160" w:hanging="320"/>
        <w:spacing w:after="0" w:line="312" w:lineRule="auto"/>
        <w:tabs>
          <w:tab w:leader="none" w:pos="644"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the Company shall reduce Registrable Securities represented by Unregistered Shares (applied, in the case that some Unregistered Shares may be registered, to the Holders on a pro rata basis based on the total number of Unregistered Shares held by such Holders).</w:t>
      </w:r>
    </w:p>
    <w:p>
      <w:pPr>
        <w:spacing w:after="0" w:line="140"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jc w:val="both"/>
        <w:ind w:left="4" w:firstLine="50"/>
        <w:spacing w:after="0" w:line="274" w:lineRule="auto"/>
        <w:tabs>
          <w:tab w:leader="none" w:pos="33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w:t>
      </w:r>
    </w:p>
    <w:p>
      <w:pPr>
        <w:sectPr>
          <w:pgSz w:w="11900" w:h="16838" w:orient="portrait"/>
          <w:cols w:equalWidth="0" w:num="1">
            <w:col w:w="10584"/>
          </w:cols>
          <w:pgMar w:left="976" w:top="121" w:right="339" w:bottom="0" w:gutter="0" w:footer="0" w:header="0"/>
        </w:sectPr>
      </w:pPr>
    </w:p>
    <w:bookmarkStart w:id="129" w:name="page130"/>
    <w:bookmarkEnd w:id="129"/>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fifteen</w:t>
      </w:r>
    </w:p>
    <w:p>
      <w:pPr>
        <w:spacing w:after="0" w:line="5" w:lineRule="exact"/>
        <w:rPr>
          <w:sz w:val="20"/>
          <w:szCs w:val="20"/>
          <w:color w:val="auto"/>
        </w:rPr>
      </w:pPr>
    </w:p>
    <w:p>
      <w:pPr>
        <w:jc w:val="both"/>
        <w:ind w:left="4" w:hanging="4"/>
        <w:spacing w:after="0" w:line="251" w:lineRule="auto"/>
        <w:tabs>
          <w:tab w:leader="none" w:pos="3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calendar days or more than an aggregate of twenty five (25)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on which such ten (10) calendar day period is exceeded, and for purpose of clause (v) the date on which such fifteen (15) or twenty five (25)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2.0% multiplied by the aggregate Subscription Amount paid by such Holder pursuant to the Purchase Agreement. If the Company fails to pay any partial liquidated damages pursuant to this Section in full within seven (7)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Notwithstanding anything contained herein, no liquidated damages shall accrue or be payable to a Holder (i) under this Section 2(d) on any Registrable Securities that may be sold pursuant to Rule 144 and (ii) under this Agreement if a delay in meeting any Filing Date deadline or Effective Date deadline is solely due to the actions, inactions or directives (including under Section 3(a)) of such Holder.</w:t>
      </w:r>
    </w:p>
    <w:p>
      <w:pPr>
        <w:spacing w:after="0" w:line="190"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1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left="4" w:firstLine="644"/>
        <w:spacing w:after="0" w:line="282" w:lineRule="auto"/>
        <w:tabs>
          <w:tab w:leader="none" w:pos="87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2" w:lineRule="exact"/>
        <w:rPr>
          <w:sz w:val="20"/>
          <w:szCs w:val="20"/>
          <w:color w:val="auto"/>
        </w:rPr>
      </w:pPr>
    </w:p>
    <w:p>
      <w:pPr>
        <w:ind w:left="184" w:hanging="184"/>
        <w:spacing w:after="0"/>
        <w:tabs>
          <w:tab w:leader="none" w:pos="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53" w:lineRule="auto"/>
        <w:tabs>
          <w:tab w:leader="none" w:pos="907"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six (6) Trading Days prior to the filing of each Registration Statement and not less than two (2) Trading Days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 (2) Trading Days prior to the Filing Date or by the end of the fourth (4th) Trading Day following the date on which such Holder receives draft materials in accordance with this Section.</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9" w:lineRule="auto"/>
        <w:tabs>
          <w:tab w:leader="none" w:pos="909"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32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2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 subject to the provisions of Section 2(c).</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5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w:t>
      </w:r>
    </w:p>
    <w:p>
      <w:pPr>
        <w:sectPr>
          <w:pgSz w:w="11900" w:h="16838" w:orient="portrait"/>
          <w:cols w:equalWidth="0" w:num="1">
            <w:col w:w="10584"/>
          </w:cols>
          <w:pgMar w:left="976" w:top="121" w:right="339" w:bottom="0" w:gutter="0" w:footer="0" w:header="0"/>
        </w:sectPr>
      </w:pPr>
    </w:p>
    <w:bookmarkStart w:id="130" w:name="page131"/>
    <w:bookmarkEnd w:id="130"/>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 xml:space="preserve">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(unless such information is legally required to be included in such notice) which would constitute material, non-public information regarding the Company or any of its Subsidiaries.</w:t>
      </w:r>
    </w:p>
    <w:p>
      <w:pPr>
        <w:spacing w:after="0" w:line="190" w:lineRule="exact"/>
        <w:rPr>
          <w:sz w:val="20"/>
          <w:szCs w:val="20"/>
          <w:color w:val="auto"/>
        </w:rPr>
      </w:pPr>
    </w:p>
    <w:p>
      <w:pPr>
        <w:jc w:val="both"/>
        <w:ind w:left="4" w:firstLine="644"/>
        <w:spacing w:after="0" w:line="266" w:lineRule="auto"/>
        <w:tabs>
          <w:tab w:leader="none" w:pos="9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93"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(1)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43"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2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8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or book entry statements as applicable,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sixty (60) calendar days (which need not be consecutive days) in any 12-month period.</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1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reasonable best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4" w:firstLine="644"/>
        <w:spacing w:after="0" w:line="282" w:lineRule="auto"/>
        <w:tabs>
          <w:tab w:leader="none" w:pos="87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maintain eligibility for use of Form S-3 (or any successor form thereto) for the registration of the resale of Registrable Securities.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8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(3)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17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w:t>
      </w:r>
    </w:p>
    <w:p>
      <w:pPr>
        <w:sectPr>
          <w:pgSz w:w="11900" w:h="16838" w:orient="portrait"/>
          <w:cols w:equalWidth="0" w:num="1">
            <w:col w:w="10584"/>
          </w:cols>
          <w:pgMar w:left="976" w:top="121" w:right="339" w:bottom="0" w:gutter="0" w:footer="0" w:header="0"/>
        </w:sectPr>
      </w:pPr>
    </w:p>
    <w:bookmarkStart w:id="131" w:name="page132"/>
    <w:bookmarkEnd w:id="131"/>
    <w:p>
      <w:pPr>
        <w:jc w:val="both"/>
        <w:spacing w:after="0" w:line="254" w:lineRule="auto"/>
        <w:rPr>
          <w:sz w:val="20"/>
          <w:szCs w:val="20"/>
          <w:color w:val="auto"/>
        </w:rPr>
      </w:pPr>
      <w:r>
        <w:rPr>
          <w:rFonts w:ascii="Times New Roman" w:cs="Times New Roman" w:eastAsia="Times New Roman" w:hAnsi="Times New Roman"/>
          <w:sz w:val="18"/>
          <w:szCs w:val="18"/>
          <w:color w:val="auto"/>
        </w:rPr>
        <w:t>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88" w:lineRule="exact"/>
        <w:rPr>
          <w:sz w:val="20"/>
          <w:szCs w:val="20"/>
          <w:color w:val="auto"/>
        </w:rPr>
      </w:pPr>
    </w:p>
    <w:p>
      <w:pPr>
        <w:ind w:left="840" w:hanging="184"/>
        <w:spacing w:after="0"/>
        <w:tabs>
          <w:tab w:leader="none" w:pos="8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57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6(h).</w:t>
      </w:r>
    </w:p>
    <w:p>
      <w:pPr>
        <w:spacing w:after="0" w:line="204"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7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officers, directors, members, partners, agents and employees (and any other Persons with a functionally equivalent role of a Person holding such titles, notwithstanding a lack of such title or any other title) of each of them, each Person who controls the Company (within the meaning of Section 15 of the Securities Act or Section 20 of the Exchange Act) and the officers, directors, members, stockholders, partners and employees (and any other Persons with a functionally equivalent role of a Person holding such titles, notwithstanding a lack of such title or any other title) of each such controlling Person, to the fullest extent permitted by applicable law, from and against all Losses, as incurred, to the extent arising out of or based solely upon: any untrue statement of a material fact contained in any Registration Statement, any Prospectus, or in any amendment or supplement thereto or in any preliminary prospectus, or arising out of or relating to any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reasonable fees and expenses incurred in connection with defense thereof, except as otherwise provided in this Section 5(c);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w:t>
      </w:r>
    </w:p>
    <w:p>
      <w:pPr>
        <w:sectPr>
          <w:pgSz w:w="11900" w:h="16838" w:orient="portrait"/>
          <w:cols w:equalWidth="0" w:num="1">
            <w:col w:w="11240"/>
          </w:cols>
          <w:pgMar w:left="320" w:top="121" w:right="339" w:bottom="0" w:gutter="0" w:footer="0" w:header="0"/>
        </w:sectPr>
      </w:pPr>
    </w:p>
    <w:bookmarkStart w:id="132" w:name="page133"/>
    <w:bookmarkEnd w:id="132"/>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76"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left="4" w:firstLine="644"/>
        <w:spacing w:after="0" w:line="253" w:lineRule="auto"/>
        <w:tabs>
          <w:tab w:leader="none" w:pos="93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184" w:hanging="184"/>
        <w:spacing w:after="0"/>
        <w:tabs>
          <w:tab w:leader="none" w:pos="18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6" w:right="60" w:firstLine="656"/>
        <w:spacing w:after="0" w:line="256" w:lineRule="auto"/>
        <w:tabs>
          <w:tab w:leader="none" w:pos="37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Except for the shares of Common Stock issuable upon exercise of the warrants issued to the Placement Agent in the transactions contemplated by the Purchase Agreement,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sixty (60) days following the date that all Registrable Securities are registered pursuant to a Registration Statement that is declared effective by the Commission provided that this Section 6(b) shall not prohibit the Company from filing amendments to registration statements filed prior to the date of this Agreement or a Form S-8 or Form S-4.</w:t>
      </w:r>
    </w:p>
    <w:p>
      <w:pPr>
        <w:spacing w:after="0" w:line="187" w:lineRule="exact"/>
        <w:rPr>
          <w:rFonts w:ascii="Times New Roman" w:cs="Times New Roman" w:eastAsia="Times New Roman" w:hAnsi="Times New Roman"/>
          <w:sz w:val="18"/>
          <w:szCs w:val="18"/>
          <w:color w:val="auto"/>
        </w:rPr>
      </w:pPr>
    </w:p>
    <w:p>
      <w:pPr>
        <w:ind w:left="-656" w:firstLine="656"/>
        <w:spacing w:after="0" w:line="282" w:lineRule="auto"/>
        <w:tabs>
          <w:tab w:leader="none" w:pos="26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Holder covenants and agrees that it will comply with the prospectus delivery requirements of the Securities Act as applicable to it in connection with sales of Registrable Securities pursuant to a Registration Statement or an exemption therefrom.</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4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Holder a written notice of such determination and, if within fifteen (15) days after the date of the delivery of such notice, any such Holder shall so request in writing, the Company shall include in such registration statement all or any part of such Registrable Securities such Holder requests to be registered;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register any Registrable Securities pursuant to this Section 6(e) that are eligible for resale pursuant to Rule 144 (without volume restrictions or current public information requirements) promulgated by the Commission pursuant to the Securities Act or that are the subject of a then effective Registration Statement that is available for resales or other dispositions by such Holder.</w:t>
      </w:r>
    </w:p>
    <w:p>
      <w:pPr>
        <w:spacing w:after="0" w:line="194"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3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Holders of more than 50% of the then outstanding Registrable Securities (for purposes of clarification, this includes any Registrable Securities issuable upon exercise of any Warrants),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-5518150</wp:posOffset>
            </wp:positionV>
            <wp:extent cx="5645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4515" cy="8890"/>
                    </a:xfrm>
                    <a:prstGeom prst="rect">
                      <a:avLst/>
                    </a:prstGeom>
                    <a:noFill/>
                  </pic:spPr>
                </pic:pic>
              </a:graphicData>
            </a:graphic>
          </wp:anchor>
        </w:drawing>
      </w:r>
    </w:p>
    <w:p>
      <w:pPr>
        <w:sectPr>
          <w:pgSz w:w="11900" w:h="16838" w:orient="portrait"/>
          <w:cols w:equalWidth="0" w:num="1">
            <w:col w:w="10584"/>
          </w:cols>
          <w:pgMar w:left="976" w:top="121" w:right="339" w:bottom="0" w:gutter="0" w:footer="0" w:header="0"/>
        </w:sectPr>
      </w:pPr>
    </w:p>
    <w:bookmarkStart w:id="133" w:name="page134"/>
    <w:bookmarkEnd w:id="133"/>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6(f). No consideration shall be offered or paid to any Person to amend or consent to a waiver or modification of any provision of this Agreement unless the same consideration also is offered to all of the parties to this Agreement.</w:t>
      </w:r>
    </w:p>
    <w:p>
      <w:pPr>
        <w:spacing w:after="0" w:line="189" w:lineRule="exact"/>
        <w:rPr>
          <w:sz w:val="20"/>
          <w:szCs w:val="20"/>
          <w:color w:val="auto"/>
        </w:rPr>
      </w:pPr>
    </w:p>
    <w:p>
      <w:pPr>
        <w:ind w:right="20" w:firstLine="656"/>
        <w:spacing w:after="0" w:line="282" w:lineRule="auto"/>
        <w:tabs>
          <w:tab w:leader="none" w:pos="91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9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Registration Rights Agreement as of the date first written above.</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5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 William Toler</w:t>
            </w:r>
          </w:p>
        </w:tc>
      </w:tr>
      <w:tr>
        <w:trPr>
          <w:trHeight w:val="198"/>
        </w:trPr>
        <w:tc>
          <w:tcPr>
            <w:tcW w:w="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7"/>
                <w:szCs w:val="17"/>
                <w:color w:val="auto"/>
              </w:rPr>
            </w:pPr>
          </w:p>
        </w:tc>
        <w:tc>
          <w:tcPr>
            <w:tcW w:w="468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William Toler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OF HOLDERS TO HYDROFARM HOLDINGS GROUP, INC. REGISTRATION RIGHTS AGREEMENT]</w:t>
      </w:r>
    </w:p>
    <w:p>
      <w:pPr>
        <w:sectPr>
          <w:pgSz w:w="11900" w:h="16838" w:orient="portrait"/>
          <w:cols w:equalWidth="0" w:num="1">
            <w:col w:w="11240"/>
          </w:cols>
          <w:pgMar w:left="320" w:top="121" w:right="339" w:bottom="569"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8660" w:type="dxa"/>
            <w:vAlign w:val="bottom"/>
            <w:gridSpan w:val="2"/>
          </w:tcPr>
          <w:p>
            <w:pPr>
              <w:jc w:val="right"/>
              <w:ind w:right="6270"/>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432"/>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tc>
        <w:tc>
          <w:tcPr>
            <w:tcW w:w="7880" w:type="dxa"/>
            <w:vAlign w:val="bottom"/>
          </w:tcPr>
          <w:p>
            <w:pPr>
              <w:jc w:val="right"/>
              <w:ind w:right="5710"/>
              <w:spacing w:after="0"/>
              <w:rPr>
                <w:sz w:val="20"/>
                <w:szCs w:val="20"/>
                <w:color w:val="auto"/>
              </w:rPr>
            </w:pPr>
            <w:r>
              <w:rPr>
                <w:rFonts w:ascii="Times New Roman" w:cs="Times New Roman" w:eastAsia="Times New Roman" w:hAnsi="Times New Roman"/>
                <w:sz w:val="18"/>
                <w:szCs w:val="18"/>
                <w:color w:val="auto"/>
              </w:rPr>
              <w:t>___________________</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Name of Authorized Signatory:</w:t>
            </w:r>
          </w:p>
        </w:tc>
        <w:tc>
          <w:tcPr>
            <w:tcW w:w="780" w:type="dxa"/>
            <w:vAlign w:val="bottom"/>
          </w:tcPr>
          <w:p>
            <w:pPr>
              <w:spacing w:after="0"/>
              <w:rPr>
                <w:sz w:val="24"/>
                <w:szCs w:val="24"/>
                <w:color w:val="auto"/>
              </w:rPr>
            </w:pPr>
          </w:p>
        </w:tc>
        <w:tc>
          <w:tcPr>
            <w:tcW w:w="7880" w:type="dxa"/>
            <w:vAlign w:val="bottom"/>
          </w:tcPr>
          <w:p>
            <w:pPr>
              <w:jc w:val="right"/>
              <w:ind w:right="5890"/>
              <w:spacing w:after="0"/>
              <w:rPr>
                <w:sz w:val="20"/>
                <w:szCs w:val="20"/>
                <w:color w:val="auto"/>
              </w:rPr>
            </w:pPr>
            <w:r>
              <w:rPr>
                <w:rFonts w:ascii="Times New Roman" w:cs="Times New Roman" w:eastAsia="Times New Roman" w:hAnsi="Times New Roman"/>
                <w:sz w:val="18"/>
                <w:szCs w:val="18"/>
                <w:color w:val="auto"/>
              </w:rPr>
              <w:t>___________________</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Signatory:</w:t>
            </w:r>
          </w:p>
        </w:tc>
        <w:tc>
          <w:tcPr>
            <w:tcW w:w="780" w:type="dxa"/>
            <w:vAlign w:val="bottom"/>
          </w:tcPr>
          <w:p>
            <w:pPr>
              <w:spacing w:after="0"/>
              <w:rPr>
                <w:sz w:val="24"/>
                <w:szCs w:val="24"/>
                <w:color w:val="auto"/>
              </w:rPr>
            </w:pPr>
          </w:p>
        </w:tc>
        <w:tc>
          <w:tcPr>
            <w:tcW w:w="7880" w:type="dxa"/>
            <w:vAlign w:val="bottom"/>
          </w:tcPr>
          <w:p>
            <w:pPr>
              <w:jc w:val="right"/>
              <w:ind w:right="5730"/>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331"/>
        </w:trPr>
        <w:tc>
          <w:tcPr>
            <w:tcW w:w="2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transfer or otherwise dispose of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1460" w:hanging="372"/>
        <w:spacing w:after="0"/>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1460" w:right="3340" w:hanging="372"/>
        <w:spacing w:after="0" w:line="282" w:lineRule="auto"/>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225" w:lineRule="exact"/>
        <w:rPr>
          <w:rFonts w:ascii="Times New Roman" w:cs="Times New Roman" w:eastAsia="Times New Roman" w:hAnsi="Times New Roman"/>
          <w:sz w:val="18"/>
          <w:szCs w:val="18"/>
          <w:color w:val="auto"/>
        </w:rPr>
      </w:pPr>
    </w:p>
    <w:p>
      <w:pPr>
        <w:ind w:left="1460" w:hanging="372"/>
        <w:spacing w:after="0" w:line="282" w:lineRule="auto"/>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IM-2121.</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The Company shall not be responsible for any of the Selling Stockholders’ selling costs incurred pursuant to any available method provided hereunder for selling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Selling Stockholders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There is no underwriter or coordinating broker acting in connection with the proposed sale of the resale shares by the Selling Stockholders.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will be sold only through registered or licensed brokers or dealers if required under applicable state securities laws. In addition, in certain states, the shares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w:t>
      </w:r>
    </w:p>
    <w:p>
      <w:pPr>
        <w:sectPr>
          <w:pgSz w:w="11900" w:h="16838" w:orient="portrait"/>
          <w:cols w:equalWidth="0" w:num="1">
            <w:col w:w="11240"/>
          </w:cols>
          <w:pgMar w:left="320" w:top="765" w:right="339" w:bottom="0" w:gutter="0" w:footer="0" w:header="0"/>
        </w:sectPr>
      </w:pPr>
    </w:p>
    <w:bookmarkStart w:id="136" w:name="page137"/>
    <w:bookmarkEnd w:id="136"/>
    <w:p>
      <w:pPr>
        <w:jc w:val="both"/>
        <w:spacing w:after="0" w:line="282" w:lineRule="auto"/>
        <w:rPr>
          <w:sz w:val="20"/>
          <w:szCs w:val="20"/>
          <w:color w:val="auto"/>
        </w:rPr>
      </w:pPr>
      <w:r>
        <w:rPr>
          <w:rFonts w:ascii="Times New Roman" w:cs="Times New Roman" w:eastAsia="Times New Roman" w:hAnsi="Times New Roman"/>
          <w:sz w:val="18"/>
          <w:szCs w:val="18"/>
          <w:color w:val="auto"/>
        </w:rPr>
        <w:t>may not be sold unless they have been registered or qualified for sale in the applicable state or an exemption from the registration or qualification requirement is available and is complied with.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shares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are those previously issued to the selling stockholders or issuable upon exercise of Warrants previously issued to the selling stockholders and Placement Agent Warrants. For additional information regarding the issuances of those shares of common stock, see “Private Placement of Common Stock (and/or Pre-Funded Warrants) and Warrants” above. We are registering the shares in order to permit the selling stockholders to offer the shares for resale from time to time. Except for the ownership of the Company’s securities, the selling stockholders have not had any material relationship with us within the past three years.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Common Stock by each of the selling stockholders. The second column lists the total number of shares of Common Stock beneficially owned by each selling stockholder, based on its ownership of the Common Stock, as of __, 2026,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Common Stock being offered by this prospectus by the selling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the sum of (i) the number of shares of Common Stock issued to the selling stockholders in the “Private Placement of Common Stock (and/or Pre-Funded Warrants) and Warrants” described above and (ii) the maximum number of shares of Common Stock issuable upon exercise of the related Pre-Funded Warrants and Warrants, determined as if the outstanding Pre-Funded Warrants and Warrants were exercised in full as of the trading day immediately preceding the date this registration statement was initially filed with the Commission, each as of the trading day immediately preceding the applicable date of determination and all subject to adjustment as provided in the registration rights agreement, without regard to any limitations on the exercise of the warrants. The fourth column assumes the sale of all of the shares offered by the selling stockholders pursuant to this prospectus.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Pre-Funded Warrants, Warrants and Private Placement Agent Warrants, a selling stockholder may not exercise any such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Common Stock issuable upon exercise of such warrants which have not been exercised. The number of shares in the second and fourth columns do not reflect this limitation. The selling stockholders may sell all, some or none of their shares in this offering. See "Plan of Distribution."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Selling Stockholder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19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Percentage of Shares of</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80" w:type="dxa"/>
            <w:vAlign w:val="bottom"/>
          </w:tcPr>
          <w:p>
            <w:pPr>
              <w:spacing w:after="0"/>
              <w:rPr>
                <w:sz w:val="17"/>
                <w:szCs w:val="17"/>
                <w:color w:val="auto"/>
              </w:rPr>
            </w:pPr>
          </w:p>
        </w:tc>
        <w:tc>
          <w:tcPr>
            <w:tcW w:w="2340" w:type="dxa"/>
            <w:vAlign w:val="bottom"/>
            <w:gridSpan w:val="9"/>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shares of Common Stock to</w:t>
            </w:r>
          </w:p>
        </w:tc>
        <w:tc>
          <w:tcPr>
            <w:tcW w:w="1900" w:type="dxa"/>
            <w:vAlign w:val="bottom"/>
            <w:gridSpan w:val="6"/>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8"/>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Prior to Offering</w:t>
            </w:r>
          </w:p>
        </w:tc>
        <w:tc>
          <w:tcPr>
            <w:tcW w:w="2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6"/>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 Sold Pursuant to this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After Offering</w:t>
            </w:r>
          </w:p>
        </w:tc>
        <w:tc>
          <w:tcPr>
            <w:tcW w:w="120" w:type="dxa"/>
            <w:vAlign w:val="bottom"/>
          </w:tcPr>
          <w:p>
            <w:pPr>
              <w:spacing w:after="0"/>
              <w:rPr>
                <w:sz w:val="17"/>
                <w:szCs w:val="17"/>
                <w:color w:val="auto"/>
              </w:rPr>
            </w:pPr>
          </w:p>
        </w:tc>
        <w:tc>
          <w:tcPr>
            <w:tcW w:w="2060" w:type="dxa"/>
            <w:vAlign w:val="bottom"/>
            <w:gridSpan w:val="10"/>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Beneficially Owned After</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vMerge w:val="restart"/>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Prospectus</w:t>
            </w:r>
          </w:p>
        </w:tc>
        <w:tc>
          <w:tcPr>
            <w:tcW w:w="500" w:type="dxa"/>
            <w:vAlign w:val="bottom"/>
            <w:tcBorders>
              <w:top w:val="single" w:sz="8" w:color="auto"/>
            </w:tcBorders>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40" w:type="dxa"/>
            <w:vAlign w:val="bottom"/>
            <w:tcBorders>
              <w:top w:val="single" w:sz="8" w:color="auto"/>
              <w:bottom w:val="single" w:sz="8" w:color="auto"/>
            </w:tcBorders>
            <w:vMerge w:val="restart"/>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1"/>
              </w:rPr>
              <w:t>(1)</w:t>
            </w:r>
          </w:p>
        </w:tc>
        <w:tc>
          <w:tcPr>
            <w:tcW w:w="520" w:type="dxa"/>
            <w:vAlign w:val="bottom"/>
            <w:tcBorders>
              <w:top w:val="single" w:sz="8" w:color="auto"/>
              <w:bottom w:val="single" w:sz="8" w:color="auto"/>
            </w:tcBorders>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vMerge w:val="continue"/>
          </w:tcPr>
          <w:p>
            <w:pPr>
              <w:spacing w:after="0" w:line="20" w:lineRule="exact"/>
              <w:rPr>
                <w:sz w:val="1"/>
                <w:szCs w:val="1"/>
                <w:color w:val="auto"/>
              </w:rPr>
            </w:pPr>
          </w:p>
        </w:tc>
        <w:tc>
          <w:tcPr>
            <w:tcW w:w="800" w:type="dxa"/>
            <w:vAlign w:val="bottom"/>
            <w:gridSpan w:val="4"/>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tcBorders>
              <w:bottom w:val="single" w:sz="8" w:color="auto"/>
            </w:tcBorders>
            <w:vMerge w:val="continue"/>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tcBorders>
              <w:bottom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60" w:type="dxa"/>
            <w:vAlign w:val="bottom"/>
            <w:tcBorders>
              <w:bottom w:val="single" w:sz="8" w:color="auto"/>
            </w:tcBorders>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8"/>
        <w:spacing w:after="0" w:line="256" w:lineRule="auto"/>
        <w:tabs>
          <w:tab w:leader="none" w:pos="25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exercise the Warrants held by the Selling Stockholders is subject to a beneficial ownership limitation that, at the time of initial issuance of the Warrants was capped at 4.99% or 9.99% beneficial ownership of the Company’s issued and outstanding Common Stock (post-exercise), as applicable. These beneficial ownership limitations may be adjusted up or down, subject to providing advanced notice to the Company. Beneficial ownership as reflected in the selling stockholder table reflects the total number of shares potentially issuable underlying the Warrants and does not give effect to these beneficial ownership limitations. Accordingly, actual beneficial ownership, as calculated in accordance with Section 13(d) and Rule 13d-3 thereunder may be lower than as reflected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spacing w:after="0" w:line="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Hydrofarm Holdings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shares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QUESTIONNAIRE</w:t>
      </w:r>
    </w:p>
    <w:p>
      <w:pPr>
        <w:spacing w:after="0" w:line="221" w:lineRule="exact"/>
        <w:rPr>
          <w:sz w:val="20"/>
          <w:szCs w:val="20"/>
          <w:color w:val="auto"/>
        </w:rPr>
      </w:pPr>
    </w:p>
    <w:p>
      <w:pPr>
        <w:ind w:left="720" w:hanging="712"/>
        <w:spacing w:after="0"/>
        <w:tabs>
          <w:tab w:leader="none" w:pos="7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1420" w:hanging="710"/>
        <w:spacing w:after="0"/>
        <w:tabs>
          <w:tab w:leader="none" w:pos="14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420" w:hanging="710"/>
        <w:spacing w:after="0"/>
        <w:tabs>
          <w:tab w:leader="none" w:pos="14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420" w:right="20" w:hanging="710"/>
        <w:spacing w:after="0" w:line="282" w:lineRule="auto"/>
        <w:tabs>
          <w:tab w:leader="none" w:pos="14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-1839595</wp:posOffset>
            </wp:positionV>
            <wp:extent cx="623189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31890" cy="254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-1265555</wp:posOffset>
            </wp:positionV>
            <wp:extent cx="623189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31890" cy="254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-279400</wp:posOffset>
            </wp:positionV>
            <wp:extent cx="623189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3189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17145</wp:posOffset>
            </wp:positionV>
            <wp:extent cx="620649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06490" cy="254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62490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49035" cy="254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62490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49035" cy="25400"/>
                    </a:xfrm>
                    <a:prstGeom prst="rect">
                      <a:avLst/>
                    </a:prstGeom>
                    <a:noFill/>
                  </pic:spPr>
                </pic:pic>
              </a:graphicData>
            </a:graphic>
          </wp:anchor>
        </w:drawing>
      </w:r>
    </w:p>
    <w:p>
      <w:pPr>
        <w:spacing w:after="0" w:line="242" w:lineRule="exact"/>
        <w:rPr>
          <w:sz w:val="20"/>
          <w:szCs w:val="20"/>
          <w:color w:val="auto"/>
        </w:rPr>
      </w:pPr>
    </w:p>
    <w:p>
      <w:pPr>
        <w:ind w:left="180" w:hanging="172"/>
        <w:spacing w:after="0"/>
        <w:tabs>
          <w:tab w:leader="none" w:pos="18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1420" w:hanging="710"/>
        <w:spacing w:after="0"/>
        <w:tabs>
          <w:tab w:leader="none" w:pos="14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225" w:lineRule="exact"/>
        <w:rPr>
          <w:sz w:val="20"/>
          <w:szCs w:val="20"/>
          <w:color w:val="auto"/>
        </w:rPr>
      </w:pPr>
    </w:p>
    <w:p>
      <w:pPr>
        <w:ind w:left="4820"/>
        <w:spacing w:after="0"/>
        <w:tabs>
          <w:tab w:leader="none" w:pos="594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0"/>
          <w:szCs w:val="20"/>
          <w:color w:val="auto"/>
        </w:rPr>
      </w:pPr>
    </w:p>
    <w:p>
      <w:pPr>
        <w:ind w:left="1420" w:hanging="710"/>
        <w:spacing w:after="0"/>
        <w:tabs>
          <w:tab w:leader="none" w:pos="14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225" w:lineRule="exact"/>
        <w:rPr>
          <w:sz w:val="20"/>
          <w:szCs w:val="20"/>
          <w:color w:val="auto"/>
        </w:rPr>
      </w:pPr>
    </w:p>
    <w:p>
      <w:pPr>
        <w:ind w:left="4820"/>
        <w:spacing w:after="0"/>
        <w:tabs>
          <w:tab w:leader="none" w:pos="594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0"/>
          <w:szCs w:val="20"/>
          <w:color w:val="auto"/>
        </w:rPr>
      </w:pPr>
    </w:p>
    <w:p>
      <w:pPr>
        <w:ind w:left="1440" w:hanging="719"/>
        <w:spacing w:after="0" w:line="261" w:lineRule="auto"/>
        <w:tabs>
          <w:tab w:leader="none" w:pos="142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8"/>
          <w:szCs w:val="18"/>
          <w:color w:val="auto"/>
        </w:rPr>
        <w:t>If “no” to Section 3(b), the Commission’s staff has indicated that you should be identified as an underwriter in the Registration Statement.</w:t>
      </w:r>
    </w:p>
    <w:p>
      <w:pPr>
        <w:ind w:left="1440" w:hanging="730"/>
        <w:spacing w:after="0"/>
        <w:tabs>
          <w:tab w:leader="none" w:pos="14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207" w:lineRule="exact"/>
        <w:rPr>
          <w:sz w:val="20"/>
          <w:szCs w:val="20"/>
          <w:color w:val="auto"/>
        </w:rPr>
      </w:pPr>
    </w:p>
    <w:p>
      <w:pPr>
        <w:ind w:left="4820"/>
        <w:spacing w:after="0"/>
        <w:tabs>
          <w:tab w:leader="none" w:pos="594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0"/>
          <w:szCs w:val="20"/>
          <w:color w:val="auto"/>
        </w:rPr>
      </w:pPr>
    </w:p>
    <w:p>
      <w:pPr>
        <w:jc w:val="both"/>
        <w:ind w:left="1420" w:hanging="710"/>
        <w:spacing w:after="0" w:line="266" w:lineRule="auto"/>
        <w:tabs>
          <w:tab w:leader="none" w:pos="14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ectPr>
          <w:pgSz w:w="11900" w:h="16926" w:orient="portrait"/>
          <w:cols w:equalWidth="0" w:num="1">
            <w:col w:w="11240"/>
          </w:cols>
          <w:pgMar w:left="320" w:top="333" w:right="339" w:bottom="0" w:gutter="0" w:footer="0" w:header="0"/>
        </w:sectPr>
      </w:pPr>
    </w:p>
    <w:bookmarkStart w:id="139" w:name="page140"/>
    <w:bookmarkEnd w:id="139"/>
    <w:p>
      <w:pPr>
        <w:ind w:left="4820"/>
        <w:spacing w:after="0"/>
        <w:tabs>
          <w:tab w:leader="none" w:pos="594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0"/>
          <w:szCs w:val="20"/>
          <w:color w:val="auto"/>
        </w:rPr>
      </w:pPr>
    </w:p>
    <w:p>
      <w:pPr>
        <w:ind w:left="1440" w:hanging="719"/>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8"/>
          <w:szCs w:val="18"/>
          <w:color w:val="auto"/>
        </w:rPr>
        <w:t>If “no” to Section 3(d), the Commission’s staff has indicated that you should be identified as an underwriter in the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Selling Stockholder.</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sz w:val="20"/>
          <w:szCs w:val="20"/>
          <w:color w:val="auto"/>
        </w:rPr>
      </w:pPr>
    </w:p>
    <w:p>
      <w:pPr>
        <w:ind w:left="1420" w:hanging="710"/>
        <w:spacing w:after="0"/>
        <w:tabs>
          <w:tab w:leader="none" w:pos="14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591820</wp:posOffset>
            </wp:positionV>
            <wp:extent cx="623189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31890" cy="2603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428625</wp:posOffset>
            </wp:positionV>
            <wp:extent cx="623189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Relationships with the Company: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454660</wp:posOffset>
            </wp:positionV>
            <wp:extent cx="668655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86550" cy="2540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291465</wp:posOffset>
            </wp:positionV>
            <wp:extent cx="66865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8655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Beneficial Owner: ________________________________</w:t>
      </w:r>
    </w:p>
    <w:p>
      <w:pPr>
        <w:spacing w:after="0" w:line="211" w:lineRule="exact"/>
        <w:rPr>
          <w:sz w:val="20"/>
          <w:szCs w:val="20"/>
          <w:color w:val="auto"/>
        </w:rPr>
      </w:pPr>
    </w:p>
    <w:p>
      <w:pPr>
        <w:sectPr>
          <w:pgSz w:w="11900" w:h="16838" w:orient="portrait"/>
          <w:cols w:equalWidth="0" w:num="2">
            <w:col w:w="5400" w:space="720"/>
            <w:col w:w="5120"/>
          </w:cols>
          <w:pgMar w:left="320" w:top="337" w:right="339" w:bottom="1440" w:gutter="0" w:footer="0" w:header="0"/>
          <w:type w:val="continuous"/>
        </w:sectPr>
      </w:pP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By: _____________________________</w:t>
      </w:r>
    </w:p>
    <w:p>
      <w:pPr>
        <w:spacing w:after="0" w:line="3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337" w:right="33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ThinkEquity LLC</w:t>
      </w:r>
    </w:p>
    <w:p>
      <w:pPr>
        <w:spacing w:after="0" w:line="205" w:lineRule="auto"/>
        <w:rPr>
          <w:sz w:val="20"/>
          <w:szCs w:val="20"/>
          <w:color w:val="auto"/>
        </w:rPr>
      </w:pPr>
      <w:r>
        <w:rPr>
          <w:rFonts w:ascii="Times New Roman" w:cs="Times New Roman" w:eastAsia="Times New Roman" w:hAnsi="Times New Roman"/>
          <w:sz w:val="18"/>
          <w:szCs w:val="18"/>
          <w:color w:val="auto"/>
        </w:rPr>
        <w:t>17 State Street,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Introductory</w:t>
      </w:r>
      <w:r>
        <w:rPr>
          <w:rFonts w:ascii="Times New Roman" w:cs="Times New Roman" w:eastAsia="Times New Roman" w:hAnsi="Times New Roman"/>
          <w:sz w:val="18"/>
          <w:szCs w:val="18"/>
          <w:color w:val="auto"/>
        </w:rPr>
        <w:t>. This Placement Agency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sets forth the terms upon which ThinkEquity LLC, (“</w:t>
      </w:r>
      <w:r>
        <w:rPr>
          <w:rFonts w:ascii="Times New Roman" w:cs="Times New Roman" w:eastAsia="Times New Roman" w:hAnsi="Times New Roman"/>
          <w:sz w:val="18"/>
          <w:szCs w:val="18"/>
          <w:b w:val="1"/>
          <w:bCs w:val="1"/>
          <w:color w:val="auto"/>
        </w:rPr>
        <w:t>ThinkEquity</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shall be engaged by Hydrofarm Holdings Group, Inc., a corporation formed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act as the exclusive placement agent in connection with the proposed registered direct offering and concurrent private placement (hereinafter referred to as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up to (i) 1,599,400 shares (the “</w:t>
      </w:r>
      <w:r>
        <w:rPr>
          <w:rFonts w:ascii="Times New Roman" w:cs="Times New Roman" w:eastAsia="Times New Roman" w:hAnsi="Times New Roman"/>
          <w:sz w:val="18"/>
          <w:szCs w:val="18"/>
          <w:b w:val="1"/>
          <w:bCs w:val="1"/>
          <w:color w:val="auto"/>
        </w:rPr>
        <w:t>Registered Shares</w:t>
      </w:r>
      <w:r>
        <w:rPr>
          <w:rFonts w:ascii="Times New Roman" w:cs="Times New Roman" w:eastAsia="Times New Roman" w:hAnsi="Times New Roman"/>
          <w:sz w:val="18"/>
          <w:szCs w:val="18"/>
          <w:color w:val="auto"/>
        </w:rPr>
        <w:t>”) of the Company’s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pursuant to the Registration Statement and the Prospectus Supplement, and (ii) (A) 7,611,575 shares of Common Stock (the “</w:t>
      </w:r>
      <w:r>
        <w:rPr>
          <w:rFonts w:ascii="Times New Roman" w:cs="Times New Roman" w:eastAsia="Times New Roman" w:hAnsi="Times New Roman"/>
          <w:sz w:val="18"/>
          <w:szCs w:val="18"/>
          <w:b w:val="1"/>
          <w:bCs w:val="1"/>
          <w:color w:val="auto"/>
        </w:rPr>
        <w:t>Unregistered Shares</w:t>
      </w:r>
      <w:r>
        <w:rPr>
          <w:rFonts w:ascii="Times New Roman" w:cs="Times New Roman" w:eastAsia="Times New Roman" w:hAnsi="Times New Roman"/>
          <w:sz w:val="18"/>
          <w:szCs w:val="18"/>
          <w:color w:val="auto"/>
        </w:rPr>
        <w:t>” and, together with the Registered Shares,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pre-funded warrants in lieu thereof (each, a “</w:t>
      </w:r>
      <w:r>
        <w:rPr>
          <w:rFonts w:ascii="Times New Roman" w:cs="Times New Roman" w:eastAsia="Times New Roman" w:hAnsi="Times New Roman"/>
          <w:sz w:val="18"/>
          <w:szCs w:val="18"/>
          <w:b w:val="1"/>
          <w:bCs w:val="1"/>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and in the aggregate,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to purchase one share of Common Stock at an exercise price of $0.0001 per share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until such time as the Pre-Funded Warrants are exercised in full, subject to adjustment as provided in the Pre-Funded Warrants) and (B) warrants (the “</w:t>
      </w:r>
      <w:r>
        <w:rPr>
          <w:rFonts w:ascii="Times New Roman" w:cs="Times New Roman" w:eastAsia="Times New Roman" w:hAnsi="Times New Roman"/>
          <w:sz w:val="18"/>
          <w:szCs w:val="18"/>
          <w:b w:val="1"/>
          <w:bCs w:val="1"/>
          <w:color w:val="auto"/>
        </w:rPr>
        <w:t>Common Warrants</w:t>
      </w:r>
      <w:r>
        <w:rPr>
          <w:rFonts w:ascii="Times New Roman" w:cs="Times New Roman" w:eastAsia="Times New Roman" w:hAnsi="Times New Roman"/>
          <w:sz w:val="18"/>
          <w:szCs w:val="18"/>
          <w:color w:val="auto"/>
        </w:rPr>
        <w:t>” and, together with the Pre-Funded Warrants and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to purchase 9,210,975 shares of Common Stock (the “</w:t>
      </w:r>
      <w:r>
        <w:rPr>
          <w:rFonts w:ascii="Times New Roman" w:cs="Times New Roman" w:eastAsia="Times New Roman" w:hAnsi="Times New Roman"/>
          <w:sz w:val="18"/>
          <w:szCs w:val="18"/>
          <w:b w:val="1"/>
          <w:bCs w:val="1"/>
          <w:color w:val="auto"/>
        </w:rPr>
        <w:t>Common Warrant Shares</w:t>
      </w:r>
      <w:r>
        <w:rPr>
          <w:rFonts w:ascii="Times New Roman" w:cs="Times New Roman" w:eastAsia="Times New Roman" w:hAnsi="Times New Roman"/>
          <w:sz w:val="18"/>
          <w:szCs w:val="18"/>
          <w:color w:val="auto"/>
        </w:rPr>
        <w:t>”) (on the basis of one Warrant Share for each share of Common Stock (or Pre-Funded Warrant) issued in the Offering), in a concurrent private placement pursuant to an exemption from registration under Section 4(a)(2) of the Securities Act and/or Regulation D thereunder; and in each instance, directly to various investors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The Placement Agent may retain other brokers or dealers to act as sub-agents or selected-dealers on its behalf in connection with the Offering. Capitalized terms used but not defined in this Agreement shall have the meaning ascribed to them in the securities purchase agreement to be entered into on the date hereof by the Company and the Investors party thereto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term of the Placement Agent’s exclusive engagement will be until the earlier of (i) November 16, 2026 and (ii) the Closing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date on which the engagement terminates as referenced in the prior sentence shall be referred to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Notwithstanding anything to the contrary contained herein, the parties’ respective obligations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including their respective indemnification and contribution obligations, will survive any expiration or termination of this Agreement. The Company’s obligations to pay fees earned only upon and in connection with a consummated Closing and to reimburse reasonable out-of-pocket expenses actually incurred, in each case subject to the caps and conditions and which are permitted to be reimbursed under limitations set forth in </w:t>
      </w:r>
      <w:r>
        <w:rPr>
          <w:rFonts w:ascii="Times New Roman" w:cs="Times New Roman" w:eastAsia="Times New Roman" w:hAnsi="Times New Roman"/>
          <w:sz w:val="18"/>
          <w:szCs w:val="18"/>
          <w:u w:val="single" w:color="auto"/>
          <w:color w:val="auto"/>
        </w:rPr>
        <w:t>Sections 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1(c)</w:t>
      </w:r>
      <w:r>
        <w:rPr>
          <w:rFonts w:ascii="Times New Roman" w:cs="Times New Roman" w:eastAsia="Times New Roman" w:hAnsi="Times New Roman"/>
          <w:sz w:val="18"/>
          <w:szCs w:val="18"/>
          <w:color w:val="auto"/>
        </w:rPr>
        <w:t xml:space="preserve"> and Rule 5110(g)(4)(A)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will survive any expiration or termination of this Agreement; provided that no fee shall be payable if no Closing occurs.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and (ii)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 Placement Agent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5" w:lineRule="auto"/>
        <w:tabs>
          <w:tab w:leader="none" w:pos="89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between the Company and the Placement Agent, the Placement Agent is appointed as the Company’s exclusive placement agent during the Offering Period. On the basis of such representations and warranties and subject to such terms and conditions, the Placement Agent hereby accepts such appointment and agrees to perform the services hereunder diligently and in good faith and in a professional and businesslike manner and to use its reasonable best efforts to assist the Company in finding subscribers of the Securities who qualify as “accredited investors,” as such term is defined in Rule 501 of Regulation D, and to complete the Offering. The Placement Agent has no obligation to purchase any of the Securities. Unless sooner terminated in accordance with this Agreement, the engagement of the Placement Agent hereunder shall continue until the Termination Date.</w:t>
      </w:r>
    </w:p>
    <w:p>
      <w:pPr>
        <w:spacing w:after="0" w:line="184" w:lineRule="exact"/>
        <w:rPr>
          <w:rFonts w:ascii="Times New Roman" w:cs="Times New Roman" w:eastAsia="Times New Roman" w:hAnsi="Times New Roman"/>
          <w:sz w:val="18"/>
          <w:szCs w:val="18"/>
          <w:color w:val="auto"/>
        </w:rPr>
      </w:pPr>
    </w:p>
    <w:p>
      <w:pPr>
        <w:jc w:val="both"/>
        <w:ind w:firstLine="656"/>
        <w:spacing w:after="0" w:line="259" w:lineRule="auto"/>
        <w:tabs>
          <w:tab w:leader="none" w:pos="90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compensation for services rendered, on the Closing Date, the Company shall pay to the Placement Agent a cash fee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equal to 8.0% of the aggregate purchase price paid by the Investors in respect of the Securities at the Closing. The Cash Fee shall be paid on the Closing. The Company also agrees to reimburse (i) the Placement Agent for all reasonable and out-of-pocket expenses incurred in connection with the Placement Agent’s engagement, including reasonable fees and expenses of the Placement Agent’s legal counsel and due diligence analysis up to $125,000 which amount shall be paid at the Closing from the gross proceeds of the sales of the Securities.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to the Placement Agent or its designees such number of Common Warrants equal to 8% of the Shares and Pre-Funded Warrants sold in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3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(i) the Offering, including the determination of the offering price of the Securities any related discounts, commissions and fees, shall be an arm’s-length commercial transaction between the Company and the Investors, (ii) the Placement Agent will be acting as an independent contractor and will not be the agent or fiduciary of the Company or its stockholders, creditors, employees, the Investors or any other party, (iii) the Placement Agent shall not assume an advisory or fiduciary responsibility in favor of the Company (irrespective of whether the Placement Agent has advised or is currently advising the Company on other matters) and the Placement Agent shall not have any obligation to the Company with respect to the Offering, except as may be set forth expressly herein, (iv) the Placement Agent and its Affiliates may be engaged in a broad range of transactions that involve interests that differ from those of the Company and (v) the Placement Agent will not provide any legal, accounting, regulatory or tax advice with respect to the Offering, and the Company shall consult its own legal, accounting, regulatory and tax advisors to the extent it deems appropriate.</w:t>
      </w:r>
    </w:p>
    <w:p>
      <w:pPr>
        <w:spacing w:after="0" w:line="188" w:lineRule="exact"/>
        <w:rPr>
          <w:rFonts w:ascii="Times New Roman" w:cs="Times New Roman" w:eastAsia="Times New Roman" w:hAnsi="Times New Roman"/>
          <w:sz w:val="18"/>
          <w:szCs w:val="18"/>
          <w:color w:val="auto"/>
        </w:rPr>
      </w:pPr>
    </w:p>
    <w:p>
      <w:pPr>
        <w:jc w:val="both"/>
        <w:ind w:firstLine="656"/>
        <w:spacing w:after="0" w:line="282" w:lineRule="auto"/>
        <w:tabs>
          <w:tab w:leader="none" w:pos="9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will be solely responsible for the contents of any and all written or oral communications provided to the Investors regarding the Offering or the Securities; and the Company recognizes that the Placement Agent, in acting pursuant to this Agreement, will be using</w:t>
      </w:r>
    </w:p>
    <w:p>
      <w:pPr>
        <w:sectPr>
          <w:pgSz w:w="11900" w:h="16838" w:orient="portrait"/>
          <w:cols w:equalWidth="0" w:num="1">
            <w:col w:w="11240"/>
          </w:cols>
          <w:pgMar w:left="320" w:top="117" w:right="339" w:bottom="0" w:gutter="0" w:footer="0" w:header="0"/>
        </w:sectPr>
      </w:pPr>
    </w:p>
    <w:bookmarkStart w:id="141" w:name="page142"/>
    <w:bookmarkEnd w:id="141"/>
    <w:p>
      <w:pPr>
        <w:ind w:right="20"/>
        <w:spacing w:after="0" w:line="282" w:lineRule="auto"/>
        <w:rPr>
          <w:sz w:val="20"/>
          <w:szCs w:val="20"/>
          <w:color w:val="auto"/>
        </w:rPr>
      </w:pPr>
      <w:r>
        <w:rPr>
          <w:rFonts w:ascii="Times New Roman" w:cs="Times New Roman" w:eastAsia="Times New Roman" w:hAnsi="Times New Roman"/>
          <w:sz w:val="18"/>
          <w:szCs w:val="18"/>
          <w:color w:val="auto"/>
        </w:rPr>
        <w:t>information provided by the Company and its agents and representatives and the Placement Agent assumes no responsibility for, and may rely, without independent verification, on the accuracy and completeness of any such information.</w:t>
      </w:r>
    </w:p>
    <w:p>
      <w:pPr>
        <w:spacing w:after="0" w:line="162" w:lineRule="exact"/>
        <w:rPr>
          <w:sz w:val="20"/>
          <w:szCs w:val="20"/>
          <w:color w:val="auto"/>
        </w:rPr>
      </w:pPr>
    </w:p>
    <w:p>
      <w:pPr>
        <w:jc w:val="both"/>
        <w:ind w:firstLine="656"/>
        <w:spacing w:after="0" w:line="266" w:lineRule="auto"/>
        <w:tabs>
          <w:tab w:leader="none" w:pos="89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information or advice rendered by the Placement Agent or any of its representatives in connection with this engagement is for the confidential use of the Board of Directors of the Company only and the Company will not, and will not permit any third party to, disclose or otherwise refer to such advice or information, or to the Placement Agent, in any manner without the Placement Agent’s prior written consent.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Representations, Warranties and Agreements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the Placement Agent as of the date hereof, and as of the date of the Closing, as follows, except as otherwise disclosed in the Securities Purchase Agreement or the schedules or exhibits thereto:</w:t>
      </w:r>
    </w:p>
    <w:p>
      <w:pPr>
        <w:spacing w:after="0" w:line="162" w:lineRule="exact"/>
        <w:rPr>
          <w:sz w:val="20"/>
          <w:szCs w:val="20"/>
          <w:color w:val="auto"/>
        </w:rPr>
      </w:pPr>
    </w:p>
    <w:p>
      <w:pPr>
        <w:jc w:val="both"/>
        <w:ind w:firstLine="656"/>
        <w:spacing w:after="0" w:line="261" w:lineRule="auto"/>
        <w:tabs>
          <w:tab w:leader="none" w:pos="134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Materials. The Company made available to the Placement Agent copies of its most recent Annual Report on Form 10-K filed with the Commission and any other SEC Reports filed subsequent to the end of the fiscal period covered thereby and the Transaction Documents (collectively, the “Disclosure Package”). The Company has not distributed and will not distribute, prior to the Closing, any materials in connection with the Offering other than the Disclosure Package.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This Agreement has been duly authorized, executed and delivered and constitutes and each of the other Transaction Documents, upon due execution and delivery, will constitute, valid and binding obligations of the Company, enforceable against the Company in accordance with their respective terms (i) except as enforceability may be limited by applicable bankruptcy, insolvency, reorganization, moratorium or other similar laws now or hereafter in effect related to laws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(ii) subject to the limitations imposed by general equitable principles (regardless of whether such enforceability is considered in a proceeding at law or in equity).</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512"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 None of the execution and delivery of or performance by the Company under this Agreement or any of the other Transaction Documents or the consummation of the transactions herein or therein contemplated conflicts with or violates, or will result in the creation or imposition of, any Lien, charge or other encumbrance upon any of the assets of the Company under (i) any agreement or other instrument to which the Company is a party or by which the Company or its assets may be bound, (ii) any term of the Certificate of Incorporation or Bylaws of the Company, or</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32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permit, judgment, decree, order, statute, rule or regulation applicable to the Company or any of its assets, except in the case of (i) or (iii) above, as disclosed in the Securities Purchase Agreement or that would not, or could not reasonably be expected to, have a Material Adverse Effect.</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Patriot Act Compliance. Neither the issuance and sale of the Securities by the Company nor the Company’s use of the proceeds thereof will violate the Trading with the Enemy Act, as amended, or any of the foreign assets control regulations of the United States Treasury Department (31 CFR, Subtitle B, Chapter V, as amended) or any enabling legislation or executive order relating thereto. The Company is in compliance, in all material respects, with the USA Patriot Act of 2001 (signed into law October 26, 2001).</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Third Parties. The Company represents to the Placement Agent that the Company has not engaged and is not working with any third party finder in connection with the Offering or the introduction of the Company to the Placement Agent and the Company agrees not to engage, work with or pay fees to any third party finder in connection with the Offering or the introduction of the Company to the Placement Agent. The Company represents and warrants to the Placement Agent that the entry into this Agreement or any other action of the Company in connection with the Offering will not violate any agreement between the Company and any other broker-dealer.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3"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The representations and warranties of the Company in Section 3.1 of the Securities Purchase Agreement are true and correct as of the date of the Closing. For the benefit of the Placement Agent, the Company hereby incorporates by reference all of its representations and warranties as set forth in Section 3.1 of the Securities Purchase Agreement (including any qualifications thereof set forth in the Disclosure Schedules) with the same force and effect as if specifically set forth herein.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for the benefit of the Placement Agent, each of the representations and warranties (together with any related disclosure schedules thereto) made by the Company to the Investors in the Transaction Documents, is hereby incorporated in this Section 2 by reference as though fully restated herein, and each is hereby made to, and in favor of, the Placement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Representations, Warranties and Agreements of Placement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Placement Agent hereby represents, warrants and covenants to the Company as of the date hereof, and as of the date of the Closing,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p>
      <w:pPr>
        <w:jc w:val="both"/>
        <w:ind w:firstLine="656"/>
        <w:spacing w:after="0" w:line="261" w:lineRule="auto"/>
        <w:tabs>
          <w:tab w:leader="none" w:pos="89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w:t>
      </w:r>
      <w:r>
        <w:rPr>
          <w:rFonts w:ascii="Times New Roman" w:cs="Times New Roman" w:eastAsia="Times New Roman" w:hAnsi="Times New Roman"/>
          <w:sz w:val="18"/>
          <w:szCs w:val="18"/>
          <w:color w:val="auto"/>
        </w:rPr>
        <w:t>This Agreement has been duly authorized, executed and delivered by the Placement Agent, and upon due execution and delivery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this Agreement will be a valid and binding agreement of the Placement Agent enforceable against it in accordance with its terms, except as may be limited by principles of public policy and, as to enforceability, subject to applicable bankruptcy, insolvency, reorganization, moratorium and similar laws relating to or affecting creditor’s rights from time to time in effect and subject to general equity principles.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None of the execution or delivery of or performance by the Placement Agent under this Agreement or any other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entered into by the Placement Agent in connection herewith or the consummation of the transactions herein or therein contemplated conflicts with or violates, any agreement or other instrument to which the Placement Agent is a party or by which its assets may be bound, or its limited liability company agreement, or any license, permit, judgment, decree, order, statute, rule or regulation applicable to the Placement Agent or any of its assets, except in each case as would not have a material adverse effect on the transactions contemplated hereby.</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FINRA; Regulation D. </w:t>
      </w:r>
      <w:r>
        <w:rPr>
          <w:rFonts w:ascii="Times New Roman" w:cs="Times New Roman" w:eastAsia="Times New Roman" w:hAnsi="Times New Roman"/>
          <w:sz w:val="18"/>
          <w:szCs w:val="18"/>
          <w:color w:val="auto"/>
        </w:rPr>
        <w:t>The Placement Agent is a member in good standing of FINRA and is registered as a broker-dealer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 and under the securities acts of each state into which it is making offers or sales of the Securities. The Placement Agent is in compliance with all applicable rules and regulations of the Commission and FINRA, except to the extent that such noncompliance would not have a material adverse effect on the transactions contemplated hereby. None of the Placement Agent or its affiliates, or any person acting on behalf of the foregoing (other than the Company or its affiliates or any person acting on its or their behalf, in respect of which no representation is made) has taken nor will take any action that conflicts with the conditions and requirements of, or that would make unavailable with respect to the offering of the Private Placement Securities, the exemption(s) from registration available pursuant to Rule 506(b) of Regulation D or Section 4(a)(2) of the Securities Act, or knows of any reason why any such exemption would be otherwise unavailable to it.</w:t>
      </w:r>
    </w:p>
    <w:p>
      <w:pPr>
        <w:sectPr>
          <w:pgSz w:w="11900" w:h="16838" w:orient="portrait"/>
          <w:cols w:equalWidth="0" w:num="1">
            <w:col w:w="11240"/>
          </w:cols>
          <w:pgMar w:left="320" w:top="121" w:right="339" w:bottom="0" w:gutter="0" w:footer="0" w:header="0"/>
        </w:sectPr>
      </w:pPr>
    </w:p>
    <w:bookmarkStart w:id="142" w:name="page143"/>
    <w:bookmarkEnd w:id="142"/>
    <w:p>
      <w:pPr>
        <w:jc w:val="both"/>
        <w:ind w:firstLine="656"/>
        <w:spacing w:after="0" w:line="253" w:lineRule="auto"/>
        <w:tabs>
          <w:tab w:leader="none" w:pos="90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Disqualification Event. </w:t>
      </w:r>
      <w:r>
        <w:rPr>
          <w:rFonts w:ascii="Times New Roman" w:cs="Times New Roman" w:eastAsia="Times New Roman" w:hAnsi="Times New Roman"/>
          <w:sz w:val="18"/>
          <w:szCs w:val="18"/>
          <w:color w:val="auto"/>
        </w:rPr>
        <w:t>Neither the Placement Agent nor any of the Placement Agent Related Persons (as defined below) are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Disqualification Event as of the date hereof. The Placement Agent has exercised reasonable care to determine whether any Placement Agent Related Person is subject to such a Disqualification Event. As used herein, “</w:t>
      </w:r>
      <w:r>
        <w:rPr>
          <w:rFonts w:ascii="Times New Roman" w:cs="Times New Roman" w:eastAsia="Times New Roman" w:hAnsi="Times New Roman"/>
          <w:sz w:val="18"/>
          <w:szCs w:val="18"/>
          <w:b w:val="1"/>
          <w:bCs w:val="1"/>
          <w:color w:val="auto"/>
        </w:rPr>
        <w:t>Placement Agent Related Persons</w:t>
      </w:r>
      <w:r>
        <w:rPr>
          <w:rFonts w:ascii="Times New Roman" w:cs="Times New Roman" w:eastAsia="Times New Roman" w:hAnsi="Times New Roman"/>
          <w:sz w:val="18"/>
          <w:szCs w:val="18"/>
          <w:color w:val="auto"/>
        </w:rPr>
        <w:t>” means any predecessor of the relevant Placement Agent, any affiliated issuer, any director, executive officer, other officer of the Placement Agent participating in the Offering, any general partner or managing member of the Placement Agent, any beneficial owner of 20% or more of the Placement Agent’s outstanding voting equity securities, calculated on the basis of voting power, and any “promoter” (as defined in Rule 405 under the Securities Act) connected with the Placement Agent in any capacity. The Placement Agent agrees to promptly notify the Company in writing of (1) any Disqualification Event relating to any Placement Agent Related Person and</w:t>
      </w:r>
    </w:p>
    <w:p>
      <w:pPr>
        <w:spacing w:after="0" w:line="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would, with the passage of time, become a Disqualification Event relating to any Placement Agent Related Person.</w:t>
      </w:r>
    </w:p>
    <w:p>
      <w:pPr>
        <w:spacing w:after="0" w:line="204" w:lineRule="exact"/>
        <w:rPr>
          <w:rFonts w:ascii="Times New Roman" w:cs="Times New Roman" w:eastAsia="Times New Roman" w:hAnsi="Times New Roman"/>
          <w:sz w:val="18"/>
          <w:szCs w:val="18"/>
          <w:color w:val="auto"/>
        </w:rPr>
      </w:pPr>
    </w:p>
    <w:p>
      <w:pPr>
        <w:jc w:val="both"/>
        <w:ind w:firstLine="656"/>
        <w:spacing w:after="0" w:line="267" w:lineRule="auto"/>
        <w:tabs>
          <w:tab w:leader="none" w:pos="89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Investor Eligibility; No General Solicitation. </w:t>
      </w:r>
      <w:r>
        <w:rPr>
          <w:rFonts w:ascii="Times New Roman" w:cs="Times New Roman" w:eastAsia="Times New Roman" w:hAnsi="Times New Roman"/>
          <w:sz w:val="18"/>
          <w:szCs w:val="18"/>
          <w:color w:val="auto"/>
        </w:rPr>
        <w:t>The Placement Agent shall offer the Securities offered in the Offering only to Investors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accredited investors within the meaning of Rule 501 of Regulation D and with whom the Placement Agent or its Affiliates have a substantive, pre-existing relationship. The Placement Agent shall not use general solicitation or general advertising in connection with the Offering.</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Documents; Authorized Statements. </w:t>
      </w:r>
      <w:r>
        <w:rPr>
          <w:rFonts w:ascii="Times New Roman" w:cs="Times New Roman" w:eastAsia="Times New Roman" w:hAnsi="Times New Roman"/>
          <w:sz w:val="18"/>
          <w:szCs w:val="18"/>
          <w:color w:val="auto"/>
        </w:rPr>
        <w:t>The Placement Agent shall use only Transaction Documents approved in writing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shall not make any representation regarding the Company, the Offering or the Securities that is not contained in, or consistent with, the Transaction Documents or otherwise expressly approved in writing by the Company.</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Compliance. </w:t>
      </w:r>
      <w:r>
        <w:rPr>
          <w:rFonts w:ascii="Times New Roman" w:cs="Times New Roman" w:eastAsia="Times New Roman" w:hAnsi="Times New Roman"/>
          <w:sz w:val="18"/>
          <w:szCs w:val="18"/>
          <w:color w:val="auto"/>
        </w:rPr>
        <w:t>The Placement Agent shall comply with Regulation M, all applicable anti-money laundering and know-your-customer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and all other applicable securities laws and FINRA rules in connection with the Offering.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Offering and Closing Procedures</w:t>
      </w:r>
    </w:p>
    <w:p>
      <w:pPr>
        <w:spacing w:after="0" w:line="229" w:lineRule="exact"/>
        <w:rPr>
          <w:sz w:val="20"/>
          <w:szCs w:val="20"/>
          <w:color w:val="auto"/>
        </w:rPr>
      </w:pPr>
    </w:p>
    <w:p>
      <w:pPr>
        <w:jc w:val="both"/>
        <w:ind w:firstLine="656"/>
        <w:spacing w:after="0" w:line="255" w:lineRule="auto"/>
        <w:tabs>
          <w:tab w:leader="none" w:pos="92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delivered to the Placement Agent copies of the Transaction Documents and has consented, and hereby consents, to the use of such copies for the purposes permitted by the Securities Act and applicable securities laws and in accordance with the terms and conditions of this Agreement, and hereby authorizes the Placement Agent and its agents and employees to use the Transaction Documents in connection with the offering of the Securities until the earlier of (i) the Termination Date or (ii) the Closing, and no person or entity is or will be authorized to give any information or make any representations other than those contained in the Disclosure Package and the Transaction Documents or to use any offering materials other than those contained in the Disclosure Package in connection with the issuance and sale of the Securities, unless the Company first provides the Placement Agent with notification of such information, representations or offering materials.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available to the Placement Agent and its representatives such information, including, but not limited to, financial information, and other information regarding the Company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as may be reasonably requested in making a reasonable investigation of the Company and its affairs. The Company shall provide access to the officers, directors, employees, independent accountants, legal counsel and other advisors and consultants of the Placement Agent as shall be reasonably requested by the Placement Agent. The Company recognizes and agrees that the Placement Agent (i) will use and rely primarily on the Information and generally available information from recognized public sources in performing the services contemplated by this Agreement without independently verifying the Information or such other information, (ii) does not assume responsibility for the accuracy of the Information or such other information, and (iii) will not make an appraisal of any assets or liabilities owned or controlled by the Company or its market competitors.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the Investors will be required to complete and execute an original signature page for each of the Transaction Documents to which it is a party, which will be forwarded or delivered to the Placement Agent at the Placement Agent’s offices at the address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of the conditions set forth elsewhere in this Agreement and in the Securities Purchase Agreement are fulfilled or, where legally permissible, waived by the applicable party, a Closing shall be held promptly with respect to the Securities sold in the Offering. Delivery of payment for the Securities will be made at the Closing against delivery of the Securities sold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Further Covenants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further covenants to and agrees with the Placement Agent as follows:</w:t>
      </w:r>
    </w:p>
    <w:p>
      <w:pPr>
        <w:spacing w:after="0" w:line="223" w:lineRule="exact"/>
        <w:rPr>
          <w:sz w:val="20"/>
          <w:szCs w:val="20"/>
          <w:color w:val="auto"/>
        </w:rPr>
      </w:pPr>
    </w:p>
    <w:p>
      <w:pPr>
        <w:jc w:val="both"/>
        <w:ind w:firstLine="656"/>
        <w:spacing w:after="0" w:line="257" w:lineRule="auto"/>
        <w:tabs>
          <w:tab w:leader="none" w:pos="90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True and Correct</w:t>
      </w:r>
      <w:r>
        <w:rPr>
          <w:rFonts w:ascii="Times New Roman" w:cs="Times New Roman" w:eastAsia="Times New Roman" w:hAnsi="Times New Roman"/>
          <w:sz w:val="18"/>
          <w:szCs w:val="18"/>
          <w:color w:val="auto"/>
        </w:rPr>
        <w:t>. Except upon prior written notice to the Placement Agent, the Company shall not,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prior to the Closing, knowingly take any action that would cause any of the representations and warranties made by it in this Agreement not to be complete and correct in all material respects on and as of the date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with the same force and effect as if such representations and warranties had been made on and as of the Closing Date (except to the extent any such representation or warranty expressly speaks of an earlier date or time, in which case such representation or warranty shall be true and correct in all material respects as of such earlier date or time, as applicable).</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Compliance</w:t>
      </w:r>
      <w:r>
        <w:rPr>
          <w:rFonts w:ascii="Times New Roman" w:cs="Times New Roman" w:eastAsia="Times New Roman" w:hAnsi="Times New Roman"/>
          <w:sz w:val="18"/>
          <w:szCs w:val="18"/>
          <w:color w:val="auto"/>
        </w:rPr>
        <w:t>. The Company will cooperate with the Placement Agent and the Investors in endeavoring to qualify the Securities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under the securities or “Blue Sky” laws of such jurisdictions (United States and foreign) as the Placement Agent and the Investors may reasonably request and will make such applications, file such documents, pay such fees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Placement Agent may reasonably request with respect to the Offering. All such filings under applicable state securities or “Blue Sky” laws related to this Offering shall be prepared by the Company’s counsel at the Company’s expense, with copies of all filings to be promptly forwarded to the Placement Agent and its counsel. The Company shall comply with the Securities Act, all applicable state securities or “Blue Sky” laws and the rules and regulations thereunder in the states in which the Placement Agent may reasonably request with respect to the Offering so as to permit the continuance of the sales of the Securities, and will file or cause to be filed with the Commission no later than 15 days after the commencement of the sale of Securities, and shall promptly thereafter forward or cause to be forwarded to the Placement Agent, any and all Notice of Sales of Securities on Form D and shall file all amendments thereto with the Commission as may be required. Copies of all Form D and all amendments thereto shall be provided to the Placement Agent.</w:t>
      </w:r>
    </w:p>
    <w:p>
      <w:pPr>
        <w:sectPr>
          <w:pgSz w:w="11900" w:h="16838" w:orient="portrait"/>
          <w:cols w:equalWidth="0" w:num="1">
            <w:col w:w="11240"/>
          </w:cols>
          <w:pgMar w:left="320" w:top="335" w:right="339" w:bottom="142" w:gutter="0" w:footer="0" w:header="0"/>
        </w:sectPr>
      </w:pPr>
    </w:p>
    <w:bookmarkStart w:id="143" w:name="page144"/>
    <w:bookmarkEnd w:id="143"/>
    <w:p>
      <w:pPr>
        <w:jc w:val="both"/>
        <w:ind w:firstLine="656"/>
        <w:spacing w:after="0" w:line="252" w:lineRule="auto"/>
        <w:tabs>
          <w:tab w:leader="none" w:pos="90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Supplements to the Disclosure Package</w:t>
      </w:r>
      <w:r>
        <w:rPr>
          <w:rFonts w:ascii="Times New Roman" w:cs="Times New Roman" w:eastAsia="Times New Roman" w:hAnsi="Times New Roman"/>
          <w:sz w:val="18"/>
          <w:szCs w:val="18"/>
          <w:color w:val="auto"/>
        </w:rPr>
        <w:t>. If, at any time prior to the Closing, any event shall occur or condition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result of which it is necessary to amend or supplement the information or documents, or other information in the Disclosure Package in order to make the statements therein, in the light of the circumstances when the Disclosure Package is delivered to an Investor, not misleading, or if it is otherwise necessary to amend or supplement any portion of the Disclosure Package to comply with the Securities Act or any other applicable law, then the Company agrees to promptly prepare and furnish at its own expense to the Placement Agent, amendments or supplements to the Disclosure Package so that the statements therein as so amended or supplemented will not, in the light of the circumstances when the Disclosure Package is delivered to an Investor, be misleading or so that the Disclosure Package, as amended or supplemented, will comply with the Securities Act and other applicable law. Neither the Placement Agent’s consent to, nor delivery of, any such amendment or supplement shall constitute a waiver of any of the Company’s obligations under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Company agrees to furnish to the Placement Agent and counsel to the Placement Agent, without charge, as soon as available, as many copies of any amendments and supplements to the Disclosure Package as the Placement Agent or its counsel may request. The Company shall not at any time before the Closing prepare or use any amendment or supplement to the Disclosure Package with respect to which the Placement Agent has not been previously advised and furnished with a copy, or that is not in compliance with the Securities Act and other applicable law. As soon as the Company is advised thereof, the Company shall advise the Placement Agent and its counsel, and confirm the advice in writing, of any order preventing or suspending the use of the Disclosure Package, or the suspension of or exemption for such qualification or registration thereof for offering in any jurisdiction, or of the institution or threatened institution of any proceedings for any of such purposes, and the Company will use its reasonable best efforts to prevent the issuance of any such order and, if issued, to obtain as soon as reasonably possible the lifting thereof.</w:t>
      </w:r>
    </w:p>
    <w:p>
      <w:pPr>
        <w:spacing w:after="0" w:line="194"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w:t>
      </w:r>
      <w:r>
        <w:rPr>
          <w:rFonts w:ascii="Times New Roman" w:cs="Times New Roman" w:eastAsia="Times New Roman" w:hAnsi="Times New Roman"/>
          <w:sz w:val="18"/>
          <w:szCs w:val="18"/>
          <w:color w:val="auto"/>
        </w:rPr>
        <w:t>. The Company shall participate, and cause its officers and representatives to participate, in the Offering as reasonably requested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Placement Agent, including in the marketing of the Securities and meeting with prospective Investors, and afford prospective Investors the opportunity to conduct customary due diligence and make inquiries relevant to their investment decisions regarding the Securities.</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89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shall apply the net proceeds from the sale of the Securities sold by it in the manner to be described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 “</w:t>
      </w: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 in the Transaction Documents.</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88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Company shall place a legend, upon conversion or exercise, as applicable, on certificates representing the Securities,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issuance, sale or resale of the securities evidenced thereby has not been registered under the Securities Act or applicable state securities or “Blue Sky” laws, setting forth or referring to the applicable restrictions on transferability and sale of such securities under the Securities Act and applicable state securities or “Blue Sky” laws.</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93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Requirement to Register as an Investment Company. </w:t>
      </w:r>
      <w:r>
        <w:rPr>
          <w:rFonts w:ascii="Times New Roman" w:cs="Times New Roman" w:eastAsia="Times New Roman" w:hAnsi="Times New Roman"/>
          <w:sz w:val="18"/>
          <w:szCs w:val="18"/>
          <w:color w:val="auto"/>
        </w:rPr>
        <w:t>The Company shall not invest, or otherwise use the proceeds received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its sale of the Securities in such a manner as would require the Company to register as an investment company under the Investment Company Act.</w:t>
      </w:r>
    </w:p>
    <w:p>
      <w:pPr>
        <w:spacing w:after="0" w:line="173"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Press Releases</w:t>
      </w:r>
      <w:r>
        <w:rPr>
          <w:rFonts w:ascii="Times New Roman" w:cs="Times New Roman" w:eastAsia="Times New Roman" w:hAnsi="Times New Roman"/>
          <w:sz w:val="18"/>
          <w:szCs w:val="18"/>
          <w:color w:val="auto"/>
        </w:rPr>
        <w:t>. Prior to the earlier of the Closing or the Termination Date and except as otherwise requirement by law or regulation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rules of the Commission), the Company shall not issue any press release or other communication directly or indirectly or hold any press conference with respect to the Company, its condition, financial or otherwise, or earnings, business affairs or business prospects, without the prior written consent of the Placement Agent, which consent may be provided to the Company via e-mail. If practical, the Company shall afford the Placement Agent and its counsel with the opportunity to review and comment upon the form and substance of, and shall give reasonable consideration to all such comments from the Placement Agent and its counsel on, the initial press release, Commission filing or any other public disclosure by or on behalf of the Company relating to the Offering, the Securities, the Investors, the Placement Agent or any aspect of the Transaction Documents or the transactions contemplated thereby, not less than 24 hours prior to the issuance, filing or public disclosure thereof.</w:t>
      </w:r>
    </w:p>
    <w:p>
      <w:pPr>
        <w:spacing w:after="0" w:line="184" w:lineRule="exact"/>
        <w:rPr>
          <w:rFonts w:ascii="Times New Roman" w:cs="Times New Roman" w:eastAsia="Times New Roman" w:hAnsi="Times New Roman"/>
          <w:sz w:val="18"/>
          <w:szCs w:val="18"/>
          <w:color w:val="auto"/>
        </w:rPr>
      </w:pPr>
    </w:p>
    <w:p>
      <w:pPr>
        <w:ind w:right="20" w:firstLine="656"/>
        <w:spacing w:after="0" w:line="284" w:lineRule="auto"/>
        <w:tabs>
          <w:tab w:leader="none" w:pos="86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Rule 502(d). </w:t>
      </w:r>
      <w:r>
        <w:rPr>
          <w:rFonts w:ascii="Times New Roman" w:cs="Times New Roman" w:eastAsia="Times New Roman" w:hAnsi="Times New Roman"/>
          <w:sz w:val="18"/>
          <w:szCs w:val="18"/>
          <w:color w:val="auto"/>
        </w:rPr>
        <w:t>The Company will exercise reasonable care to assure that no Investor is an “underwriter”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2(a)(11) of the Securities Act and, without limiting the foregoing, that such purchases will comply with Rule 502(d) under the Securities Act.</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Conduct of Business. </w:t>
      </w:r>
      <w:r>
        <w:rPr>
          <w:rFonts w:ascii="Times New Roman" w:cs="Times New Roman" w:eastAsia="Times New Roman" w:hAnsi="Times New Roman"/>
          <w:sz w:val="18"/>
          <w:szCs w:val="18"/>
          <w:color w:val="auto"/>
        </w:rPr>
        <w:t>The Company shall not, without the prior written consent of the Placement Agent, at any time prior to the earlier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or the Termination Date, except as contemplated by the Disclosure Package, (i) engage in or commit to engage in any transaction outside the ordinary course of business as described in the Disclosure Package, (ii) issue, agree to issue or set aside for issuance any securities (debt or equity) or any rights to acquire any such securities, (iii) incur, outside the ordinary course of business, any material indebtedness or obligation, direct or contingent, (iv) dispose of any material assets, or (v) change its business or operations.</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93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Neither the Company nor any of its officers, directors or Affiliates has taken or will take,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any action designed or intended to stabilize or manipulate the price of any security of the Company, or that caused or resulted in, or that might in the future reasonably be expected to cause or result in, stabilization or manipulation of the price of any security of the Company.</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86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Other Offerings. </w:t>
      </w:r>
      <w:r>
        <w:rPr>
          <w:rFonts w:ascii="Times New Roman" w:cs="Times New Roman" w:eastAsia="Times New Roman" w:hAnsi="Times New Roman"/>
          <w:sz w:val="18"/>
          <w:szCs w:val="18"/>
          <w:color w:val="auto"/>
        </w:rPr>
        <w:t>Except as described in the Transaction Documents, the Company will not, before or during the Offering Period,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(except through the Placement Agent), sell or offer, or attempt to offer to dispose of, or solicit any offer to buy, or otherwise approach or negotiate in respect of, any of the Securities or any other securities of the Company.</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96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In addition to the Transaction Documents, the Company will execute and deliver any other customary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certificates and instruments as the Placement Agent or the Investors deem necessary or appropriate to consummate the Offering, all of which will be in form and substance reasonably acceptable to the Placement Agent and the Investor. The Company agrees that the Placement Agent may rely upon, and is a third party beneficiary of, the representation and warranties (together with any related disclosure schedules thereto) and applicable covenants set forth in the Transaction Documents to be executed and delivered by the Company at the Closing and any other agreements, documents, legal opinions, certificates and instruments executed and delivered by the Company or otherwise in connection with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Conditions to the Obligations of the Placement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obligation of the Placement Agent hereunder shall be subject to the accuracy of the representations and warranties on the part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as of the date hereof and as of the Closing Date as though then made, to the timely performance by the Company of its covenants and other obligations hereunder on and as of such dates, and to the satisfaction or, where legally permissible, the waiver, of each of the following additional conditions:</w:t>
      </w:r>
    </w:p>
    <w:p>
      <w:pPr>
        <w:spacing w:after="0" w:line="178" w:lineRule="exact"/>
        <w:rPr>
          <w:sz w:val="20"/>
          <w:szCs w:val="20"/>
          <w:color w:val="auto"/>
        </w:rPr>
      </w:pPr>
    </w:p>
    <w:p>
      <w:pPr>
        <w:jc w:val="both"/>
        <w:ind w:firstLine="656"/>
        <w:spacing w:after="0" w:line="267" w:lineRule="auto"/>
        <w:tabs>
          <w:tab w:leader="none" w:pos="89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Proceedings</w:t>
      </w:r>
      <w:r>
        <w:rPr>
          <w:rFonts w:ascii="Times New Roman" w:cs="Times New Roman" w:eastAsia="Times New Roman" w:hAnsi="Times New Roman"/>
          <w:sz w:val="18"/>
          <w:szCs w:val="18"/>
          <w:color w:val="auto"/>
        </w:rPr>
        <w:t>. All corporate proceedings and other legal matters incident to the authorization, form and validity of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the Securities, and all other legal matters relating to the Offering, issuance and sale, as applicable, of the Securities and the other transactions contemplated hereby and under the Transaction Documents shall be reasonably satisfactory in all material respects to the Placement Agent; and the</w:t>
      </w:r>
    </w:p>
    <w:p>
      <w:pPr>
        <w:sectPr>
          <w:pgSz w:w="11900" w:h="16838" w:orient="portrait"/>
          <w:cols w:equalWidth="0" w:num="1">
            <w:col w:w="11240"/>
          </w:cols>
          <w:pgMar w:left="320" w:top="119" w:right="339" w:bottom="0" w:gutter="0" w:footer="0" w:header="0"/>
        </w:sectPr>
      </w:pPr>
    </w:p>
    <w:bookmarkStart w:id="144" w:name="page145"/>
    <w:bookmarkEnd w:id="144"/>
    <w:p>
      <w:pPr>
        <w:spacing w:after="0" w:line="282" w:lineRule="auto"/>
        <w:rPr>
          <w:sz w:val="20"/>
          <w:szCs w:val="20"/>
          <w:color w:val="auto"/>
        </w:rPr>
      </w:pPr>
      <w:r>
        <w:rPr>
          <w:rFonts w:ascii="Times New Roman" w:cs="Times New Roman" w:eastAsia="Times New Roman" w:hAnsi="Times New Roman"/>
          <w:sz w:val="18"/>
          <w:szCs w:val="18"/>
          <w:color w:val="auto"/>
        </w:rPr>
        <w:t>Company shall have furnished to the counsel to the Placement Agent, all documents and information that it may reasonably request to enable them to pass upon such matters, including a Secretary’s Certificate, if requested.</w:t>
      </w:r>
    </w:p>
    <w:p>
      <w:pPr>
        <w:spacing w:after="0" w:line="160" w:lineRule="exact"/>
        <w:rPr>
          <w:sz w:val="20"/>
          <w:szCs w:val="20"/>
          <w:color w:val="auto"/>
        </w:rPr>
      </w:pPr>
    </w:p>
    <w:p>
      <w:pPr>
        <w:ind w:firstLine="656"/>
        <w:spacing w:after="0" w:line="284" w:lineRule="auto"/>
        <w:tabs>
          <w:tab w:leader="none" w:pos="9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 On or prior to the Closing Date, the Company shall have obtained all consents, waivers and approvals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by the Company prior to the Closing in connection with the consummation of the transactions contemplated hereby.</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Package</w:t>
      </w:r>
      <w:r>
        <w:rPr>
          <w:rFonts w:ascii="Times New Roman" w:cs="Times New Roman" w:eastAsia="Times New Roman" w:hAnsi="Times New Roman"/>
          <w:sz w:val="18"/>
          <w:szCs w:val="18"/>
          <w:color w:val="auto"/>
        </w:rPr>
        <w:t>. The Disclosure Package did not, does not and, as of the date of any amendment or supplement thereto, will not,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untrue statement of a material fact or omit to state any material fact necessary in order to make the statements therein, in light of the circumstances under which they were made, not misleading. No order enjoining the Offering or the issuance and sale of the Securities shall have been issued, and no proceedings for that purpose or a similar purpose shall have been initiated or pending, or, to the Company’s knowledge, threatened.</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91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Effect. </w:t>
      </w:r>
      <w:r>
        <w:rPr>
          <w:rFonts w:ascii="Times New Roman" w:cs="Times New Roman" w:eastAsia="Times New Roman" w:hAnsi="Times New Roman"/>
          <w:sz w:val="18"/>
          <w:szCs w:val="18"/>
          <w:color w:val="auto"/>
        </w:rPr>
        <w:t>Subsequent to the execution and delivery of this Agreement and as of the Closing Date, there shall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any change, event or development resulting or that could reasonably be expected to result in a Material Adverse Effect, which, in the Placement Agent’s sole judgment, makes it impracticable or inadvisable to proceed with the Offering.</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0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Each of the Transaction Documents shall be in form and substance reasonably satisfactory to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Agent and shall have been duly executed and delivered by the Company and the other parties thereto, and the Securities shall have been duly issued, executed (as applicable) and delivered by the Company.</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87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Placement Agent Compensation</w:t>
      </w:r>
      <w:r>
        <w:rPr>
          <w:rFonts w:ascii="Times New Roman" w:cs="Times New Roman" w:eastAsia="Times New Roman" w:hAnsi="Times New Roman"/>
          <w:sz w:val="18"/>
          <w:szCs w:val="18"/>
          <w:color w:val="auto"/>
        </w:rPr>
        <w:t>. The Cash Fee and Common Warrants calculated in the manner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reimbursement of expenses calculated in the manner provided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Agreement shall have been paid to the Placement Agent by wire transfer of immediately available funds to an account specified by the Placement Agent to the Company prior to the Closing.</w:t>
      </w:r>
    </w:p>
    <w:p>
      <w:pPr>
        <w:spacing w:after="0" w:line="17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Comfort Letters.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3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Cold Comfort Letter</w:t>
      </w:r>
      <w:r>
        <w:rPr>
          <w:rFonts w:ascii="Times New Roman" w:cs="Times New Roman" w:eastAsia="Times New Roman" w:hAnsi="Times New Roman"/>
          <w:sz w:val="18"/>
          <w:szCs w:val="18"/>
          <w:color w:val="auto"/>
        </w:rPr>
        <w:t>. At the time this Agreement is executed, the Placement Agent shall have received a comfort letter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independent registered public accounting firm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addressed to the Placement Agent and dated as of the date of this Agreement, in form and substance reasonably satisfactory to the Placement Agent, containing statements and information of the type customarily included in accountants’ comfort letters with respect to the financial statements and certain financial information contained or incorporated by reference in the Registration Statement, the Disclosure Package and the Prospectus Supplement.</w:t>
      </w:r>
    </w:p>
    <w:p>
      <w:pPr>
        <w:spacing w:after="0" w:line="183" w:lineRule="exact"/>
        <w:rPr>
          <w:rFonts w:ascii="Times New Roman" w:cs="Times New Roman" w:eastAsia="Times New Roman" w:hAnsi="Times New Roman"/>
          <w:sz w:val="18"/>
          <w:szCs w:val="18"/>
          <w:color w:val="auto"/>
        </w:rPr>
      </w:pPr>
    </w:p>
    <w:p>
      <w:pPr>
        <w:ind w:left="660" w:firstLine="644"/>
        <w:spacing w:after="0" w:line="284" w:lineRule="auto"/>
        <w:tabs>
          <w:tab w:leader="none" w:pos="1573"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On the Closing Date, the Placement Agent shall have received from the Auditor a letter,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to the effect that the Auditor reaffirms the statements made in the letter furnished pursuant to Section 7(g)(i).</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On or before the Closing Date, the Placement Agent and counsel for the Placement Agent shall have received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is not satisfied when and as required to be satisfied, this Agreement may be terminated by the Placement Agent by notice to the Company at any time on or prior to the Closing Date, which termination shall be without liability on the part of any party to any other party, except that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at all times be effective and shall survive such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Indemnification and Contribution.</w:t>
      </w:r>
    </w:p>
    <w:p>
      <w:pPr>
        <w:spacing w:after="0" w:line="227" w:lineRule="exact"/>
        <w:rPr>
          <w:sz w:val="20"/>
          <w:szCs w:val="20"/>
          <w:color w:val="auto"/>
        </w:rPr>
      </w:pPr>
    </w:p>
    <w:p>
      <w:pPr>
        <w:jc w:val="both"/>
        <w:ind w:firstLine="656"/>
        <w:spacing w:after="0" w:line="251" w:lineRule="auto"/>
        <w:tabs>
          <w:tab w:leader="none" w:pos="90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Placement Agent</w:t>
      </w:r>
      <w:r>
        <w:rPr>
          <w:rFonts w:ascii="Times New Roman" w:cs="Times New Roman" w:eastAsia="Times New Roman" w:hAnsi="Times New Roman"/>
          <w:sz w:val="18"/>
          <w:szCs w:val="18"/>
          <w:color w:val="auto"/>
        </w:rPr>
        <w:t>. In consideration of the Placement Agent’s execution and delivery of, and the performance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this Agreement, and in addition to all of the Company’s other obligations under the Transaction Documents, the Company shall defend, indemnify and hold harmless the Placement Agent, each of its Affiliates, each Person, if any, who controls the Placement Agent or any of its Affiliates within the meaning of Section 15 of the Act or Section 20 of the Exchange Act, and each of its and its directors, officers, partners, members, shareholders, direct or indirect investors, employees, representatives and agents (including, without limitation, those attorneys and other agents retained by Placement Agent or any such other Person in connection with the transactions contemplated by this Agreement and the other Transaction Documents) (collectively, the “</w:t>
      </w:r>
      <w:r>
        <w:rPr>
          <w:rFonts w:ascii="Times New Roman" w:cs="Times New Roman" w:eastAsia="Times New Roman" w:hAnsi="Times New Roman"/>
          <w:sz w:val="18"/>
          <w:szCs w:val="18"/>
          <w:b w:val="1"/>
          <w:bCs w:val="1"/>
          <w:color w:val="auto"/>
        </w:rPr>
        <w:t>Placement Agent Indemnified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Placement Agent Indemnified Party</w:t>
      </w:r>
      <w:r>
        <w:rPr>
          <w:rFonts w:ascii="Times New Roman" w:cs="Times New Roman" w:eastAsia="Times New Roman" w:hAnsi="Times New Roman"/>
          <w:sz w:val="18"/>
          <w:szCs w:val="18"/>
          <w:color w:val="auto"/>
        </w:rPr>
        <w:t>”), from and against any and all claims, actions, causes of action, suits, proceedings (including, without limitation, as a party in interest or otherwise in any action or proceeding for injunctive or other equitable relief), including, without limitation, any and all derivative actions brought on behalf of the Company or any majority or wholly owned subsidiary (each,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 any and all civil, criminal or regulatory investigations, whether formal or informal, to which any Placement Agent Indemnified Party may become subject (irrespective of whether any such Placement Agent Indemnified Party is a party, threatened to be made a party, or a witness to the claim, action, cause of action, suit, proceeding or investigation for which indemnification hereunder is sought), and all damages, losses, liabilities and expenses (including the reasonable fees and expenses of counsel) incurred by any Placement Agent Indemnified Party (including, without limitation, in settlement of any claim, action, cause of action, suit, proceeding or investigation), in each case as incurred (collectively,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as a result of, or arising out of, or relating to (i) any misrepresentation, inaccuracy or breach of any representation or warranty made by the Company or any Subsidiary in this Agreement or in any of the other Transaction Documents, (ii) any breach of any covenant, agreement or obligation of the Company or any Subsidiary contained in this Agreement or in any of the other Transaction Documents, (iii) the execution, delivery, performance or enforcement of this Agreement or any of the other Transaction Documents, (iv) any transaction financed or to be financed in whole or in part, directly or indirectly, with the proceeds of the issuance of the Securities, (v) any untrue statement or alleged untrue statement of a material fact contained in any SEC Report or in any Transaction Document, or any amendment thereto, or the omission or alleged omission therefrom of a material fact required to be stated therein or necessary to make the statements therein, in the light of the circumstances under which they were made, not misleading, (vi) the status of such Placement Agent Indemnified Party as a holder of any of the Securities, or as a party (or agent or attorney of such party) to this Agreement or any of the other Transaction Documents,</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5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 or failure to act by any Placement Agent Indemnified Party in connection with, or relating in any manner to, the Securities, the Offering or any of the transactions contemplated by this Agreement or any of the other Transaction Documents, provided that the Company shall not be liable under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to the extent that a court of competent jurisdiction shall have determined by a final, non-appealable judgment that such claim, action, cause of action, suit, proceeding, investigation, damage, loss, liability or expense resulted from the gross negligence, bad faith or willful misconduct of such Placement Agent Indemnified Party; and to reimburse such Placement Agent Indemnified Party for any and all expenses (including the reasonable fees and disbursements of counsel chosen by such Placement Agent Indemnified Party) incurred by such Placement Agent Indemnified Party in connection with investigating, defending, settling, compromising or paying any such claim, action, cause of action, suit, proceeding, investigation, damage, loss, liability or expense. To the extent that the foregoing undertaking by the Company may be unenforceable for any reason, the Company shall make the maximum contribution to the payment and satisfaction of each of the indemnified liabilities which is permissible under applicable law as provided in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0" w:gutter="0" w:footer="0" w:header="0"/>
        </w:sectPr>
      </w:pPr>
    </w:p>
    <w:bookmarkStart w:id="145" w:name="page146"/>
    <w:bookmarkEnd w:id="145"/>
    <w:p>
      <w:pPr>
        <w:jc w:val="both"/>
        <w:ind w:firstLine="656"/>
        <w:spacing w:after="0" w:line="252" w:lineRule="auto"/>
        <w:tabs>
          <w:tab w:leader="none" w:pos="90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Notifications and Other Indemnification Procedures</w:t>
      </w:r>
      <w:r>
        <w:rPr>
          <w:rFonts w:ascii="Times New Roman" w:cs="Times New Roman" w:eastAsia="Times New Roman" w:hAnsi="Times New Roman"/>
          <w:sz w:val="18"/>
          <w:szCs w:val="18"/>
          <w:color w:val="auto"/>
        </w:rPr>
        <w:t>. Promptly after receipt by a Placement Agent Indemnified Party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notice of the commencement of any action, such Placement Agent Indemnified Party will, if a claim in respect thereof is to be made against the Company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notify the Company in writing of the commencement thereof, but the omission so to notify the Company will not relieve it from any liability that it may have to any Placement Agent Indemnified Party for contribution to the extent it is not prejudiced as a proximate result of such failure. In case any such action is brought against any Placement Agent Indemnified Party and such Placement Agent Indemnified Party seeks or intends to seek indemnity from the Company, the Company shall assume the defense thereof with counsel reasonably satisfactory to such Placement Agent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defendants in any such action include both the Placement Agent Indemnified Party and the Company, and the Placement Agent Indemnified Party shall have reasonably concluded on the advice of its counsel that a conflict may arise between the positions of the Company and the Placement Agent Indemnified Party in conducting the defense of any such action or that there may be legal defenses available to it and/or other Placement Agent Indemnified Parties that are different from or additional to those available to the Company, such Placement Agent Indemnified Party or Placement Agent Indemnified Parties shall have the right to select separate counsel to assume such legal defenses and to otherwise participate in the defense of such action on behalf of such Placement Agent Indemnified Party or Placement Agent Indemnified Parties. Upon receipt of notice from the Company to the Placement Agent Indemnified Party of the Company’s assumption of the defense of such action and approval by such Placement Agent Indemnified Party of counsel, the Company will not be liable to such Placement Agent Indemnified Party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any legal or other expenses subsequently incurred by such Placement Agent Indemnified Party in connection with the defense thereof unless: (i) the Placement Agent Indemnified Party shall have employed separate counsel in accordance with the proviso to the immediately preceding sentence (it being understood, however, that the Company shall not be liable for the expenses of more than one separate counsel (together with local counsel), approved by the Company), representing the Placement Agent Indemnified Parties who are parties to such action; (ii) the Company shall not have employed counsel satisfactory to the Placement Agent Indemnified Party to represent the Placement Agent Indemnified Party within a reasonable time after notice of commencement of the action; or (iii) the Company has authorized the employment of counsel for the Placement Agent Indemnified Party at the expense of the Company, in each of which cases the fees and expenses of counsel shall be at the expense of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89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Settlements</w:t>
      </w:r>
      <w:r>
        <w:rPr>
          <w:rFonts w:ascii="Times New Roman" w:cs="Times New Roman" w:eastAsia="Times New Roman" w:hAnsi="Times New Roman"/>
          <w:sz w:val="18"/>
          <w:szCs w:val="18"/>
          <w:color w:val="auto"/>
        </w:rPr>
        <w:t>. The Company shall not be liable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settlement of any proceeding effected without its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consent shall not be unreasonably conditioned, withheld or delayed, but if settled with such consent or if there be a final judgment for the plaintiff, the Company agrees to indemnify the applicable Placement Agent Indemnified Party or Placement Agent Indemnified Parties against any claim, action, cause of action, suit, proceeding, investigation, damage, loss, liability or expense by reason of such settlement or judgment. The Company shall not, without the prior written consent of the Placement Agent Indemnified Party, effect any settlement, compromise or consent to the entry of judgment in any pending or threatened action, suit or proceeding in respect of which any Placement Agent Indemnified Party is or could have been a party and indemnity was or could have been sought hereunder by such Placement Agent Indemnified Party, unless such settlement, compromise or consent includes: (i) an unconditional release of such Placement Agent Indemnified Party from all liability on claims that are the subject matter of such action, suit or proceeding; and (ii) does not include a statement as to or an admission of fault, culpability or a failure to act by or on behalf of any Placement Agent Indemnified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If the indemnification provided for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unavailable to or insufficient to hold harmless a Placement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Indemnified Party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above in respect of any claim, action, cause of action, suit, proceeding, investigation, damage, loss, liability or expense, then the Company shall contribute to the aggregate amount paid or payable by such Placement Agent Indemnified Party in such proportion as is appropriate to reflect the relative benefits received by the Company, on the one hand, and such Placement Agent Indemnified Party, on the other, from the Offering. If, however, the allocation provided by the immediately preceding sentence is not permitted by applicable law then the Company shall contribute to such amount paid or payable by such Placement Agent Indemnified Party in such proportion as is appropriate to reflect not only such relative benefits but also the relative fault of the Company, on the one hand, and such Placement Agent Indemnified Party, on the other, in connection with the actions or omissions which resulted in such losses, claims, damages or liabilities (or actions or proceedings in respect thereof), as well as any other relevant equitable considerations. The relative fault shall be determined by reference to, among other things, the parties’ relative intent, knowledge, access to information and opportunity to correct or prevent such action or omission.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and Placement Agent agree that it would not be just and equitable if contributions pursuant to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were determined by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allocation or by any other method of allocation which does not take account of the equitable considerations referred to above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amount paid or payable by a Placement Agent Indemnified Party as a result of the losses, claims, damages or liabilities (or actions or proceedings in respect thereof) referred to above in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shall be deemed to include any legal or other expenses reasonably incurred by such Placement Agent Indemnified Party in connection with investigating or defending any such claim, action, cause of action, suit, proceeding or investigation. Notwithstanding the provisions of this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(i) the Placement Agent shall not be required to contribute any amount in excess of the amount of the Cash Fee actually received by Placement Agent pursuant to this Agreement; and (ii) no person guilty of fraudulent misrepresentation (within the meaning of Section 11(f) of the Securities Act) shall be entitled to contribution from any person who was not guilty of such fraudulent misrepresentation.</w:t>
      </w:r>
    </w:p>
    <w:p>
      <w:pPr>
        <w:spacing w:after="0" w:line="190" w:lineRule="exact"/>
        <w:rPr>
          <w:sz w:val="20"/>
          <w:szCs w:val="20"/>
          <w:color w:val="auto"/>
        </w:rPr>
      </w:pPr>
    </w:p>
    <w:p>
      <w:pPr>
        <w:jc w:val="both"/>
        <w:ind w:firstLine="656"/>
        <w:spacing w:after="0" w:line="267" w:lineRule="auto"/>
        <w:tabs>
          <w:tab w:leader="none" w:pos="90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of Any Payments of Indemnification</w:t>
      </w:r>
      <w:r>
        <w:rPr>
          <w:rFonts w:ascii="Times New Roman" w:cs="Times New Roman" w:eastAsia="Times New Roman" w:hAnsi="Times New Roman"/>
          <w:sz w:val="18"/>
          <w:szCs w:val="18"/>
          <w:color w:val="auto"/>
        </w:rPr>
        <w:t>. Any losses, claims, damages, liabilities or expenses for which a Placement Agent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is entitled to indemnification or contribution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paid by the Company to the Placement Agent Indemnified Party as such losses, claims, damages, liabilities or expenses are incurred, but in all cases, no later than fifteen (15) days of invoice to the Company.</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Acknowledgements of Parties</w:t>
      </w:r>
      <w:r>
        <w:rPr>
          <w:rFonts w:ascii="Times New Roman" w:cs="Times New Roman" w:eastAsia="Times New Roman" w:hAnsi="Times New Roman"/>
          <w:sz w:val="18"/>
          <w:szCs w:val="18"/>
          <w:color w:val="auto"/>
        </w:rPr>
        <w:t>. The parties to this Agreement hereby acknowledge that they are sophisticated business persons who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represented by counsel during the negotiations regarding the provisions hereof including, without limitation,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are fully informed regarding said provisions. They further acknowledge that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fairly allocate the risks in light of the ability of the parties to investigate the Company and its business in order to assure that adequate disclosure is made in the Disclosure Package.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Nasdaq Equity Requirement. </w:t>
      </w:r>
      <w:r>
        <w:rPr>
          <w:rFonts w:ascii="Times New Roman" w:cs="Times New Roman" w:eastAsia="Times New Roman" w:hAnsi="Times New Roman"/>
          <w:sz w:val="18"/>
          <w:szCs w:val="18"/>
          <w:color w:val="auto"/>
        </w:rPr>
        <w:t>Without limiting the Company’s obligations under the indemnification provisions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 (the “</w:t>
      </w:r>
      <w:r>
        <w:rPr>
          <w:rFonts w:ascii="Times New Roman" w:cs="Times New Roman" w:eastAsia="Times New Roman" w:hAnsi="Times New Roman"/>
          <w:sz w:val="18"/>
          <w:szCs w:val="18"/>
          <w:b w:val="1"/>
          <w:bCs w:val="1"/>
          <w:color w:val="auto"/>
        </w:rPr>
        <w:t>General Indemnity</w:t>
      </w:r>
      <w:r>
        <w:rPr>
          <w:rFonts w:ascii="Times New Roman" w:cs="Times New Roman" w:eastAsia="Times New Roman" w:hAnsi="Times New Roman"/>
          <w:sz w:val="18"/>
          <w:szCs w:val="18"/>
          <w:color w:val="auto"/>
        </w:rPr>
        <w:t>”), the Company shall indemnify, defend and hold harmless the Placement Agent, its affiliates, and each of its and their respective directors, officers, employees, partners, members, agents, representatives and controlling persons (within the meaning of Section 15 of the Securities Act and Section 20 of the Exchange Act) (collectively, the “</w:t>
      </w:r>
      <w:r>
        <w:rPr>
          <w:rFonts w:ascii="Times New Roman" w:cs="Times New Roman" w:eastAsia="Times New Roman" w:hAnsi="Times New Roman"/>
          <w:sz w:val="18"/>
          <w:szCs w:val="18"/>
          <w:b w:val="1"/>
          <w:bCs w:val="1"/>
          <w:color w:val="auto"/>
        </w:rPr>
        <w:t>Agent Indemnified Parties</w:t>
      </w:r>
      <w:r>
        <w:rPr>
          <w:rFonts w:ascii="Times New Roman" w:cs="Times New Roman" w:eastAsia="Times New Roman" w:hAnsi="Times New Roman"/>
          <w:sz w:val="18"/>
          <w:szCs w:val="18"/>
          <w:color w:val="auto"/>
        </w:rPr>
        <w:t>”) from and against any and all losses, claims, damages, liabilities, judgments, penalties, fines, costs and expenses (including, without limitation, reasonable and documented out-of-pocket fees and expenses of one counsel to the Agent Indemnified Parties, taken as a whole, and, if reasonably necessary due to conflicts, one additional counsel for the affected Agent Indemnified Parties)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as incurred, arising out of, relating to, resulting from or based upon:</w:t>
      </w:r>
    </w:p>
    <w:p>
      <w:pPr>
        <w:spacing w:after="0" w:line="185" w:lineRule="exact"/>
        <w:rPr>
          <w:sz w:val="20"/>
          <w:szCs w:val="20"/>
          <w:color w:val="auto"/>
        </w:rPr>
      </w:pPr>
    </w:p>
    <w:p>
      <w:pPr>
        <w:ind w:firstLine="656"/>
        <w:spacing w:after="0" w:line="282" w:lineRule="auto"/>
        <w:tabs>
          <w:tab w:leader="none" w:pos="91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failure of the Company to be deemed to have regained compliance with the Nasdaq continued listing requirement for stockholders’ equity as of the Closing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misstatement or omission of a material fact in any certificate, representation, warranty, statement or information furnished by or on behalf of the Company to the Placement Agent in connection with the Offering regarding the Company’s compliance with the Nasdaq continued listing requirement for stockholders’ equity (including any communications with Nasdaq); and</w:t>
      </w:r>
    </w:p>
    <w:p>
      <w:pPr>
        <w:sectPr>
          <w:pgSz w:w="11900" w:h="16838" w:orient="portrait"/>
          <w:cols w:equalWidth="0" w:num="1">
            <w:col w:w="11240"/>
          </w:cols>
          <w:pgMar w:left="320" w:top="335" w:right="339" w:bottom="0" w:gutter="0" w:footer="0" w:header="0"/>
        </w:sectPr>
      </w:pPr>
    </w:p>
    <w:bookmarkStart w:id="146" w:name="page147"/>
    <w:bookmarkEnd w:id="146"/>
    <w:p>
      <w:pPr>
        <w:jc w:val="both"/>
        <w:ind w:firstLine="656"/>
        <w:spacing w:after="0" w:line="266" w:lineRule="auto"/>
        <w:tabs>
          <w:tab w:leader="none" w:pos="90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proceeding, investigation, inquiry or enforcement action by Nasdaq, the SEC, FINRA, any state securities regulator, or any other governmental authority, or any claim by any investor or other third party, to the extent arising out of or relating to any matter described in clauses (a) or (b), including, without limitation, any suspension, delisting, trading halt, deficiency process, or related disclosure obligations.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indemnity shall apply regardless of whether any such matter is determined before, on or after the Closing Date and shall be in addition to, and not in lieu of, any other rights or remedies of the Agent Indemnified Parties under this Agreement, at law or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Representations and Indemnities to Survive Delivery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respective indemnities, agreements, representations, warranties and other statements of the Company or any of its Subsidiaries set forth in or made pursuant to this Agreement will remain in full force and effect, regardless of: (i) any investigation made by or on behalf of any Placement Agent Indemnified Party or any of their respective representatives or agents; (ii) acceptance of any Securities and payment therefor; (iii) any termination of this Agreement or expiration of the Offering Period; and (iv) the Company shall fail to maintain the listing of the Common Stock on the Nasdaq Capital Market. A successor to any Placement Agent Indemnified Party shall be entitled to the benefits of the indemnity, contribution and reimbursement agreements contained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Notices.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communications hereunder shall be in writing and shall be mailed (registered or certified mail, return receipt requested), personally delivered or sent by electronic mail transmission and confirmed and shall be deemed given when so delivered and confirmed or if mailed, two (2) days after such mailing as follows: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Placement Agent: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ThinkEquity LLC</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17 State Street, 41st Floor</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Head of Investment Banking</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Notices@think-equity.com</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Sheppard, Mullin, Richter &amp; Hampton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NY 10112</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Sean F. Reid, Esq.</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sreid@sheppard.com</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Hydrofarm Holdings Group, Inc.</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1510 Main Street</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Shoemakersville, PA 19555</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William Toler</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btoler@hydrofarm.com</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Cozen O’Connor</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One Oxford Centre</w:t>
      </w:r>
    </w:p>
    <w:p>
      <w:pPr>
        <w:ind w:left="880"/>
        <w:spacing w:after="0" w:line="192" w:lineRule="auto"/>
        <w:rPr>
          <w:sz w:val="20"/>
          <w:szCs w:val="20"/>
          <w:color w:val="auto"/>
        </w:rPr>
      </w:pPr>
      <w:r>
        <w:rPr>
          <w:rFonts w:ascii="Times New Roman" w:cs="Times New Roman" w:eastAsia="Times New Roman" w:hAnsi="Times New Roman"/>
          <w:sz w:val="18"/>
          <w:szCs w:val="18"/>
          <w:color w:val="auto"/>
        </w:rPr>
        <w:t>301 Grant Street,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Seth Popick</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spopick@cozen.com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Successors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Agreement will inure to the benefit of and be binding upon the parties hereto, and to the benefit of the Placement Agent Indemnified Parties (or any of their respective successors) referred to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and to their respective successors, and personal representatives, and no other person will have any right or obligation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Partial Unenforceability.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Governing Law Provisions.</w:t>
      </w:r>
    </w:p>
    <w:p>
      <w:pPr>
        <w:spacing w:after="0" w:line="227" w:lineRule="exact"/>
        <w:rPr>
          <w:sz w:val="20"/>
          <w:szCs w:val="20"/>
          <w:color w:val="auto"/>
        </w:rPr>
      </w:pPr>
    </w:p>
    <w:p>
      <w:pPr>
        <w:ind w:firstLine="656"/>
        <w:spacing w:after="0" w:line="284" w:lineRule="auto"/>
        <w:tabs>
          <w:tab w:leader="none" w:pos="89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agreements made and to be performed in such state.</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1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Any legal suit, action or proceeding arising out of or based upon this Agreement or the transactions contemplated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hereby may be instituted in the federal courts of the United States of America located in New York, New York, or the courts of the State of New York in each case located in the Borough of Manhattan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w:t>
      </w:r>
    </w:p>
    <w:p>
      <w:pPr>
        <w:sectPr>
          <w:pgSz w:w="11900" w:h="16838" w:orient="portrait"/>
          <w:cols w:equalWidth="0" w:num="1">
            <w:col w:w="11240"/>
          </w:cols>
          <w:pgMar w:left="320" w:top="337" w:right="339" w:bottom="0" w:gutter="0" w:footer="0" w:header="0"/>
        </w:sectPr>
      </w:pPr>
    </w:p>
    <w:bookmarkStart w:id="147" w:name="page148"/>
    <w:bookmarkEnd w:id="147"/>
    <w:p>
      <w:pPr>
        <w:jc w:val="both"/>
        <w:spacing w:after="0" w:line="254" w:lineRule="auto"/>
        <w:rPr>
          <w:sz w:val="20"/>
          <w:szCs w:val="20"/>
          <w:color w:val="auto"/>
        </w:rPr>
      </w:pPr>
      <w:r>
        <w:rPr>
          <w:rFonts w:ascii="Times New Roman" w:cs="Times New Roman" w:eastAsia="Times New Roman" w:hAnsi="Times New Roman"/>
          <w:sz w:val="18"/>
          <w:szCs w:val="18"/>
          <w:color w:val="auto"/>
        </w:rPr>
        <w:t>(except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EACH OF THE PLACEMENT AGENT AND THE COMPANY HEREBY WAIVES (ON ITS OWN BEHALF AND, TO THE EXTENT PERMITTED BY LAW, ON BEHALF OF ITS RESPECTIVE EQUITY HOLDERS AND CREDITORS) ANY RIGHT IT MAY HAVE TO TRIAL BY JURY IN RESPECT OF ANY CLAIM BASED UPON, ARISING OUT OF OR IN CONNECTION WITH THIS AGREEMENT AND THE TRANSACTIONS CONTEMPLATED HEREBY (INCLUDING, WITHOUT LIMITATION, THE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General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this Offering.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29"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74695" cy="2540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Placement Agency Agreement is hereby confirmed and accepted by the Placement Agent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THINKEQUITY LLC</w:t>
      </w:r>
    </w:p>
    <w:p>
      <w:pPr>
        <w:spacing w:after="0" w:line="22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Eric 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211709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17090" cy="2540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Eric Lord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Head of Investment Banking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Placement Agency Agreement]</w:t>
      </w:r>
    </w:p>
    <w:p>
      <w:pPr>
        <w:sectPr>
          <w:pgSz w:w="11900" w:h="16838" w:orient="portrait"/>
          <w:cols w:equalWidth="0" w:num="1">
            <w:col w:w="11220"/>
          </w:cols>
          <w:pgMar w:left="320" w:top="769" w:right="35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Hydrofarm Holdings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1510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Shoemakersville, PA 19555</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Hydrofarm Holdings Group, Inc. -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Lock-Up Agreement is being delivered to you in connection with the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October 27, 2026 by and among Hydrofarm Holdings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investors who are parties thereto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with respect to the issuance of (i) shares of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par value $0.0001 per share, and/or pre-funded warrants in lieu thereof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which Pre-funded Warrants will be exercisable to purchase Common Stock and (ii) warrants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which Common Warrants will be exercisable to purchase Common Stock. Capitalized terms used herein and not otherwise defined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respective meanings set forth in the Purchase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induce the the Company to enter into the Purchase Agreement, the undersigned agrees that, commencing on the date hereof and ending on the date that is one hundred twenty (120) days from the Effective Date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undersigned will not, and will cause all affiliates (as defined in Rule 144 promulgated under the Securities Act) of the undersigned or any affiliate of the undersigned controlled by the undersigned not to, directly or indirectly (i) sell, offer to sell, contract or agree to sell, hypothecate, pledge, grant any option to purchase, make any short sale or otherwise dispose of or agree to dispose of, directly or indirectly, any Common Stock or Common Stock Equivalents, or establish or increase a put equivalent position or liquidate or decrease a call equivalent position within the meaning of Section 16 of the Exchange Act with respect to any Common Stock or Common Stock Equivalents owned directly by the undersigned (including holding as a custodian) or with respect to which the undersigned has beneficial ownership within the rules and regulations of the Commission (collectively, the “</w:t>
      </w:r>
      <w:r>
        <w:rPr>
          <w:rFonts w:ascii="Times New Roman" w:cs="Times New Roman" w:eastAsia="Times New Roman" w:hAnsi="Times New Roman"/>
          <w:sz w:val="18"/>
          <w:szCs w:val="18"/>
          <w:b w:val="1"/>
          <w:bCs w:val="1"/>
          <w:color w:val="auto"/>
        </w:rPr>
        <w:t>Undersigned's Shares</w:t>
      </w:r>
      <w:r>
        <w:rPr>
          <w:rFonts w:ascii="Times New Roman" w:cs="Times New Roman" w:eastAsia="Times New Roman" w:hAnsi="Times New Roman"/>
          <w:sz w:val="18"/>
          <w:szCs w:val="18"/>
          <w:color w:val="auto"/>
        </w:rPr>
        <w:t>”), or (ii) enter into any swap or other arrangement that transfers to another, in whole or in part, any of the economic consequences of ownership of any of the Undersigned's Shares, whether any such transaction described in clause (i) or (ii) above is to be settled by delivery of Common Stock or other securities, in cash or otherwise, (iii) make any demand for or exercise any right or cause to be filed a registration statement, including any amendments thereto, with respect to the registration of any Common Stock or Common Stock Equivalents or (iv) publicly disclose the intention to do any of the foregoing.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foregoing restriction is expressly agreed to preclude the undersigned, and any affiliate of the undersigned and any person in privity with the undersigned or any affiliate of the undersigned, from engaging in any hedging or other transaction which is designed to or which reasonably could be expected to lead to or result in a sale or disposition of the Undersigned's Shares even if the Undersigned's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the Undersigned's Shares.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undersigned may transfer the Undersigned's Shares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(iii) to the Company (a) as forfeitures to satisfy tax withholding and remittance obligations of the undersigned in connection with the vesting or exercise of equity awards granted pursuant to the Company’s equity incentive plans, or (b) pursuant to a net exercise or cashless exercise by the undersigned of outstanding equity awards pursuant to the Company’s equity incentive plans; (iv) to any corporation, partnership, limited liability company or other business entity, all of the beneficial ownership interests of which are held exclusively by the undersigned, domestic partner and/or one or more family members of the undersigned or the undersigned’s domestic partner in a transaction not involving a disposition for value; (v) to one or more affiliates of the undersigned and distributions of securities to partners, members or shareholders of the undersigned; (vi) in transactions relating to Undersigned’s Shares acquired in open market transactions after the completion of the offering; provided that no filing under Section 16(a) of the Exchange Act shall be required or shall be voluntarily made in connection with subsequent sales of Undersigned’s Shares acquired in such open market transactions; (vii) for the establishment of a trading plan that complies with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restrictions shall apply in full force to sales or other dispositions pursuant to such Rule 10b5-1 plan during the Lock-Up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no public announcement or disclosure of entry into such Rule 10b5-1 plan is made or required to be made, including any filing with the Commission under Section 13 or Section 16 of the Exchange Act; (viii) pursuant to a bona fide third party tender offer, merger, consolidation or other similar transaction made to all holders of Common Stock and involving a change of control; or (ix) by will, laws of intestacy or domestic relations orders;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any transfer pursuant to clauses (i), (ii), (iii), (iv), and/or (v) above, each transferee, donee or distributee shall sign and deliver a lock-up letter substantially in the form of this Lock-Up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transfer shall not involve a disposition for value and such transfer is not required to be reported in any public report or filing with the Commission during the Lock-Up Period.</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Lock-Up Agreement, “immediate family” shall mean any relationship by blood, marriage, domestic partnership or adoption, not more remote than first cousin. The undersigned now has, and, except as contemplated by the immediately preceding sentence, for the duration of this Lock-Up Agreement will have, good and marketable title to the Undersigned's Shares, free and clear of all liens, encumbrances, and claims whatsoever. The undersigned also agrees and consents to the entry of stop transfer instructions with the Transfer Agent against the transfer of the Undersigned's Shares except in compliance with the foregoing restrictions.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order to enforce this covenant, the Company shall impose irrevocable stop-transfer instructions preventing the Transfer Agent from effecting any actions in violation of this Lock-Up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acknowledges that the execution, delivery and performance of this Lock-Up Agreement is a material inducement to the Company to complete the transactions contemplated by the Purchase Agreement and that the Company shall be entitled to specific performance of the undersigned's obligations hereunder. The undersigned hereby represents that the undersigned has the power and authority to execute, deliver and perform this Lock-Up Agreement, that the undersigned has received adequate consideration therefor and that the undersigned will indirectly benefit from the closing of the transactions contemplated by the Purchase Agreement.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understands and agrees that this Lock-Up Agreement is irrevocable and shall be binding upon the undersigned's heirs, legal representatives, successors, and assigns.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Lock-Up Agreement may be executed in two counterparts, each of which shall be deemed an original but both of which shall be considered one and the same instrument.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Lock-Up Agreement is intended for the benefit of the parties hereto and their respective successors and permitted assigns and is not for the benefit of, nor may any provisions hereof be enforced by, any other person or entity.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Lock-Up Agreement will be governed by and construed in accordance with the laws of the State of New York, without giving effect to any choice of law or conflicting provision or rule (whether of the State of New York, or any other jurisdiction) that would cause the laws of any jurisdiction other than the State of New York to be applied. In furtherance of the foregoing, the internal laws of the State of New York will control the interpretation and construction of this Lock-Up Agreement, even if under such jurisdiction's choice of law or conflict of law analysis, the substantive law of some other jurisdiction would ordinarily apply.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Exact Name of Shareholder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Acknowledged: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139"/>
          </w:cols>
          <w:pgMar w:left="320" w:top="553"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ESCROW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Escrow Agreement (the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dated as of the effective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by and among the corporation identified as the “Company”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CSC Delaware Trust Company, as escrow agent hereunder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xml:space="preserve">”), and the entity herein identified as the “Placement Agent”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offered to certain investors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pursuant to a Securities Purchase Agreement dated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by and among the Company and the Purchasers, as may be subsequently amended or restated (the “</w:t>
      </w:r>
      <w:r>
        <w:rPr>
          <w:rFonts w:ascii="Times New Roman" w:cs="Times New Roman" w:eastAsia="Times New Roman" w:hAnsi="Times New Roman"/>
          <w:sz w:val="18"/>
          <w:szCs w:val="18"/>
          <w:u w:val="single" w:color="auto"/>
          <w:color w:val="auto"/>
        </w:rPr>
        <w:t>SPA</w:t>
      </w:r>
      <w:r>
        <w:rPr>
          <w:rFonts w:ascii="Times New Roman" w:cs="Times New Roman" w:eastAsia="Times New Roman" w:hAnsi="Times New Roman"/>
          <w:sz w:val="18"/>
          <w:szCs w:val="18"/>
          <w:color w:val="auto"/>
        </w:rPr>
        <w:t>”), (i) in a registered direct offering (the “</w:t>
      </w:r>
      <w:r>
        <w:rPr>
          <w:rFonts w:ascii="Times New Roman" w:cs="Times New Roman" w:eastAsia="Times New Roman" w:hAnsi="Times New Roman"/>
          <w:sz w:val="18"/>
          <w:szCs w:val="18"/>
          <w:u w:val="single" w:color="auto"/>
          <w:color w:val="auto"/>
        </w:rPr>
        <w:t>Registered Direct Offering</w:t>
      </w:r>
      <w:r>
        <w:rPr>
          <w:rFonts w:ascii="Times New Roman" w:cs="Times New Roman" w:eastAsia="Times New Roman" w:hAnsi="Times New Roman"/>
          <w:sz w:val="18"/>
          <w:szCs w:val="18"/>
          <w:color w:val="auto"/>
        </w:rPr>
        <w:t>”) the subscription and sale of shares of common stock par value $0.0001,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(ii) in a concurrent private placement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together with the Registered Direct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the issuance of (a) shares of Common Stock, (b) pre-funded warrants to purchase shares of Common Stock, and (c) common stock purchase warrants to purchase shares of Common Stock pursuant to the exemption provided in Section 4(a)(2) of the Securities Act and/or Rule 506(b) of Regulation D promulgated thereunder (such securities in (i) and (ii),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Offering is being made on a reasonable best efforts basis to “accredited investors,” as such term is defined in Rule 501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D as promulgated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Section 4(a)(2) of the Securities Act;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Placement Agent has been named as the exclusive placement agent in connection with the Offering in accordance with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engagement letter dated as of September 23, 2026 by and between the Company and the Placement Agent;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mutual covenants hereinafter set forth, the parties hereto agree as follows:</w:t>
      </w:r>
    </w:p>
    <w:p>
      <w:pPr>
        <w:spacing w:after="0" w:line="225" w:lineRule="exact"/>
        <w:rPr>
          <w:sz w:val="20"/>
          <w:szCs w:val="20"/>
          <w:color w:val="auto"/>
        </w:rPr>
      </w:pPr>
    </w:p>
    <w:p>
      <w:pPr>
        <w:ind w:right="20" w:firstLine="656"/>
        <w:spacing w:after="0" w:line="286" w:lineRule="auto"/>
        <w:tabs>
          <w:tab w:leader="none" w:pos="1030"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Appointment</w:t>
      </w:r>
      <w:r>
        <w:rPr>
          <w:rFonts w:ascii="Times New Roman" w:cs="Times New Roman" w:eastAsia="Times New Roman" w:hAnsi="Times New Roman"/>
          <w:sz w:val="18"/>
          <w:szCs w:val="18"/>
          <w:color w:val="auto"/>
        </w:rPr>
        <w:t>. The Company and the Placement Agent hereby appoint the Escrow Agent as their escrow agent for the purposes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and the Escrow Agent hereby accepts such appointment under the terms and conditions set forth herein.</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63"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Escrow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closing of the purchase and sale of the Securities in accordance with the terms of the SPA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date of Closing,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each Purchaser participating therein will deliver not less than the full purchase price for the Securities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subscribed for by such Purchaser by wire transfer of immediately available funds, at such Purchasers’ election, either (a) directly to the Company or (b) pursuant to the wire transfer instructions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to the non-interest bearing account of the Escrow Agent referenced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(the “Escrow Deposit”). For clarity, the Escrow Deposit does not include the funds for the purchase price sent by a Purchaser directly to the Company. The Escrow Agent shall hold the Escrow Deposit, subject to the terms and conditions hereof. The Escrow Agent has no responsibility for</w:t>
      </w:r>
    </w:p>
    <w:p>
      <w:pPr>
        <w:spacing w:after="0" w:line="3"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subscriptions funded directly to the Company; (ii) determining whether all investors have funded; (iii) collecting unfunded subscriptions; or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aggregate amount raised. The Escrow Agent only controls and is responsible for funds actually deposited into the escrow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jc w:val="both"/>
        <w:ind w:firstLine="656"/>
        <w:spacing w:after="0" w:line="259" w:lineRule="auto"/>
        <w:tabs>
          <w:tab w:leader="none" w:pos="103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Investment of Escrow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this Escrow Agreement, the Escrow Deposit shall not be invested by the 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shall be retained as cash in the escrow account. No interest shall accrue on the Escrow Deposit for the benefit of the Company, the Placement Agent or any Purchaser. The Escrow Agent may earn compensation in the form of short-term interest on items like uncashed distribution checks (from the date issued until the date cashed), funds that the Escrow Agent is directed not to invest, and deposits awaiting investment direction or received too late to be invested overnight in previously directed deposits.</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76"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Disposition and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Placement Agent agree to notify the Escrow Agent in writing of any valid revocations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Purchaser of its intent to purchase Securities. Additionally, in the event the Offering is terminated prior to the Closing, the Company and the Placement Agent agree to notify the Escrow Agent. The Escrow Deposit shall be released only as follows:</w:t>
      </w:r>
    </w:p>
    <w:p>
      <w:pPr>
        <w:spacing w:after="0" w:line="174"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7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Escrow Deposit upon the Closing</w:t>
      </w:r>
      <w:r>
        <w:rPr>
          <w:rFonts w:ascii="Times New Roman" w:cs="Times New Roman" w:eastAsia="Times New Roman" w:hAnsi="Times New Roman"/>
          <w:sz w:val="18"/>
          <w:szCs w:val="18"/>
          <w:color w:val="auto"/>
        </w:rPr>
        <w:t>. Prior to the Closing, the Company and the Placement Agent shall deliver to the Escrow Agent written instructions executed by a duly authorized executive officer of the Company and the Placement Agent (“</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which Instructions shall provide the day designated as the Closing Date, and shall specify the payment instructions, including the address and tax identification number of each payee of the Escrow Deposit, including with respect to placement fees that may be disbursed to the Placement Agent or to any other selected dealer with respect to the Offering. Further, the Instructions shall include an acknowledgement and agreement from the Company and the Placement Agent that as of the Closing Date, the conditions to Closing as set forth in the SPA and other transaction documents (the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 have been or will be fully satisfied or duly waived. The Instructions shall not be effective and the Escrow Agent shall not release funds unless the Escrow Agent receives such Instructions signed by a duly authorized executive officer of the Company and the Placement Agent verifying that the Closing Conditions have been met or duly waived. The Company and the Placement Agent shall not unreasonably withhold, condition or delay its execution of Instructions once the Closing Conditions have been satisfied or waived. The Escrow Agent shall, at the time and in accordance with the payment instructions specified in the Instructions, deliver the Escrow Deposit (without interest).</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7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Escrow Deposit on Termination of Offering</w:t>
      </w:r>
      <w:r>
        <w:rPr>
          <w:rFonts w:ascii="Times New Roman" w:cs="Times New Roman" w:eastAsia="Times New Roman" w:hAnsi="Times New Roman"/>
          <w:sz w:val="18"/>
          <w:szCs w:val="18"/>
          <w:color w:val="auto"/>
        </w:rPr>
        <w:t>. In the event that the Escrow Agent shall have received written notice executed by a duly authorized executive officer of the Company and the Placement Agent, indicating that the Offering has been terminated prior to the Closing and designating a termination date, the Escrow Agent shall return to each Purchaser, the Purchase Price (without interest and deduction) delivered by such Purchaser to the Escrow Agent. The Company and the Placement Agent shall provide the Escrow Agent with time and payment instructions, including the address and tax identification number of each payee, for each Purchaser whose Purchase Price the Escrow Agent is to deliver pursuant to this Section (but in no case shall the Escrow Agent deliver such Purchase Price more than five (5) days following receipt by the Escrow Agent of such delivery instructions).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5" w:name="page156"/>
    <w:bookmarkEnd w:id="155"/>
    <w:p>
      <w:pPr>
        <w:jc w:val="both"/>
        <w:ind w:firstLine="1304"/>
        <w:spacing w:after="0" w:line="258" w:lineRule="auto"/>
        <w:tabs>
          <w:tab w:leader="none" w:pos="177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Escrow Deposit on Rejection of Purchase</w:t>
      </w:r>
      <w:r>
        <w:rPr>
          <w:rFonts w:ascii="Times New Roman" w:cs="Times New Roman" w:eastAsia="Times New Roman" w:hAnsi="Times New Roman"/>
          <w:sz w:val="18"/>
          <w:szCs w:val="18"/>
          <w:color w:val="auto"/>
        </w:rPr>
        <w:t>. In the event the Company determines it is necessary or appropriate to reject the purchase of any Purchaser for whom the Escrow Agent has received an Escrow Deposit, the Company shall deliver written notice of such event to the Escrow Agent and the Placement Agent, and the Placement Agent shall provide the Escrow Agent with the time and payment instructions, including the address and tax identification number of each payee, for the return to such Purchaser of the Purchase Price delivered by such Purchaser. The Escrow Agent shall deliver such funds (without interest and deduction) pursuant to such written notice.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3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Escrow Deposit on Revocation of Purchase</w:t>
      </w:r>
      <w:r>
        <w:rPr>
          <w:rFonts w:ascii="Times New Roman" w:cs="Times New Roman" w:eastAsia="Times New Roman" w:hAnsi="Times New Roman"/>
          <w:sz w:val="18"/>
          <w:szCs w:val="18"/>
          <w:color w:val="auto"/>
        </w:rPr>
        <w:t>. In the event that the Escrow Agent shall have received written notice executed by a duly authorized executive officer of the Company and the Placement Agent, indicating that any purchase has been revoked prior to the Closing, pursuant to the SPA, the Escrow Agent shall return to such revoking Purchaser, the Purchase Price (without interest and deduction) delivered by such Purchaser to the Escrow Agent. The Placement Agent shall provide the Escrow Agent with time and payment instructions, including the address and tax identification number of each payee, for each Purchaser whose Purchase Price the Escrow Agent is to deliver pursuant to this Section (but in no case shall the Escrow Agent deliver such Purchase Price more than five (5) days following receipt by the Escrow Agent of such delivery instructions).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Oversubscription Funds</w:t>
      </w:r>
      <w:r>
        <w:rPr>
          <w:rFonts w:ascii="Times New Roman" w:cs="Times New Roman" w:eastAsia="Times New Roman" w:hAnsi="Times New Roman"/>
          <w:sz w:val="18"/>
          <w:szCs w:val="18"/>
          <w:color w:val="auto"/>
        </w:rPr>
        <w:t>. In the event that the funds deposited into escrow exceed the purchase price for the Securities subscribed for pursuant to the SPA (“</w:t>
      </w:r>
      <w:r>
        <w:rPr>
          <w:rFonts w:ascii="Times New Roman" w:cs="Times New Roman" w:eastAsia="Times New Roman" w:hAnsi="Times New Roman"/>
          <w:sz w:val="18"/>
          <w:szCs w:val="18"/>
          <w:u w:val="single" w:color="auto"/>
          <w:color w:val="auto"/>
        </w:rPr>
        <w:t>Excess Subscription Funds</w:t>
      </w:r>
      <w:r>
        <w:rPr>
          <w:rFonts w:ascii="Times New Roman" w:cs="Times New Roman" w:eastAsia="Times New Roman" w:hAnsi="Times New Roman"/>
          <w:sz w:val="18"/>
          <w:szCs w:val="18"/>
          <w:color w:val="auto"/>
        </w:rPr>
        <w:t>”), and the Escrow Agent shall have received written notice executed by a duly authorized executive officer of the Company and the Placement Agent, indicating the amount of the Excess Subscription Funds, the Escrow Agent shall return to each such Purchaser, the Excess Subscription Funds (without interest and deduction) delivered by such Purchaser to the Escrow Agent. The Placement Agent shall provide the Escrow Agent with time and payment instructions, including the address and tax identification number of each payee, for each Purchaser whose Excess Subscription Funds are to be delivered pursuant to this Section (but in no case shall the Escrow Agent deliver such Excess Subscription Funds more than five (5) days following receipt by the Escrow Agent of such delivery instructions).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7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Pursuant to Court Order</w:t>
      </w:r>
      <w:r>
        <w:rPr>
          <w:rFonts w:ascii="Times New Roman" w:cs="Times New Roman" w:eastAsia="Times New Roman" w:hAnsi="Times New Roman"/>
          <w:sz w:val="18"/>
          <w:szCs w:val="18"/>
          <w:color w:val="auto"/>
        </w:rPr>
        <w:t>. Notwithstanding any provision contained herein, upon receipt by the Escrow Agent of a final and non-appealable judgment, order, decree or award of a court of competent jurisdiction (a “</w:t>
      </w:r>
      <w:r>
        <w:rPr>
          <w:rFonts w:ascii="Times New Roman" w:cs="Times New Roman" w:eastAsia="Times New Roman" w:hAnsi="Times New Roman"/>
          <w:sz w:val="18"/>
          <w:szCs w:val="18"/>
          <w:u w:val="single" w:color="auto"/>
          <w:color w:val="auto"/>
        </w:rPr>
        <w:t>Court Order</w:t>
      </w:r>
      <w:r>
        <w:rPr>
          <w:rFonts w:ascii="Times New Roman" w:cs="Times New Roman" w:eastAsia="Times New Roman" w:hAnsi="Times New Roman"/>
          <w:sz w:val="18"/>
          <w:szCs w:val="18"/>
          <w:color w:val="auto"/>
        </w:rPr>
        <w:t>”), the Escrow Agent shall deliver the Escrow Deposit in accordance with the Court Order. Any Court Order shall be accompanied by an opinion of counsel for the party presenting the Court Order to the Escrow Agent (which opinion shall be reasonably satisfactory to the Escrow Agent) to the effect that the court issuing the Court Order has competent jurisdiction and that the Court Order is final and non-appealable.</w:t>
      </w:r>
    </w:p>
    <w:p>
      <w:pPr>
        <w:spacing w:after="0" w:line="18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Upon delivery of all of the Escrow Deposit by the Escrow Agent this Escrow Agreement shall terminate, subject to the provisions of Section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both"/>
        <w:ind w:firstLine="656"/>
        <w:spacing w:after="0" w:line="252" w:lineRule="auto"/>
        <w:tabs>
          <w:tab w:leader="none" w:pos="963"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Escrow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Escrow Agent undertakes to perform only such duties as are expressly set forth herein and no duties shall be implied.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Agent shall have no liability under and no duty to inquire as to the provisions of any agreement other than this Escrow Agreement. The Escrow Agent may rely upon and shall not be liable for acting or refraining from acting upon any written notice, instruction or request furnished to it hereunder and believed by it to be genuine and to have been signed or presented by the proper party or parties. The Escrow Agent shall be under no duty to inquire into or investigate the validity, accuracy or content of any such document. The Escrow Agent shall have no duty to solicit any payments which may be due to it including the Escrow Deposit. The Escrow Agent shall not be liable for any action taken or omitted by it in good faith except to the extent that a court of competent jurisdiction determines that the Escrow Agent’s fraud, gross negligence or willful misconduct was the primary cause of any loss to the Company or the Placement Agent. The Escrow Agent may execute any of its powers and perform any of its duties hereunder directly or through agents or attorneys (and shall be liable only for the careful selection of any such agent or attorney) and may consult with counsel, accountants and other skilled persons to be selected and retained by it, at its sole cost. The Escrow Agent shall not be liable for anything done, suffered or omitted in good faith by it in accordance with the advice or opinion of any such counsel, accountants or other skilled persons. In the event that the Escrow Agent shall be uncertain as to its duties or rights hereunder or shall receive instructions, claims or demands from any party hereto which, in its opinion, conflict with any of the provisions of this Escrow Agreement, it shall be entitled to refrain from taking any action and its sole obligation shall be to keep safely all property held in escrow until it shall be directed otherwise in writing by all of the other parties hereto or by a final order or judgment of a court of competent jurisdiction. Anything in this Escrow Agreement to the contrary notwithstanding, in no event shall the Escrow Agent be liable for special, indirect or consequential loss or damage of any kind whatsoever (including but not limited to lost profits), even if the Escrow Agent has been advised of the likelihood of such loss or damage and regardless of the form of action.</w:t>
      </w:r>
    </w:p>
    <w:p>
      <w:pPr>
        <w:spacing w:after="0" w:line="193"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017"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Escrow Agent may resign and be discharged from its duties or obligations hereunder by giving twenty (20) days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in writing of such resignation to the other parties hereto specifying a date when such resignation shall take effect. The Company and the Placement Agent may jointly remove the Escrow Agent upon ten (10) days' written notice to the Escrow Agent specifying a date when such removal shall take effect. No such resignation or removal shall become effective until the appointment of a successor escrow agent which shall be accomplished as follows: the Company and the Placement Agent shall use their reasonable best efforts to obtain a successor escrow agent within twenty (20) days of the Company's receipt of such notice of resignation or the delivery of such notice of removal, as applicable. If the parties fail to agree upon a successor escrow agent within such time, the Escrow Agent shall have the right to petition a court of competent jurisdiction to appoint a successor escrow agent authorized to do business in the relevant jurisdiction. The successor escrow agent shall execute and deliver an instrument accepting such appointment and it shall without further acts, be vested with all the estates, properties, rights, powers, and duties of the predecessor escrow agent as if originally named as escrow agent. Upon such acceptance, the Escrow Agent shall promptly deliver the Escrow Deposit, less any amounts withheld in accordance with this Section 6, to the successor escrow agent, and the Escrow Agent shall thereupon be discharged from any further duties and liability under this Escrow Agreement. The Escrow Agent shall have the right to withhold an amount equal to any amount due and payable to the Escrow Agent. Any corporation or association into which the Escrow Agent may be merged or converted or with which it may be consolidated shall be the Escrow Agent under this Escrow Agreement without further act.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3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pay the Escrow Agent upon the Closing and from time to time thereafter reasonable compensation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to be rendered hereunder, which unless otherwise agreed in writing shall be as described in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 Fees shall be paid from the Escrow Deposit at Closing as set forth in the Instructions. In no event shall any fees be deducted from funds returned to Purchasers. In the event that the Offering is terminated prior to the Closing, the Company agrees to pay the Escrow Agent the fees as described in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7" w:name="page158"/>
    <w:bookmarkEnd w:id="157"/>
    <w:p>
      <w:pPr>
        <w:jc w:val="both"/>
        <w:ind w:firstLine="656"/>
        <w:spacing w:after="0" w:line="256" w:lineRule="auto"/>
        <w:tabs>
          <w:tab w:leader="none" w:pos="108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indemnify and save harmless the Escrow Agent and its directors, officers, agents and employees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all loss, liability or expense (including the reasonable attorneys’ fees and expenses of the Escrow Agent) arising out of or in connection with (i) the Escrow Agent’s execution and performance of this Escrow Agreement, except in the case of any Indemnitee to the extent that such loss, liability or expense is due to the fraud, knowing violation of law, gross negligence or willful misconduct of any of the Indemnitees, or (ii) its following any instructions or other directions from the Company or the Placement Agent, except to the extent that its following any such instruction or direction is in violation of the terms hereof. The parties hereto acknowledge that the foregoing indemnities shall survive the resignation or removal of the Escrow Agent or the termination of this Escrow Agreement.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76"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Placement Agent represent that its correct Tax Identification Number (“</w:t>
      </w:r>
      <w:r>
        <w:rPr>
          <w:rFonts w:ascii="Times New Roman" w:cs="Times New Roman" w:eastAsia="Times New Roman" w:hAnsi="Times New Roman"/>
          <w:sz w:val="18"/>
          <w:szCs w:val="18"/>
          <w:u w:val="single" w:color="auto"/>
          <w:color w:val="auto"/>
        </w:rPr>
        <w:t>TIN</w:t>
      </w:r>
      <w:r>
        <w:rPr>
          <w:rFonts w:ascii="Times New Roman" w:cs="Times New Roman" w:eastAsia="Times New Roman" w:hAnsi="Times New Roman"/>
          <w:sz w:val="18"/>
          <w:szCs w:val="18"/>
          <w:color w:val="auto"/>
        </w:rPr>
        <w:t>”) assigned by the Internal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xml:space="preserve">”) or any other taxing authority is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to the extent applicable. Unless otherwise indicated in writing by the Company and the Placement Agent, no taxes or other withholdings are required to be made under applicable law or otherwise with respect to any payment to be made by Escrow Agent. All documentation necessary to support a claim of exemption or reduction in such taxes or other withholdings has been timely collected by Company and the Placement Agent, and copies will be provided to Escrow Agent promptly upon a request therefor. Unless otherwise agreed to in writing by Escrow Agent, all tax returns required to be filed with the IRS and any other taxing authority as required by law with respect to payments made hereunder shall be timely filed and prepared by each of the Company and the Placement Agent, solely as to itself and as applicable, including but not limited to any applicable reporting or withholding pursuant to the Foreign Account Tax Compliance Act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The parties hereto acknowledge and agree that the Escrow Agent shall have no responsibility for the preparation and/or filing of any tax return or any applicable FATCA reporting with respect to the Escrow Deposit. The Escrow Agent shall withhold any taxes it deems appropriate, including but not limited to required withholding in the absence of proper tax documentation, and shall remit such taxes to the appropriate authorities as it determines may be required by any law or regulation in effect at the time of the distribution.</w:t>
      </w:r>
    </w:p>
    <w:p>
      <w:pPr>
        <w:spacing w:after="0" w:line="189"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communications hereunder shall be in writing and shall be deemed to be duly given and received:</w:t>
      </w:r>
    </w:p>
    <w:p>
      <w:pPr>
        <w:spacing w:after="0" w:line="229" w:lineRule="exact"/>
        <w:rPr>
          <w:rFonts w:ascii="Times New Roman" w:cs="Times New Roman" w:eastAsia="Times New Roman" w:hAnsi="Times New Roman"/>
          <w:sz w:val="18"/>
          <w:szCs w:val="18"/>
          <w:b w:val="1"/>
          <w:bCs w:val="1"/>
          <w:color w:val="auto"/>
        </w:rPr>
      </w:pPr>
    </w:p>
    <w:p>
      <w:pPr>
        <w:ind w:left="1660" w:hanging="356"/>
        <w:spacing w:after="0"/>
        <w:tabs>
          <w:tab w:leader="none" w:pos="1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if delivered personally or upon confirmed transmittal if by facsimile or e-mail;</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Business Day (as defined herein) if sent by overnight courier;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jc w:val="both"/>
        <w:ind w:firstLine="1304"/>
        <w:spacing w:after="0" w:line="266" w:lineRule="auto"/>
        <w:tabs>
          <w:tab w:leader="none" w:pos="175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 (4) Business Days after mailing if mailed by prepaid registered mail, return receipt requested, to the appropriate notice address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or at such other address as any party hereto may have furnished to the other parties in writing by registered mail, return receipt requested.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8" w:name="page159"/>
    <w:bookmarkEnd w:id="158"/>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above, in the case of communications delivered to the Escrow Agent pursuant to (ii) and (iii) of this Section 10, such communications shall be deemed to have been given on the date received by the Escrow Agent. In the event that the Escrow Agent, in its sole discretion, shall determine that an emergency exists, the Escrow Agent may use such other means of communication as the Escrow Agent deems appropriate.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any day other than a Saturday, Sunday or any other day on which the Escrow Agent located at the notice address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is authorized or required by law or executive order to remain closed.</w:t>
      </w:r>
    </w:p>
    <w:p>
      <w:pPr>
        <w:spacing w:after="0" w:line="179" w:lineRule="exact"/>
        <w:rPr>
          <w:sz w:val="20"/>
          <w:szCs w:val="20"/>
          <w:color w:val="auto"/>
        </w:rPr>
      </w:pPr>
    </w:p>
    <w:p>
      <w:pPr>
        <w:jc w:val="both"/>
        <w:ind w:firstLine="656"/>
        <w:spacing w:after="0" w:line="254" w:lineRule="auto"/>
        <w:tabs>
          <w:tab w:leader="none" w:pos="1056"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Security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funds transfer instructions are given including but not limited to the Instructions (other than in writing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time of execution of this Escrow Agreement), whether in writing, by telecopier or otherwise, the Escrow Agent shall seek confirmation of such instructions by telephone call-back to the person or persons designated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 The Escrow Agent and the beneficiary’s bank in any funds transfer may rely solely upon any account numbers or similar identifying numbers provided by the Company or the Placement Agent to identify (i) the beneficiary, (ii) the beneficiary’s bank, or (iii) an intermediary bank. The Escrow Agent may apply any of the escrowed funds for any payment order it executes using any such identifying number, even where its use may result in a person other than the beneficiary being paid, or the transfer of funds to a bank other than the beneficiary’s bank or an intermediary bank designated. The parties to this Escrow Agreement acknowledge that these security procedures are commercially reasonable.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053"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Escrow Agent shall keep confidential, and shall not disclose to any third party, the terms of the Offering, the identity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Purchasers, the amount of any Escrow Deposit and any other non-public information relating to the Company, the Placement Agent, Purchasers or the Offering received by it in connection with this Escrow Agreement (collectively,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and shall use Confidential Information solely to perform its duties hereunder; provided that the Escrow Agent may disclose Confidential Information (i) to its affiliates and its and their directors, officers, employees, agents, auditors and counsel who need to know such information to perform the Escrow Agent's duties hereunder and are bound by confidentiality obligations no less protective than those set forth herein, (ii) to the extent required by applicable law, regulation, court order, legal process or the request of any governmental, regulatory or self-regulatory authority, including in connection with its compliance with Applicable Law (as defined below), and (iii) to the extent such information is or becomes publicly available other than through a breach of this Section by the Escrow Agent. In the case of clause (ii), except in connection with routine regulatory examinations, the Escrow Agent shall, to the extent legally permitted, give the Company and Placement Agent prompt written notice of any such required disclosure. The Escrow Agent shall not use the name, trademarks or logos of the Company, or refer to the Company, the Offering or this Escrow Agreement, in any advertising, marketing, client list, press release or other public communication without the prior written consent of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jc w:val="both"/>
        <w:ind w:firstLine="656"/>
        <w:spacing w:after="0" w:line="254" w:lineRule="auto"/>
        <w:tabs>
          <w:tab w:leader="none" w:pos="1066"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Escrow Agreement may be waived, altered, amended or supplemented, in whole or in part, only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by all of the parties hereto. Neither this Escrow Agreement nor any right or interest hereunder may be assigned in whole or in part by any party, except as provided in Section 6, without the prior consent of the other parties, which consent shall not be unreasonably withheld, conditioned or delayed. This Escrow Agreement shall be governed by and construed under the laws of the State of Delaware. Each party hereto irrevocably waives any objection on the grounds of venue, forum non-conveniens or any similar grounds and irrevocably consents to service of process by mail or in any other manner permitted by applicable law and consents to the jurisdiction of the courts located in the State of Delaware. The parties further hereby waive any right to a trial by jury with respect to any lawsuit or judicial proceeding arising or relating to this Escrow Agreement. No party to this Escrow Agreement is liable to any other party for losses due to, or if it is unable to perform its obligations under the terms of this Escrow Agreement because of, acts of God, fire, floods, strikes, equipment or transmission failure, or other causes reasonably beyond its control. This Escrow Agreement may be executed in one or more counterparts, each of which shall be deemed an original, but all of which together shall constitute one and the same instrument.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107"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Patriot Act Compliance</w:t>
      </w:r>
      <w:r>
        <w:rPr>
          <w:rFonts w:ascii="Times New Roman" w:cs="Times New Roman" w:eastAsia="Times New Roman" w:hAnsi="Times New Roman"/>
          <w:sz w:val="18"/>
          <w:szCs w:val="18"/>
          <w:color w:val="auto"/>
        </w:rPr>
        <w:t>. In order to comply with laws, rules, regulations and executive orders in effect from time to time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institutions, including those relating to the funding of terrorist activities and money laundering and the Customer Identification Program (“</w:t>
      </w:r>
      <w:r>
        <w:rPr>
          <w:rFonts w:ascii="Times New Roman" w:cs="Times New Roman" w:eastAsia="Times New Roman" w:hAnsi="Times New Roman"/>
          <w:sz w:val="18"/>
          <w:szCs w:val="18"/>
          <w:u w:val="single" w:color="auto"/>
          <w:color w:val="auto"/>
        </w:rPr>
        <w:t>CIP</w:t>
      </w:r>
      <w:r>
        <w:rPr>
          <w:rFonts w:ascii="Times New Roman" w:cs="Times New Roman" w:eastAsia="Times New Roman" w:hAnsi="Times New Roman"/>
          <w:sz w:val="18"/>
          <w:szCs w:val="18"/>
          <w:color w:val="auto"/>
        </w:rPr>
        <w:t>”) requirements under the USA PATRIOT Act and its implementing regulations, pursuant to which the Escrow Agent must obtain, verify and record information that allows the Escrow Agent to identify customers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Escrow Agent is required to obtain, verify and record certain information relating to individuals and entities which maintain a business relationship with the Escrow Agent. Accordingly, each party hereto agrees to provide to the Escrow Agent upon its request from time to time such identifying information and documentation as may be available for such party in order to enable the Escrow Agent to comply with Applicable Law, including, but not limited to, information as to name, physical address, tax identification number and other information that will help the Escrow Agent to identify and verify such party such as organizational documents, certificates of good standing (where applicable), licenses to do business or other pertinent identifying information. Each party hereto understands and agrees that the Escrow Agent cannot open the Escrow Deposit unless and until the Escrow Agent verifies the identities of the parties in accordance with its CIP.</w:t>
      </w:r>
    </w:p>
    <w:p>
      <w:pPr>
        <w:spacing w:after="0" w:line="189" w:lineRule="exact"/>
        <w:rPr>
          <w:sz w:val="20"/>
          <w:szCs w:val="20"/>
          <w:color w:val="auto"/>
        </w:rPr>
      </w:pPr>
    </w:p>
    <w:p>
      <w:pPr>
        <w:ind w:left="4100"/>
        <w:spacing w:after="0"/>
        <w:tabs>
          <w:tab w:leader="none" w:pos="4560" w:val="left"/>
          <w:tab w:leader="none" w:pos="5060" w:val="left"/>
          <w:tab w:leader="none" w:pos="5560" w:val="left"/>
          <w:tab w:leader="none" w:pos="6060" w:val="left"/>
          <w:tab w:leader="none" w:pos="6540" w:val="left"/>
          <w:tab w:leader="none" w:pos="7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Escrow Agreement as of the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CSC DELAWARE TRUST COMPANY AS ESCROW</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00" w:lineRule="exact"/>
        <w:rPr>
          <w:sz w:val="20"/>
          <w:szCs w:val="20"/>
          <w:color w:val="auto"/>
        </w:rPr>
      </w:pPr>
    </w:p>
    <w:p>
      <w:pPr>
        <w:spacing w:after="0" w:line="22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Bellucci</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Bellucci</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Toler</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Toler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PLACEMENT AGENT: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THINKEQUITY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Lord</w:t>
            </w:r>
          </w:p>
        </w:tc>
        <w:tc>
          <w:tcPr>
            <w:tcW w:w="1120" w:type="dxa"/>
            <w:vAlign w:val="bottom"/>
          </w:tcPr>
          <w:p>
            <w:pPr>
              <w:spacing w:after="0"/>
              <w:rPr>
                <w:sz w:val="20"/>
                <w:szCs w:val="20"/>
                <w:color w:val="auto"/>
              </w:rPr>
            </w:pPr>
          </w:p>
        </w:tc>
      </w:tr>
      <w:tr>
        <w:trPr>
          <w:trHeight w:val="191"/>
        </w:trPr>
        <w:tc>
          <w:tcPr>
            <w:tcW w:w="64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Lord</w:t>
            </w:r>
          </w:p>
        </w:tc>
        <w:tc>
          <w:tcPr>
            <w:tcW w:w="1120" w:type="dxa"/>
            <w:vAlign w:val="bottom"/>
          </w:tcPr>
          <w:p>
            <w:pPr>
              <w:spacing w:after="0"/>
              <w:rPr>
                <w:sz w:val="16"/>
                <w:szCs w:val="16"/>
                <w:color w:val="auto"/>
              </w:rPr>
            </w:pPr>
          </w:p>
        </w:tc>
      </w:tr>
      <w:tr>
        <w:trPr>
          <w:trHeight w:val="234"/>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Head of Investment Banking</w:t>
            </w:r>
          </w:p>
        </w:tc>
        <w:tc>
          <w:tcPr>
            <w:tcW w:w="1120" w:type="dxa"/>
            <w:vAlign w:val="bottom"/>
          </w:tcPr>
          <w:p>
            <w:pPr>
              <w:spacing w:after="0"/>
              <w:rPr>
                <w:sz w:val="20"/>
                <w:szCs w:val="20"/>
                <w:color w:val="auto"/>
              </w:rPr>
            </w:pPr>
          </w:p>
        </w:tc>
      </w:tr>
      <w:tr>
        <w:trPr>
          <w:trHeight w:val="432"/>
        </w:trPr>
        <w:tc>
          <w:tcPr>
            <w:tcW w:w="64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8</w:t>
            </w:r>
          </w:p>
        </w:tc>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642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33"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233045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233045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7"/>
          <w:szCs w:val="17"/>
          <w:b w:val="1"/>
          <w:bCs w:val="1"/>
          <w:color w:val="auto"/>
        </w:rPr>
        <w:t>Schedule 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4</w:t>
      </w:r>
    </w:p>
    <w:p>
      <w:pPr>
        <w:sectPr>
          <w:pgSz w:w="11900" w:h="16838" w:orient="portrait"/>
          <w:cols w:equalWidth="0" w:num="1">
            <w:col w:w="9019"/>
          </w:cols>
          <w:pgMar w:left="1440" w:top="333"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1510 Main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Shoemakersville, Pennsylvania 19555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FEAC Agent, LLC, as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Boylston Street, Suite 1250, Boston, Massachusetts 02116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Lenders party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Side Letter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Lock-Up and Stockholder Approval Covenant Relating to Series 1 Non-Voting Convertible Preferred Stock and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Reference is made to that certain Payoff Letter, dated as of October 27, 2026 (together with the Exhibits and Annexes thereto, the “</w:t>
      </w:r>
      <w:r>
        <w:rPr>
          <w:rFonts w:ascii="Times New Roman" w:cs="Times New Roman" w:eastAsia="Times New Roman" w:hAnsi="Times New Roman"/>
          <w:sz w:val="18"/>
          <w:szCs w:val="18"/>
          <w:b w:val="1"/>
          <w:bCs w:val="1"/>
          <w:color w:val="auto"/>
        </w:rPr>
        <w:t>Payoff Letter</w:t>
      </w:r>
      <w:r>
        <w:rPr>
          <w:rFonts w:ascii="Times New Roman" w:cs="Times New Roman" w:eastAsia="Times New Roman" w:hAnsi="Times New Roman"/>
          <w:sz w:val="18"/>
          <w:szCs w:val="18"/>
          <w:color w:val="auto"/>
        </w:rPr>
        <w:t>”), by and among Hydrofarm Holdings Group, Inc., a Delaware corporation, as Borrower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FEAC Agent, LLC (as successor to JPMorgan Chase Bank, N.A.), in its capacities as administrative agent and collateral agent (in such capacities,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the lenders party thereto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relating to (i) that certain Credit and Guaranty Agreement, dated as of October 25, 2021 (as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 (ii) the other Credit Documents (as defined in the Credit Agreement) and all guaranties, security agreements, mortgages, subordination agreements, intercreditor agreements, pledge agreements, deposit account control agreements, notes and other documents and instruments relating thereto (together with the Credit Agreement, collectively,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Capitalized terms used but not defined in this letter agreement (this “</w:t>
      </w:r>
      <w:r>
        <w:rPr>
          <w:rFonts w:ascii="Times New Roman" w:cs="Times New Roman" w:eastAsia="Times New Roman" w:hAnsi="Times New Roman"/>
          <w:sz w:val="18"/>
          <w:szCs w:val="18"/>
          <w:b w:val="1"/>
          <w:bCs w:val="1"/>
          <w:color w:val="auto"/>
        </w:rPr>
        <w:t>Side Letter</w:t>
      </w:r>
      <w:r>
        <w:rPr>
          <w:rFonts w:ascii="Times New Roman" w:cs="Times New Roman" w:eastAsia="Times New Roman" w:hAnsi="Times New Roman"/>
          <w:sz w:val="18"/>
          <w:szCs w:val="18"/>
          <w:color w:val="auto"/>
        </w:rPr>
        <w:t>”) have the meanings given to them in the Payoff Letter or, if not defined therein, in the Credit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Payoff Letter, the Company will issue to the Lenders (i) twenty-seven million and five hundred thousand (27,500,000) shares of the Company’s Series 1 Non-Voting Convertible Preferred Stock, par value $0.0001 per share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and (ii) common stock purchase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acquire, in the aggregate, twenty-seven million and five hundred thousand (27,500,000)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each on the terms set forth in Exhibit A to the Payoff Letter. Exhibit A provides, among other things, that the Preferred Shares will be convertible, and the Warrants will be exercisable, only upon receipt of any required stockholder approvals, and that each Lender will agree to a lock-up of the Preferred Shares, the Warrants, the Conversion Shares and the Warrant Shares until the Lock-Up Expiration Date. The parties wish to document the lock-up and to set forth the Company’s covenant to obtain such stockholder approval. Accordingly, in consideration of the mutual agreements in the Payoff Letter and this Side Letter, (including solely with respect to the Designating Lenders (as defined below), the Company’s agreement to seek the appointment of the Lender Designees (defined below) as set forth herein, which agreement shall constitute consideration solely to the Designating Lenders and not to any other Lender) and for other good and valuable consideration, the receipt and sufficiency of which are hereby acknowledged, the parties agree as follows:</w:t>
      </w:r>
    </w:p>
    <w:p>
      <w:pPr>
        <w:spacing w:after="0" w:line="192" w:lineRule="exact"/>
        <w:rPr>
          <w:sz w:val="20"/>
          <w:szCs w:val="20"/>
          <w:color w:val="auto"/>
        </w:rPr>
      </w:pPr>
    </w:p>
    <w:p>
      <w:pPr>
        <w:ind w:left="240" w:hanging="232"/>
        <w:spacing w:after="0"/>
        <w:tabs>
          <w:tab w:leader="none" w:pos="24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Side Letter:</w:t>
      </w:r>
    </w:p>
    <w:p>
      <w:pPr>
        <w:spacing w:after="0" w:line="221" w:lineRule="exact"/>
        <w:rPr>
          <w:rFonts w:ascii="Times New Roman" w:cs="Times New Roman" w:eastAsia="Times New Roman" w:hAnsi="Times New Roman"/>
          <w:sz w:val="18"/>
          <w:szCs w:val="18"/>
          <w:b w:val="1"/>
          <w:bCs w:val="1"/>
          <w:color w:val="auto"/>
        </w:rPr>
      </w:pPr>
    </w:p>
    <w:p>
      <w:pPr>
        <w:ind w:left="940" w:hanging="284"/>
        <w:spacing w:after="0"/>
        <w:tabs>
          <w:tab w:leader="none" w:pos="9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 Designees</w:t>
      </w:r>
      <w:r>
        <w:rPr>
          <w:rFonts w:ascii="Times New Roman" w:cs="Times New Roman" w:eastAsia="Times New Roman" w:hAnsi="Times New Roman"/>
          <w:sz w:val="18"/>
          <w:szCs w:val="18"/>
          <w:color w:val="auto"/>
        </w:rPr>
        <w:t>” has the meaning set forth in Section 4.</w:t>
      </w:r>
    </w:p>
    <w:p>
      <w:pPr>
        <w:spacing w:after="0" w:line="225" w:lineRule="exact"/>
        <w:rPr>
          <w:rFonts w:ascii="Times New Roman" w:cs="Times New Roman" w:eastAsia="Times New Roman" w:hAnsi="Times New Roman"/>
          <w:sz w:val="18"/>
          <w:szCs w:val="18"/>
          <w:color w:val="auto"/>
        </w:rPr>
      </w:pPr>
    </w:p>
    <w:p>
      <w:pPr>
        <w:ind w:left="660" w:hanging="4"/>
        <w:spacing w:after="0" w:line="286" w:lineRule="auto"/>
        <w:tabs>
          <w:tab w:leader="none" w:pos="973"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means the beneficial ownership limitation applicable to the conversion of the Preferred Shares and the exercise of the Warrants.</w:t>
      </w:r>
    </w:p>
    <w:p>
      <w:pPr>
        <w:spacing w:after="0" w:line="154"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Cap</w:t>
      </w:r>
      <w:r>
        <w:rPr>
          <w:rFonts w:ascii="Times New Roman" w:cs="Times New Roman" w:eastAsia="Times New Roman" w:hAnsi="Times New Roman"/>
          <w:sz w:val="18"/>
          <w:szCs w:val="18"/>
          <w:color w:val="auto"/>
        </w:rPr>
        <w:t>” has the meaning set forth in Section 4.</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the meaning set forth in Section 4.</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Cleansing Disclosure</w:t>
      </w:r>
      <w:r>
        <w:rPr>
          <w:rFonts w:ascii="Times New Roman" w:cs="Times New Roman" w:eastAsia="Times New Roman" w:hAnsi="Times New Roman"/>
          <w:sz w:val="18"/>
          <w:szCs w:val="18"/>
          <w:color w:val="auto"/>
        </w:rPr>
        <w:t>” has the meaning set forth in Section 7(k).</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the shares of Common Stock issuable upon conversion of the Preferred Shares.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Designating Lenders</w:t>
      </w:r>
      <w:r>
        <w:rPr>
          <w:rFonts w:ascii="Times New Roman" w:cs="Times New Roman" w:eastAsia="Times New Roman" w:hAnsi="Times New Roman"/>
          <w:sz w:val="18"/>
          <w:szCs w:val="18"/>
          <w:color w:val="auto"/>
        </w:rPr>
        <w:t>” has the meaning set forth in Section 4.</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Lender Designee</w:t>
      </w:r>
      <w:r>
        <w:rPr>
          <w:rFonts w:ascii="Times New Roman" w:cs="Times New Roman" w:eastAsia="Times New Roman" w:hAnsi="Times New Roman"/>
          <w:sz w:val="18"/>
          <w:szCs w:val="18"/>
          <w:color w:val="auto"/>
        </w:rPr>
        <w:t>” has the meaning set forth in Section 4.</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Designees</w:t>
      </w:r>
      <w:r>
        <w:rPr>
          <w:rFonts w:ascii="Times New Roman" w:cs="Times New Roman" w:eastAsia="Times New Roman" w:hAnsi="Times New Roman"/>
          <w:sz w:val="18"/>
          <w:szCs w:val="18"/>
          <w:color w:val="auto"/>
        </w:rPr>
        <w:t>” has the meaning set forth in Section 4.</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2" w:lineRule="auto"/>
        <w:tabs>
          <w:tab w:leader="none" w:pos="9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Expiration Date</w:t>
      </w:r>
      <w:r>
        <w:rPr>
          <w:rFonts w:ascii="Times New Roman" w:cs="Times New Roman" w:eastAsia="Times New Roman" w:hAnsi="Times New Roman"/>
          <w:sz w:val="18"/>
          <w:szCs w:val="18"/>
          <w:color w:val="auto"/>
        </w:rPr>
        <w:t>” means the later of (i) the date on which Stockholder Approval is obtained and (ii) the date that is 120 days after the effectiveness of the Offering Resale Registration Statement; provided, that in no event shall the Lock-Up Expiration Date be later than (iii) the date that is 120 days after the shares of Common Stock, pre-funded warrants and warrants issued to the investors in the concurrent private placement of the Offering first become eligible for resale under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has the meaning set forth in Section 2(a).</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8" w:lineRule="auto"/>
        <w:tabs>
          <w:tab w:leader="none" w:pos="947"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means, with respect to each Lender, the Conversion Shares and Warrant Shares issued or issuable in respect of the Preferred Shares and Warrants issued to such Lender (or its designated account) pursuant to the Payoff Letter, and any securities issued in respect of any of the foregoing by way of stock dividend, stock split, recapitalization, reclassification, merger, consolidation or similar event.</w:t>
      </w:r>
    </w:p>
    <w:p>
      <w:pPr>
        <w:spacing w:after="0" w:line="170"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978"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Necessary Action</w:t>
      </w:r>
      <w:r>
        <w:rPr>
          <w:rFonts w:ascii="Times New Roman" w:cs="Times New Roman" w:eastAsia="Times New Roman" w:hAnsi="Times New Roman"/>
          <w:sz w:val="18"/>
          <w:szCs w:val="18"/>
          <w:color w:val="auto"/>
        </w:rPr>
        <w:t>” means, with respect to any person and a specified result, all actions (to the extent such actions are not prohibited by applicable law and reasonably within such person’s control, and in the case of any action that requires a vote or other action on the part of the Board of Directors, to the extent such action is consistent with fiduciary duties that the Company’s directors may have in such capacity) necessary or desirable to cause such result, including (i) calling special meetings of stockholders, (ii) voting or providing a written consent or proxy, if applicable in each case, with respect to all shares of common stock, (iii) causing the adoption of stockholders’ resolutions and amendments to the Company’s certificate of incorporation or bylaws, (iv) executing agreements and instruments, (v) making, or causing to be made, with</w:t>
      </w:r>
    </w:p>
    <w:p>
      <w:pPr>
        <w:sectPr>
          <w:pgSz w:w="11900" w:h="16838" w:orient="portrait"/>
          <w:cols w:equalWidth="0" w:num="1">
            <w:col w:w="11240"/>
          </w:cols>
          <w:pgMar w:left="320" w:top="117" w:right="339" w:bottom="0" w:gutter="0" w:footer="0" w:header="0"/>
        </w:sectPr>
      </w:pPr>
    </w:p>
    <w:bookmarkStart w:id="165" w:name="page166"/>
    <w:bookmarkEnd w:id="165"/>
    <w:p>
      <w:pPr>
        <w:ind w:left="652"/>
        <w:spacing w:after="0" w:line="282" w:lineRule="auto"/>
        <w:rPr>
          <w:sz w:val="20"/>
          <w:szCs w:val="20"/>
          <w:color w:val="auto"/>
        </w:rPr>
      </w:pPr>
      <w:r>
        <w:rPr>
          <w:rFonts w:ascii="Times New Roman" w:cs="Times New Roman" w:eastAsia="Times New Roman" w:hAnsi="Times New Roman"/>
          <w:sz w:val="18"/>
          <w:szCs w:val="18"/>
          <w:color w:val="auto"/>
        </w:rPr>
        <w:t>governmental authorities, all filings, registrations or similar actions that are required to achieve such result and (vi) nominating certain persons for election to the Board of Directors in connection with the annual or special meeting of stockholders of the Company.</w:t>
      </w:r>
    </w:p>
    <w:p>
      <w:pPr>
        <w:spacing w:after="0" w:line="158" w:lineRule="exact"/>
        <w:rPr>
          <w:sz w:val="20"/>
          <w:szCs w:val="20"/>
          <w:color w:val="auto"/>
        </w:rPr>
      </w:pPr>
    </w:p>
    <w:p>
      <w:pPr>
        <w:jc w:val="both"/>
        <w:ind w:left="652" w:hanging="4"/>
        <w:spacing w:after="0" w:line="268" w:lineRule="auto"/>
        <w:tabs>
          <w:tab w:leader="none" w:pos="100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means the Company’s offering of shares of Common Stock, pre-funded warrants and common stock purchase warrants in a registered direct offering and concurrent private placement pursuant to the Securities Purchase Agreement, dated as of October 27, 2026, among the Company and the purchasers party thereto.</w:t>
      </w:r>
    </w:p>
    <w:p>
      <w:pPr>
        <w:spacing w:after="0" w:line="170" w:lineRule="exact"/>
        <w:rPr>
          <w:rFonts w:ascii="Times New Roman" w:cs="Times New Roman" w:eastAsia="Times New Roman" w:hAnsi="Times New Roman"/>
          <w:sz w:val="18"/>
          <w:szCs w:val="18"/>
          <w:color w:val="auto"/>
        </w:rPr>
      </w:pPr>
    </w:p>
    <w:p>
      <w:pPr>
        <w:jc w:val="both"/>
        <w:ind w:left="652" w:hanging="4"/>
        <w:spacing w:after="0" w:line="268" w:lineRule="auto"/>
        <w:tabs>
          <w:tab w:leader="none" w:pos="99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Resale Registration Statement</w:t>
      </w:r>
      <w:r>
        <w:rPr>
          <w:rFonts w:ascii="Times New Roman" w:cs="Times New Roman" w:eastAsia="Times New Roman" w:hAnsi="Times New Roman"/>
          <w:sz w:val="18"/>
          <w:szCs w:val="18"/>
          <w:color w:val="auto"/>
        </w:rPr>
        <w:t>” means the registration statement covering the resale of all shares of Common Stock, and all shares of Common Stock underlying the pre-funded warrants and common stock purchase warrants, issued to the purchasers in the concurrent private placement of the Offering.</w:t>
      </w:r>
    </w:p>
    <w:p>
      <w:pPr>
        <w:spacing w:after="0" w:line="170"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has the meaning set forth in Section 3(a).</w:t>
      </w:r>
    </w:p>
    <w:p>
      <w:pPr>
        <w:spacing w:after="0" w:line="225" w:lineRule="exact"/>
        <w:rPr>
          <w:rFonts w:ascii="Times New Roman" w:cs="Times New Roman" w:eastAsia="Times New Roman" w:hAnsi="Times New Roman"/>
          <w:sz w:val="18"/>
          <w:szCs w:val="18"/>
          <w:color w:val="auto"/>
        </w:rPr>
      </w:pPr>
    </w:p>
    <w:p>
      <w:pPr>
        <w:jc w:val="both"/>
        <w:ind w:left="652" w:hanging="4"/>
        <w:spacing w:after="0" w:line="262" w:lineRule="auto"/>
        <w:tabs>
          <w:tab w:leader="none" w:pos="99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means the approval by the stockholders of the Company, in accordance with Nasdaq Listing Rule 5635 (or the applicable rules of any other national securities exchange on which the Common Stock is then listed), of the issuance of all Conversion Shares and Warrant Shares (without giving effect to any limitation on conversion or exercise that would otherwise apply in the absence of such approval, other than the Beneficial Ownership Limitation).</w:t>
      </w:r>
    </w:p>
    <w:p>
      <w:pPr>
        <w:spacing w:after="0" w:line="176"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Approval Deadline</w:t>
      </w:r>
      <w:r>
        <w:rPr>
          <w:rFonts w:ascii="Times New Roman" w:cs="Times New Roman" w:eastAsia="Times New Roman" w:hAnsi="Times New Roman"/>
          <w:sz w:val="18"/>
          <w:szCs w:val="18"/>
          <w:color w:val="auto"/>
        </w:rPr>
        <w:t>” has the meaning set forth in Section 3(a).</w:t>
      </w:r>
    </w:p>
    <w:p>
      <w:pPr>
        <w:spacing w:after="0" w:line="225"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has the meaning set forth in Section 3(a).</w:t>
      </w:r>
    </w:p>
    <w:p>
      <w:pPr>
        <w:spacing w:after="0" w:line="225"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rFonts w:ascii="Times New Roman" w:cs="Times New Roman" w:eastAsia="Times New Roman" w:hAnsi="Times New Roman"/>
          <w:sz w:val="18"/>
          <w:szCs w:val="18"/>
          <w:color w:val="auto"/>
        </w:rPr>
      </w:pPr>
    </w:p>
    <w:p>
      <w:pPr>
        <w:jc w:val="both"/>
        <w:ind w:left="652" w:hanging="4"/>
        <w:spacing w:after="0" w:line="268" w:lineRule="auto"/>
        <w:tabs>
          <w:tab w:leader="none" w:pos="90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OTCBB, OTCQB or OTCQX (or any successors to any of the foregoing).</w:t>
      </w:r>
    </w:p>
    <w:p>
      <w:pPr>
        <w:spacing w:after="0" w:line="170" w:lineRule="exact"/>
        <w:rPr>
          <w:rFonts w:ascii="Times New Roman" w:cs="Times New Roman" w:eastAsia="Times New Roman" w:hAnsi="Times New Roman"/>
          <w:sz w:val="18"/>
          <w:szCs w:val="18"/>
          <w:color w:val="auto"/>
        </w:rPr>
      </w:pPr>
    </w:p>
    <w:p>
      <w:pPr>
        <w:ind w:left="952" w:hanging="304"/>
        <w:spacing w:after="0"/>
        <w:tabs>
          <w:tab w:leader="none" w:pos="95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has the meaning set forth in Section 2(a).</w:t>
      </w:r>
    </w:p>
    <w:p>
      <w:pPr>
        <w:spacing w:after="0" w:line="225" w:lineRule="exact"/>
        <w:rPr>
          <w:rFonts w:ascii="Times New Roman" w:cs="Times New Roman" w:eastAsia="Times New Roman" w:hAnsi="Times New Roman"/>
          <w:sz w:val="18"/>
          <w:szCs w:val="18"/>
          <w:color w:val="auto"/>
        </w:rPr>
      </w:pPr>
    </w:p>
    <w:p>
      <w:pPr>
        <w:ind w:left="992" w:hanging="344"/>
        <w:spacing w:after="0"/>
        <w:tabs>
          <w:tab w:leader="none" w:pos="99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9" w:lineRule="exact"/>
        <w:rPr>
          <w:rFonts w:ascii="Times New Roman" w:cs="Times New Roman" w:eastAsia="Times New Roman" w:hAnsi="Times New Roman"/>
          <w:sz w:val="18"/>
          <w:szCs w:val="18"/>
          <w:color w:val="auto"/>
        </w:rPr>
      </w:pPr>
    </w:p>
    <w:p>
      <w:pPr>
        <w:ind w:left="232" w:hanging="232"/>
        <w:spacing w:after="0"/>
        <w:tabs>
          <w:tab w:leader="none" w:pos="232"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b w:val="1"/>
          <w:bCs w:val="1"/>
          <w:color w:val="auto"/>
        </w:rPr>
      </w:pPr>
    </w:p>
    <w:p>
      <w:pPr>
        <w:jc w:val="both"/>
        <w:ind w:left="652" w:hanging="4"/>
        <w:spacing w:after="0" w:line="268" w:lineRule="auto"/>
        <w:tabs>
          <w:tab w:leader="none" w:pos="95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Covenant</w:t>
      </w:r>
      <w:r>
        <w:rPr>
          <w:rFonts w:ascii="Times New Roman" w:cs="Times New Roman" w:eastAsia="Times New Roman" w:hAnsi="Times New Roman"/>
          <w:sz w:val="18"/>
          <w:szCs w:val="18"/>
          <w:color w:val="auto"/>
        </w:rPr>
        <w:t>. Each Lender, severally and not jointly, agrees that, from the Payoff Date until the Lock-Up Expiration Date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such Lender will not, and will cause its controlled affiliates not to, without the prior written consent of the Company,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sell, transfer or otherwise dispose of any Lock-Up Securities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left="652" w:hanging="4"/>
        <w:spacing w:after="0" w:line="255" w:lineRule="auto"/>
        <w:tabs>
          <w:tab w:leader="none" w:pos="95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Notwithstanding Section 2(a), a Lender may Transfer Lock-Up Securities (i) to any of its affiliates, or to any investment fund, account or vehicle managed, advised or sub-advised by the same investment manager, adviser or sub-adviser as such Lender (or an affiliate thereof); (ii) to any other Lender or its affiliates or related funds; (iii) pursuant to a bona fide tender offer, merger, consolidation or other similar transaction approved by the Company’s board of directors and made to all holders of Common Stock involving a change of control of the Company; (iv) by operation of law, including pursuant to a domestic order or the liquidation or dissolution of such Lender; or (v) with the prior written consent of the Company; provided, that in the case of clauses (i), (ii), (iv) and (v), the transferee agrees in writing to be bound by this Section 2 for the remainder of the Lock-Up Period. Any Transfer in violation of this Section 2 shall be null and void </w:t>
      </w:r>
      <w:r>
        <w:rPr>
          <w:rFonts w:ascii="Times New Roman" w:cs="Times New Roman" w:eastAsia="Times New Roman" w:hAnsi="Times New Roman"/>
          <w:sz w:val="18"/>
          <w:szCs w:val="18"/>
          <w:u w:val="single" w:color="auto"/>
          <w:color w:val="auto"/>
        </w:rPr>
        <w:t>ab initio</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52" w:hanging="4"/>
        <w:spacing w:after="0" w:line="255" w:lineRule="auto"/>
        <w:tabs>
          <w:tab w:leader="none" w:pos="94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Exercise</w:t>
      </w:r>
      <w:r>
        <w:rPr>
          <w:rFonts w:ascii="Times New Roman" w:cs="Times New Roman" w:eastAsia="Times New Roman" w:hAnsi="Times New Roman"/>
          <w:sz w:val="18"/>
          <w:szCs w:val="18"/>
          <w:color w:val="auto"/>
        </w:rPr>
        <w:t>. Nothing in this Section 2 shall restrict the conversion of Preferred Shares or the exercise of Warrants in accordance with their terms (including on a cashless or net basis) following receipt of Stockholder Approval, provided, that any Conversion Shares or Warrant Shares so received shall remain subject to this Section 2 until the Lock-Up Expiration Date. The Company will promptly engage its legal counsel, at the Company’s expense, to assist with the conversion of the Preferred Shares or the exercise of Warrants, including to issue any opinion required by the Company’s transfer agent in connection with Section 2(d). To the extent a Lender determines that the assistance of its own legal counsel is reasonably necessary in connection with the conversion of the Preferred Shares or the exercise of Warrants, the Company shall reimburse the Lender for such legal counsel’s reasonable attorneys’ fees and expenses promptly upon request.</w:t>
      </w:r>
    </w:p>
    <w:p>
      <w:pPr>
        <w:spacing w:after="0" w:line="188" w:lineRule="exact"/>
        <w:rPr>
          <w:rFonts w:ascii="Times New Roman" w:cs="Times New Roman" w:eastAsia="Times New Roman" w:hAnsi="Times New Roman"/>
          <w:sz w:val="18"/>
          <w:szCs w:val="18"/>
          <w:color w:val="auto"/>
        </w:rPr>
      </w:pPr>
    </w:p>
    <w:p>
      <w:pPr>
        <w:jc w:val="both"/>
        <w:ind w:left="652" w:hanging="4"/>
        <w:spacing w:after="0" w:line="266" w:lineRule="auto"/>
        <w:tabs>
          <w:tab w:leader="none" w:pos="96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Stop-Transfer Instructions</w:t>
      </w:r>
      <w:r>
        <w:rPr>
          <w:rFonts w:ascii="Times New Roman" w:cs="Times New Roman" w:eastAsia="Times New Roman" w:hAnsi="Times New Roman"/>
          <w:sz w:val="18"/>
          <w:szCs w:val="18"/>
          <w:color w:val="auto"/>
        </w:rPr>
        <w:t>. Each Lender acknowledges that the Company may cause the Lock-Up Securities to bear an appropriate restrictive notation and may issue stop-transfer instructions to its transfer agent consistent with this Section 2. The Company shall cause, at its own expense, any such notation and instructions relating to this Section 2 to be removed within one (1) Trading Day of the Lock-Up Expiration Date.</w:t>
      </w:r>
    </w:p>
    <w:p>
      <w:pPr>
        <w:spacing w:after="0" w:line="175" w:lineRule="exact"/>
        <w:rPr>
          <w:rFonts w:ascii="Times New Roman" w:cs="Times New Roman" w:eastAsia="Times New Roman" w:hAnsi="Times New Roman"/>
          <w:sz w:val="18"/>
          <w:szCs w:val="18"/>
          <w:color w:val="auto"/>
        </w:rPr>
      </w:pPr>
    </w:p>
    <w:p>
      <w:pPr>
        <w:jc w:val="both"/>
        <w:ind w:left="652" w:hanging="4"/>
        <w:spacing w:after="0" w:line="261" w:lineRule="auto"/>
        <w:tabs>
          <w:tab w:leader="none" w:pos="94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Lock-Up Expiration Date</w:t>
      </w:r>
      <w:r>
        <w:rPr>
          <w:rFonts w:ascii="Times New Roman" w:cs="Times New Roman" w:eastAsia="Times New Roman" w:hAnsi="Times New Roman"/>
          <w:sz w:val="18"/>
          <w:szCs w:val="18"/>
          <w:color w:val="auto"/>
        </w:rPr>
        <w:t>. The Company shall deliver written notice to the Agent (which may be by e-mail) within two (2) Business Days after the occurrence of each of (i) receipt of Stockholder Approval, (ii) the effectiveness of the Offering Resale Registration Statement, and</w:t>
      </w:r>
    </w:p>
    <w:p>
      <w:pPr>
        <w:jc w:val="both"/>
        <w:ind w:left="652" w:hanging="4"/>
        <w:spacing w:after="0" w:line="255" w:lineRule="auto"/>
        <w:tabs>
          <w:tab w:leader="none" w:pos="97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securities issued in the concurrent private placement of the Offering first become eligible for resale under Rule 144, in each case setting forth the resulting Lock-Up Expiration Date; provided that no such notice shall be required for the Lock-Up Securities to be released from the lock-up restrictions in this Section 2.</w:t>
      </w:r>
    </w:p>
    <w:p>
      <w:pPr>
        <w:spacing w:after="0" w:line="185" w:lineRule="exact"/>
        <w:rPr>
          <w:rFonts w:ascii="Times New Roman" w:cs="Times New Roman" w:eastAsia="Times New Roman" w:hAnsi="Times New Roman"/>
          <w:sz w:val="18"/>
          <w:szCs w:val="18"/>
          <w:color w:val="auto"/>
        </w:rPr>
      </w:pPr>
    </w:p>
    <w:p>
      <w:pPr>
        <w:jc w:val="both"/>
        <w:ind w:left="652" w:hanging="4"/>
        <w:spacing w:after="0" w:line="266" w:lineRule="auto"/>
        <w:tabs>
          <w:tab w:leader="none" w:pos="962"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confirms its obligation under the Payoff Letter to file, on the Lock-Up Expiration Date, a registration statement covering the resale of the Conversion Shares and the Warrant Shares in accordance with the terms and subject to the conditions set forth in that certain Registration Rights Agreement by and among the Company and the Lenders.</w:t>
      </w:r>
    </w:p>
    <w:p>
      <w:pPr>
        <w:spacing w:after="0" w:line="175" w:lineRule="exact"/>
        <w:rPr>
          <w:rFonts w:ascii="Times New Roman" w:cs="Times New Roman" w:eastAsia="Times New Roman" w:hAnsi="Times New Roman"/>
          <w:sz w:val="18"/>
          <w:szCs w:val="18"/>
          <w:color w:val="auto"/>
        </w:rPr>
      </w:pPr>
    </w:p>
    <w:p>
      <w:pPr>
        <w:ind w:left="232" w:hanging="232"/>
        <w:spacing w:after="0"/>
        <w:tabs>
          <w:tab w:leader="none" w:pos="232"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Stockholder Approval Covenant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52" w:hanging="4"/>
        <w:spacing w:after="0" w:line="256" w:lineRule="auto"/>
        <w:tabs>
          <w:tab w:leader="none" w:pos="102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 The Company shall (i) as promptly as practicable after the date hereof file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preliminary proxy statement on Schedule 14A seeking Stockholder Approval; (ii) cause a definitive proxy statement to be mailed to its stockholders as promptly as practicable thereafter; and (iii) hold an annual or special meeting of its stockholders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for the purpose of obtaining Stockholder Approval as promptly as practicable after the date hereof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 Deadline</w:t>
      </w:r>
      <w:r>
        <w:rPr>
          <w:rFonts w:ascii="Times New Roman" w:cs="Times New Roman" w:eastAsia="Times New Roman" w:hAnsi="Times New Roman"/>
          <w:sz w:val="18"/>
          <w:szCs w:val="18"/>
          <w:color w:val="auto"/>
        </w:rPr>
        <w:t>”). The Company shall not take any action, or enter into any agreement, that would reasonably be expected to prevent,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impair or materially delay the receipt of Stockholder Approval.</w:t>
      </w:r>
    </w:p>
    <w:p>
      <w:pPr>
        <w:sectPr>
          <w:pgSz w:w="11900" w:h="16838" w:orient="portrait"/>
          <w:cols w:equalWidth="0" w:num="1">
            <w:col w:w="11232"/>
          </w:cols>
          <w:pgMar w:left="328" w:top="121" w:right="339" w:bottom="0" w:gutter="0" w:footer="0" w:header="0"/>
        </w:sectPr>
      </w:pPr>
    </w:p>
    <w:bookmarkStart w:id="166" w:name="page167"/>
    <w:bookmarkEnd w:id="166"/>
    <w:p>
      <w:pPr>
        <w:jc w:val="both"/>
        <w:ind w:left="652" w:hanging="4"/>
        <w:spacing w:after="0" w:line="258" w:lineRule="auto"/>
        <w:tabs>
          <w:tab w:leader="none" w:pos="96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Recommendation; Solicitation</w:t>
      </w:r>
      <w:r>
        <w:rPr>
          <w:rFonts w:ascii="Times New Roman" w:cs="Times New Roman" w:eastAsia="Times New Roman" w:hAnsi="Times New Roman"/>
          <w:sz w:val="18"/>
          <w:szCs w:val="18"/>
          <w:color w:val="auto"/>
        </w:rPr>
        <w:t>. The Company’s board of directors shall recommend that the Company’s stockholders vote in favor of the Stockholder Approval proposal and shall not withdraw, qualify or modify such recommendation in a manner adverse to the Lenders. The Company shall use its reasonable best efforts to solicit proxies in favor of Stockholder Approval in the same manner as it solicits proxies for management proposals generally, and shall use commercially reasonable efforts to cause each of its directors and executive officers who holds shares of Common Stock to vote such shares in favor of Stockholder Approval.</w:t>
      </w:r>
    </w:p>
    <w:p>
      <w:pPr>
        <w:spacing w:after="0" w:line="183" w:lineRule="exact"/>
        <w:rPr>
          <w:rFonts w:ascii="Times New Roman" w:cs="Times New Roman" w:eastAsia="Times New Roman" w:hAnsi="Times New Roman"/>
          <w:sz w:val="18"/>
          <w:szCs w:val="18"/>
          <w:color w:val="auto"/>
        </w:rPr>
      </w:pPr>
    </w:p>
    <w:p>
      <w:pPr>
        <w:jc w:val="both"/>
        <w:ind w:left="652" w:hanging="4"/>
        <w:spacing w:after="0" w:line="261" w:lineRule="auto"/>
        <w:tabs>
          <w:tab w:leader="none" w:pos="98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Review</w:t>
      </w:r>
      <w:r>
        <w:rPr>
          <w:rFonts w:ascii="Times New Roman" w:cs="Times New Roman" w:eastAsia="Times New Roman" w:hAnsi="Times New Roman"/>
          <w:sz w:val="18"/>
          <w:szCs w:val="18"/>
          <w:color w:val="auto"/>
        </w:rPr>
        <w:t>. The Company shall provide the Agent and the Lenders’ counsel a reasonable opportunity to review and comment on the portions of the preliminary and definitive proxy statements relating to the Stockholder Approval proposal before filing and shall consider any such comments in good faith. The Company shall promptly notify the Agent of any SEC comments relating to such proposal and shall use its reasonable best efforts to resolve them as promptly as practicable.</w:t>
      </w:r>
    </w:p>
    <w:p>
      <w:pPr>
        <w:spacing w:after="0" w:line="179" w:lineRule="exact"/>
        <w:rPr>
          <w:rFonts w:ascii="Times New Roman" w:cs="Times New Roman" w:eastAsia="Times New Roman" w:hAnsi="Times New Roman"/>
          <w:sz w:val="18"/>
          <w:szCs w:val="18"/>
          <w:color w:val="auto"/>
        </w:rPr>
      </w:pPr>
    </w:p>
    <w:p>
      <w:pPr>
        <w:jc w:val="both"/>
        <w:ind w:left="652" w:hanging="4"/>
        <w:spacing w:after="0" w:line="266" w:lineRule="auto"/>
        <w:tabs>
          <w:tab w:leader="none" w:pos="96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Meetings</w:t>
      </w:r>
      <w:r>
        <w:rPr>
          <w:rFonts w:ascii="Times New Roman" w:cs="Times New Roman" w:eastAsia="Times New Roman" w:hAnsi="Times New Roman"/>
          <w:sz w:val="18"/>
          <w:szCs w:val="18"/>
          <w:color w:val="auto"/>
        </w:rPr>
        <w:t>. If Stockholder Approval is not obtained at the Stockholder Meeting, the Company shall call a stockholder meeting to seek Stockholder Approval at least once every ninety (90) days thereafter (or, at the Company’s option, at each annual meeting if earlier) until the earlier of the date on which Stockholder Approval is obtained and the date on which no Preferred Shares or Warrants remain outstanding.</w:t>
      </w:r>
    </w:p>
    <w:p>
      <w:pPr>
        <w:spacing w:after="0" w:line="175" w:lineRule="exact"/>
        <w:rPr>
          <w:rFonts w:ascii="Times New Roman" w:cs="Times New Roman" w:eastAsia="Times New Roman" w:hAnsi="Times New Roman"/>
          <w:sz w:val="18"/>
          <w:szCs w:val="18"/>
          <w:color w:val="auto"/>
        </w:rPr>
      </w:pPr>
    </w:p>
    <w:p>
      <w:pPr>
        <w:jc w:val="both"/>
        <w:ind w:left="652" w:right="20" w:hanging="4"/>
        <w:spacing w:after="0" w:line="266" w:lineRule="auto"/>
        <w:tabs>
          <w:tab w:leader="none" w:pos="95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From and after receipt of Stockholder Approval, the Company shall at all times reserve and keep available out of its authorized and unissued shares of Common Stock a number of shares sufficient to permit the conversion in full of the Preferred Shares and the exercise in full of the Warrants (without regard to the Beneficial Ownership Limitation).</w:t>
      </w:r>
    </w:p>
    <w:p>
      <w:pPr>
        <w:spacing w:after="0" w:line="175" w:lineRule="exact"/>
        <w:rPr>
          <w:rFonts w:ascii="Times New Roman" w:cs="Times New Roman" w:eastAsia="Times New Roman" w:hAnsi="Times New Roman"/>
          <w:sz w:val="18"/>
          <w:szCs w:val="18"/>
          <w:color w:val="auto"/>
        </w:rPr>
      </w:pPr>
    </w:p>
    <w:p>
      <w:pPr>
        <w:ind w:left="652" w:hanging="4"/>
        <w:spacing w:after="0" w:line="282" w:lineRule="auto"/>
        <w:tabs>
          <w:tab w:leader="none" w:pos="97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 Company shall notify the Agent in writing within two (2) Business Days after the results of any stockholder vote on the Stockholder Approval proposal are known and shall disclose such results as required by Item 5.07 of Form 8-K.</w:t>
      </w:r>
    </w:p>
    <w:p>
      <w:pPr>
        <w:spacing w:after="0" w:line="161" w:lineRule="exact"/>
        <w:rPr>
          <w:rFonts w:ascii="Times New Roman" w:cs="Times New Roman" w:eastAsia="Times New Roman" w:hAnsi="Times New Roman"/>
          <w:sz w:val="18"/>
          <w:szCs w:val="18"/>
          <w:color w:val="auto"/>
        </w:rPr>
      </w:pPr>
    </w:p>
    <w:p>
      <w:pPr>
        <w:ind w:left="652" w:hanging="4"/>
        <w:spacing w:after="0" w:line="282" w:lineRule="auto"/>
        <w:tabs>
          <w:tab w:leader="none" w:pos="100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 Unaffected</w:t>
      </w:r>
      <w:r>
        <w:rPr>
          <w:rFonts w:ascii="Times New Roman" w:cs="Times New Roman" w:eastAsia="Times New Roman" w:hAnsi="Times New Roman"/>
          <w:sz w:val="18"/>
          <w:szCs w:val="18"/>
          <w:color w:val="auto"/>
        </w:rPr>
        <w:t>. Nothing in this Side Letter shall modify the Beneficial Ownership Limitation, which shall continue to apply in all cases.</w:t>
      </w:r>
    </w:p>
    <w:p>
      <w:pPr>
        <w:spacing w:after="0" w:line="157"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172"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Board Designation Rights</w:t>
      </w:r>
      <w:r>
        <w:rPr>
          <w:rFonts w:ascii="Times New Roman" w:cs="Times New Roman" w:eastAsia="Times New Roman" w:hAnsi="Times New Roman"/>
          <w:sz w:val="18"/>
          <w:szCs w:val="18"/>
          <w:color w:val="auto"/>
        </w:rPr>
        <w:t xml:space="preserve"> The Lenders, other than any Lenders affiliated with BlackRock, Inc. (the “</w:t>
      </w:r>
      <w:r>
        <w:rPr>
          <w:rFonts w:ascii="Times New Roman" w:cs="Times New Roman" w:eastAsia="Times New Roman" w:hAnsi="Times New Roman"/>
          <w:sz w:val="18"/>
          <w:szCs w:val="18"/>
          <w:b w:val="1"/>
          <w:bCs w:val="1"/>
          <w:color w:val="auto"/>
        </w:rPr>
        <w:t>Designating Lenders</w:t>
      </w:r>
      <w:r>
        <w:rPr>
          <w:rFonts w:ascii="Times New Roman" w:cs="Times New Roman" w:eastAsia="Times New Roman" w:hAnsi="Times New Roman"/>
          <w:sz w:val="18"/>
          <w:szCs w:val="18"/>
          <w:color w:val="auto"/>
        </w:rPr>
        <w:t>”), in consultation with the Company, shall be entitled to designate one (1) director of the Company (the “</w:t>
      </w:r>
      <w:r>
        <w:rPr>
          <w:rFonts w:ascii="Times New Roman" w:cs="Times New Roman" w:eastAsia="Times New Roman" w:hAnsi="Times New Roman"/>
          <w:sz w:val="18"/>
          <w:szCs w:val="18"/>
          <w:b w:val="1"/>
          <w:bCs w:val="1"/>
          <w:color w:val="auto"/>
        </w:rPr>
        <w:t>Initial Lender Designee</w:t>
      </w:r>
      <w:r>
        <w:rPr>
          <w:rFonts w:ascii="Times New Roman" w:cs="Times New Roman" w:eastAsia="Times New Roman" w:hAnsi="Times New Roman"/>
          <w:sz w:val="18"/>
          <w:szCs w:val="18"/>
          <w:color w:val="auto"/>
        </w:rPr>
        <w:t>”) and following, and subject to, Stockholder Approval or confirmation by Nasdaq that the appointment does not violate Nasdaq rules, up to three (3) additional directors of the Company (the “</w:t>
      </w:r>
      <w:r>
        <w:rPr>
          <w:rFonts w:ascii="Times New Roman" w:cs="Times New Roman" w:eastAsia="Times New Roman" w:hAnsi="Times New Roman"/>
          <w:sz w:val="18"/>
          <w:szCs w:val="18"/>
          <w:b w:val="1"/>
          <w:bCs w:val="1"/>
          <w:color w:val="auto"/>
        </w:rPr>
        <w:t>Additional Lender Designees</w:t>
      </w:r>
      <w:r>
        <w:rPr>
          <w:rFonts w:ascii="Times New Roman" w:cs="Times New Roman" w:eastAsia="Times New Roman" w:hAnsi="Times New Roman"/>
          <w:sz w:val="18"/>
          <w:szCs w:val="18"/>
          <w:color w:val="auto"/>
        </w:rPr>
        <w:t>” and together with the Initial Lender Designee, the “</w:t>
      </w:r>
      <w:r>
        <w:rPr>
          <w:rFonts w:ascii="Times New Roman" w:cs="Times New Roman" w:eastAsia="Times New Roman" w:hAnsi="Times New Roman"/>
          <w:sz w:val="18"/>
          <w:szCs w:val="18"/>
          <w:b w:val="1"/>
          <w:bCs w:val="1"/>
          <w:color w:val="auto"/>
        </w:rPr>
        <w:t>Lender Designees</w:t>
      </w:r>
      <w:r>
        <w:rPr>
          <w:rFonts w:ascii="Times New Roman" w:cs="Times New Roman" w:eastAsia="Times New Roman" w:hAnsi="Times New Roman"/>
          <w:sz w:val="18"/>
          <w:szCs w:val="18"/>
          <w:color w:val="auto"/>
        </w:rPr>
        <w:t>”); provided that the number of Lender Designees shall at all times be limited to the extent necessary to comply with Nasdaq listing requirements, to the greatest whole number of directors that as a percentage of the entire Board of Directors, does not exceed the Designating Lenders’ relative contribution to the Company (the “</w:t>
      </w:r>
      <w:r>
        <w:rPr>
          <w:rFonts w:ascii="Times New Roman" w:cs="Times New Roman" w:eastAsia="Times New Roman" w:hAnsi="Times New Roman"/>
          <w:sz w:val="18"/>
          <w:szCs w:val="18"/>
          <w:b w:val="1"/>
          <w:bCs w:val="1"/>
          <w:color w:val="auto"/>
        </w:rPr>
        <w:t>Board Cap</w:t>
      </w:r>
      <w:r>
        <w:rPr>
          <w:rFonts w:ascii="Times New Roman" w:cs="Times New Roman" w:eastAsia="Times New Roman" w:hAnsi="Times New Roman"/>
          <w:sz w:val="18"/>
          <w:szCs w:val="18"/>
          <w:color w:val="auto"/>
        </w:rPr>
        <w:t>”). The Company shall take all Necessary Action to (i) cause such Initial Lender Designee to be appointed to the board of directors of the Company (the “</w:t>
      </w:r>
      <w:r>
        <w:rPr>
          <w:rFonts w:ascii="Times New Roman" w:cs="Times New Roman" w:eastAsia="Times New Roman" w:hAnsi="Times New Roman"/>
          <w:sz w:val="18"/>
          <w:szCs w:val="18"/>
          <w:b w:val="1"/>
          <w:b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no later than the later of (x) thirty (30) days after the Payoff Date and (y) ten (10) days after communication (email being sufficient)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Initial Lender Designee by the Designating Lenders to the Company, (ii) use its reasonable best efforts to cause Nasdaq to confirm that the appointment of Additional Lender Designees does not violate Nasdaq rules (iii) cause such Additional Lender Designees to be appointed to the Board of Directors no later than the later of (x) the earlier of (a) thirty (30) days after the date upon which Stockholder Approval is obtained and (b) the date Nasdaq has otherwise confirmed that the appointment of any Additional Lender Designees does not violate Nasdaq rules and (y) ten (10) days after communication (email being sufficient) of the names of the Additional Lender Designees by the Designating Lenders to the Company, and (iv) include in the slate of nominees recommended by the Board of Directors for election as directors at each applicable annual or special meeting of stockholders of the Company, including at every adjournment or postponement thereof, at which directors are to be elected, the Lender Designees. The Designating Lenders shall have the exclusive right to designate directors for election to the Board of Directors to fill vacancies created by reason of death, removal, disqualification or resignation of Lender Designees, subject to the Board Cap, and the Company shall take all Necessary Action to cause any such vacancies to be filled by replacement Lender Designees as promptly as reasonably practicable.</w:t>
      </w:r>
    </w:p>
    <w:p>
      <w:pPr>
        <w:spacing w:after="0" w:line="195"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217"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Each party represents and warrants to the other parties that (a) it has full power and authority to execute, deliver and perform this Side Letter, (b) this Side Letter has been duly authorized, executed and delivered by it, and (c) this Side Letter constitutes its legal, valid and binding obligation, enforceable against it in accordance with its terms, subject to applicable bankruptcy, insolvency and similar laws affecting creditors’ rights generally and to general principles of equity. Each Lender acknowledges that the Lock-Up Securities have not been registered under the Securities Act and are “restricted securities” within the meaning of Rule 144. Each Lender is acting independently and severally, and not as part of a group (within the meaning of Section 13(d) of the Securities Exchange Act of 1934, as amended) with any other Lender or any other Person with respect to any securities of the Company. No Lender has any agreement, arrangement or understanding with any other Lender or any other Person to act together for the purpose of acquiring, holding, voting or disposing of any securities of the Company.</w:t>
      </w:r>
    </w:p>
    <w:p>
      <w:pPr>
        <w:spacing w:after="0" w:line="191" w:lineRule="exact"/>
        <w:rPr>
          <w:rFonts w:ascii="Times New Roman" w:cs="Times New Roman" w:eastAsia="Times New Roman" w:hAnsi="Times New Roman"/>
          <w:sz w:val="18"/>
          <w:szCs w:val="18"/>
          <w:b w:val="1"/>
          <w:bCs w:val="1"/>
          <w:color w:val="auto"/>
        </w:rPr>
      </w:pPr>
    </w:p>
    <w:p>
      <w:pPr>
        <w:jc w:val="both"/>
        <w:ind w:left="-8" w:firstLine="8"/>
        <w:spacing w:after="0" w:line="266" w:lineRule="auto"/>
        <w:tabs>
          <w:tab w:leader="none" w:pos="217"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if any provision of Sections 2 or 3 were not performed in accordance with its terms, and that each party shall be entitled to an injunction or injunctions to prevent breaches of this Side Letter and to enforce specifically its terms, without proof of actual damages and without any requirement to post a bond, in addition to any other remedy to which it is entitled at law or in equity.</w:t>
      </w:r>
    </w:p>
    <w:p>
      <w:pPr>
        <w:spacing w:after="0" w:line="175" w:lineRule="exact"/>
        <w:rPr>
          <w:rFonts w:ascii="Times New Roman" w:cs="Times New Roman" w:eastAsia="Times New Roman" w:hAnsi="Times New Roman"/>
          <w:sz w:val="18"/>
          <w:szCs w:val="18"/>
          <w:b w:val="1"/>
          <w:bCs w:val="1"/>
          <w:color w:val="auto"/>
        </w:rPr>
      </w:pPr>
    </w:p>
    <w:p>
      <w:pPr>
        <w:ind w:left="232" w:hanging="232"/>
        <w:spacing w:after="0"/>
        <w:tabs>
          <w:tab w:leader="none" w:pos="232"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52" w:hanging="4"/>
        <w:spacing w:after="0" w:line="261" w:lineRule="auto"/>
        <w:tabs>
          <w:tab w:leader="none" w:pos="94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Termination</w:t>
      </w:r>
      <w:r>
        <w:rPr>
          <w:rFonts w:ascii="Times New Roman" w:cs="Times New Roman" w:eastAsia="Times New Roman" w:hAnsi="Times New Roman"/>
          <w:sz w:val="18"/>
          <w:szCs w:val="18"/>
          <w:color w:val="auto"/>
        </w:rPr>
        <w:t>. This Side Letter shall become effective upon execution and delivery by the Company, the Agent and each Lender, and the obligations under Sections 2, 3 and 4 shall commence on the Payoff Date. If the Payoff Letter terminates in accordance with its terms prior to the Payoff Date (including because the Payoff Consideration is not received on or prior to 5:00 p.m. (eastern time) on October 28, 2026), this Side Letter shall automatically terminate and be of no further force or effect.</w:t>
      </w:r>
    </w:p>
    <w:p>
      <w:pPr>
        <w:spacing w:after="0" w:line="179" w:lineRule="exact"/>
        <w:rPr>
          <w:rFonts w:ascii="Times New Roman" w:cs="Times New Roman" w:eastAsia="Times New Roman" w:hAnsi="Times New Roman"/>
          <w:sz w:val="18"/>
          <w:szCs w:val="18"/>
          <w:color w:val="auto"/>
        </w:rPr>
      </w:pPr>
    </w:p>
    <w:p>
      <w:pPr>
        <w:jc w:val="both"/>
        <w:ind w:left="652" w:hanging="4"/>
        <w:spacing w:after="0" w:line="261" w:lineRule="auto"/>
        <w:tabs>
          <w:tab w:leader="none" w:pos="97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Payoff Letter</w:t>
      </w:r>
      <w:r>
        <w:rPr>
          <w:rFonts w:ascii="Times New Roman" w:cs="Times New Roman" w:eastAsia="Times New Roman" w:hAnsi="Times New Roman"/>
          <w:sz w:val="18"/>
          <w:szCs w:val="18"/>
          <w:color w:val="auto"/>
        </w:rPr>
        <w:t>. This Side Letter supplements, and is intended to implement, the lock-up and stockholder approval terms set forth in the Payoff Letter. In the event of any conflict between this Side Letter and the Payoff Letter with respect to the subject matter hereof, this Side Letter shall control. Except as expressly set forth herein, the Payoff Letter remains in full force and effect, and nothing herein shall be deemed to revive any Obligations or Loan Documents discharged pursuant to the Payoff Letter.</w:t>
      </w:r>
    </w:p>
    <w:p>
      <w:pPr>
        <w:spacing w:after="0" w:line="179" w:lineRule="exact"/>
        <w:rPr>
          <w:rFonts w:ascii="Times New Roman" w:cs="Times New Roman" w:eastAsia="Times New Roman" w:hAnsi="Times New Roman"/>
          <w:sz w:val="18"/>
          <w:szCs w:val="18"/>
          <w:color w:val="auto"/>
        </w:rPr>
      </w:pPr>
    </w:p>
    <w:p>
      <w:pPr>
        <w:ind w:left="652" w:hanging="4"/>
        <w:spacing w:after="0" w:line="282" w:lineRule="auto"/>
        <w:tabs>
          <w:tab w:leader="none" w:pos="955"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Each Lender’s obligations hereunder are several and not joint, and no Lender shall be responsible for the performance of any other Lender. The Agent shall have no personal liability for any Lender’s obligations under Section 2.</w:t>
      </w:r>
    </w:p>
    <w:p>
      <w:pPr>
        <w:spacing w:after="0" w:line="161" w:lineRule="exact"/>
        <w:rPr>
          <w:rFonts w:ascii="Times New Roman" w:cs="Times New Roman" w:eastAsia="Times New Roman" w:hAnsi="Times New Roman"/>
          <w:sz w:val="18"/>
          <w:szCs w:val="18"/>
          <w:color w:val="auto"/>
        </w:rPr>
      </w:pPr>
    </w:p>
    <w:p>
      <w:pPr>
        <w:jc w:val="both"/>
        <w:ind w:left="652" w:hanging="4"/>
        <w:spacing w:after="0" w:line="282" w:lineRule="auto"/>
        <w:tabs>
          <w:tab w:leader="none" w:pos="965"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shall, on or before 9:00 a.m. (New York City time) on the fourth Trading Day following the Payoff Date or such earlier time as is required by law, publicly disclose the material terms of this Side Letter and the transactions contemplated by the Payoff Letter in</w:t>
      </w:r>
    </w:p>
    <w:p>
      <w:pPr>
        <w:sectPr>
          <w:pgSz w:w="11900" w:h="16838" w:orient="portrait"/>
          <w:cols w:equalWidth="0" w:num="1">
            <w:col w:w="11232"/>
          </w:cols>
          <w:pgMar w:left="328" w:top="337" w:right="339" w:bottom="0" w:gutter="0" w:footer="0" w:header="0"/>
        </w:sectPr>
      </w:pPr>
    </w:p>
    <w:bookmarkStart w:id="167" w:name="page168"/>
    <w:bookmarkEnd w:id="167"/>
    <w:p>
      <w:pPr>
        <w:ind w:left="660"/>
        <w:spacing w:after="0" w:line="282" w:lineRule="auto"/>
        <w:rPr>
          <w:sz w:val="20"/>
          <w:szCs w:val="20"/>
          <w:color w:val="auto"/>
        </w:rPr>
      </w:pPr>
      <w:r>
        <w:rPr>
          <w:rFonts w:ascii="Times New Roman" w:cs="Times New Roman" w:eastAsia="Times New Roman" w:hAnsi="Times New Roman"/>
          <w:sz w:val="18"/>
          <w:szCs w:val="18"/>
          <w:color w:val="auto"/>
        </w:rPr>
        <w:t>a Current Report on Form 8-K, and shall not publicly disclose the name of any Lender except as required by law or the rules of any applicable securities exchange.</w:t>
      </w:r>
    </w:p>
    <w:p>
      <w:pPr>
        <w:spacing w:after="0" w:line="162" w:lineRule="exact"/>
        <w:rPr>
          <w:sz w:val="20"/>
          <w:szCs w:val="20"/>
          <w:color w:val="auto"/>
        </w:rPr>
      </w:pPr>
    </w:p>
    <w:p>
      <w:pPr>
        <w:jc w:val="both"/>
        <w:ind w:left="660" w:hanging="4"/>
        <w:spacing w:after="0" w:line="266" w:lineRule="auto"/>
        <w:tabs>
          <w:tab w:leader="none" w:pos="96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Side Letter may be amended or any provision waived only by a written instrument signed by the Company and Lenders holding a majority of the then-outstanding Preferred Shares; provided that any amendment or waiver that disproportionately and adversely affects any Lender relative to the other Lenders shall require such Lender’s written consent.</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4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No party may assign its rights or obligations under this Side Letter without the prior written consent of the other parties, except that a Lender may assign its rights and obligations to a transferee of Lock-Up Securities in a Transfer permitted under Section 2(b).</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73" w:lineRule="auto"/>
        <w:tabs>
          <w:tab w:leader="none" w:pos="96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 This Side Letter, and all claims or causes of action (whether in contract, tort or statute) that may be based upon, arise out of or relate to this Side Letter, shall be governed by, and construed and enforced in accordance with, the internal laws of the State of New York, without regard to conflict of laws principles that would require the application of the laws of another jurisdiction (other than Sections 5-1401 and 5-1402 of the New York General Obligations Law); provided, that matters relating to the internal affairs of the Company and the Stockholder Approval shall be governed by the Delaware General Corporation Law. Each party submits to the exclusive jurisdiction of the state and federal courts located in the Borough of Manhattan, New York, New York. EACH PARTY HEREBY IRREVOCABLY WAIVES ANY RIGHT TO TRIAL BY JURY IN ANY ACTION ARISING OUT OF OR RELATING TO THIS SIDE LETTER.</w:t>
      </w:r>
    </w:p>
    <w:p>
      <w:pPr>
        <w:spacing w:after="0" w:line="171" w:lineRule="exact"/>
        <w:rPr>
          <w:rFonts w:ascii="Times New Roman" w:cs="Times New Roman" w:eastAsia="Times New Roman" w:hAnsi="Times New Roman"/>
          <w:sz w:val="17"/>
          <w:szCs w:val="17"/>
          <w:color w:val="auto"/>
        </w:rPr>
      </w:pPr>
    </w:p>
    <w:p>
      <w:pPr>
        <w:jc w:val="both"/>
        <w:ind w:left="660" w:hanging="4"/>
        <w:spacing w:after="0" w:line="261" w:lineRule="auto"/>
        <w:tabs>
          <w:tab w:leader="none" w:pos="9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in writing and delivered by e-mail (with confirmation of transmission), by nationally recognized overnight courier or by hand, to the Company at the address set forth above (Attention: Bill Toler; e-mail: btoler@hydrofarm.com), with a copy (which shall</w:t>
      </w:r>
    </w:p>
    <w:p>
      <w:pPr>
        <w:ind w:left="660"/>
        <w:spacing w:after="0" w:line="185" w:lineRule="auto"/>
        <w:rPr>
          <w:sz w:val="20"/>
          <w:szCs w:val="20"/>
          <w:color w:val="auto"/>
        </w:rPr>
      </w:pPr>
      <w:r>
        <w:rPr>
          <w:rFonts w:ascii="Times New Roman" w:cs="Times New Roman" w:eastAsia="Times New Roman" w:hAnsi="Times New Roman"/>
          <w:sz w:val="18"/>
          <w:szCs w:val="18"/>
          <w:color w:val="auto"/>
        </w:rPr>
        <w:t>not constitute notice) to Cozen O’Connor, Attn: Seth Popick, One Oxford Centre, 301 Grant Street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Pittsburgh, PA 15219, and to the</w:t>
      </w:r>
    </w:p>
    <w:p>
      <w:pPr>
        <w:spacing w:after="0" w:line="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Agent at the address set forth above (Attention: Kevin Mulcahy; e-mail: kevin.mulcahy@firsteagle.com), with a copy (which shall not constitute notice) to Willkie Farr &amp; Gallagher LLP (Attention: Greg Gartland, e-mail: ggartland@willkie.com), or to such other address as a party may designate by notice.</w:t>
      </w:r>
    </w:p>
    <w:p>
      <w:pPr>
        <w:spacing w:after="0" w:line="187" w:lineRule="exact"/>
        <w:rPr>
          <w:sz w:val="20"/>
          <w:szCs w:val="20"/>
          <w:color w:val="auto"/>
        </w:rPr>
      </w:pPr>
    </w:p>
    <w:p>
      <w:pPr>
        <w:jc w:val="both"/>
        <w:ind w:left="660" w:hanging="4"/>
        <w:spacing w:after="0" w:line="266" w:lineRule="auto"/>
        <w:tabs>
          <w:tab w:leader="none" w:pos="93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Side Letter may be executed in counterparts, each of which shall be deemed an original and all of which together shall constitute one instrument. Delivery of an executed signature page by facsimile, .pdf or other electronic transmission shall be effective as delivery of a manually executed counterpart.</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8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herein confers any rights or remedies on any person other than the parties and their permitted successors and assigns.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1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Cleansing Disclosure.</w:t>
      </w:r>
      <w:r>
        <w:rPr>
          <w:rFonts w:ascii="Times New Roman" w:cs="Times New Roman" w:eastAsia="Times New Roman" w:hAnsi="Times New Roman"/>
          <w:sz w:val="18"/>
          <w:szCs w:val="18"/>
          <w:color w:val="auto"/>
        </w:rPr>
        <w:t xml:space="preserve"> The Company shall issue a press release and/or file with or furnish to the SEC a Current Report on Form 8-K publicly disclosing the material terms of the transactions contemplated by this Agreement and all material non-public information that the Company or any of its representatives provided to the Lenders or their affiliates or representatives (the "</w:t>
      </w:r>
      <w:r>
        <w:rPr>
          <w:rFonts w:ascii="Times New Roman" w:cs="Times New Roman" w:eastAsia="Times New Roman" w:hAnsi="Times New Roman"/>
          <w:sz w:val="18"/>
          <w:szCs w:val="18"/>
          <w:b w:val="1"/>
          <w:bCs w:val="1"/>
          <w:color w:val="auto"/>
        </w:rPr>
        <w:t>Cleansing Disclosure</w:t>
      </w:r>
      <w:r>
        <w:rPr>
          <w:rFonts w:ascii="Times New Roman" w:cs="Times New Roman" w:eastAsia="Times New Roman" w:hAnsi="Times New Roman"/>
          <w:sz w:val="18"/>
          <w:szCs w:val="18"/>
          <w:color w:val="auto"/>
        </w:rPr>
        <w:t>"). From and after the Cleansing Disclosure, the Lenders will not possess any material non-public information received from the Company or its representatives.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Bill Toler_______________________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Bill Toler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as of the date first written above:</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FEAC AGENT, LLC,</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Kevin Mulcahy</w:t>
      </w: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Kevin Mulcahy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21"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October 27, 2026, between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security holders signatory hereto (each such security holder, a “</w:t>
      </w:r>
      <w:r>
        <w:rPr>
          <w:rFonts w:ascii="Times New Roman" w:cs="Times New Roman" w:eastAsia="Times New Roman" w:hAnsi="Times New Roman"/>
          <w:sz w:val="18"/>
          <w:szCs w:val="18"/>
          <w:u w:val="single" w:color="auto"/>
          <w:color w:val="auto"/>
        </w:rPr>
        <w:t>Security 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Security 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letter agreement, dated as of October 27, 2026, between the Company, FEAC Agent, LLC, a Delaware limited liability company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Security Holders (the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Security Holder hereby agrees as follows:</w:t>
      </w:r>
    </w:p>
    <w:p>
      <w:pPr>
        <w:spacing w:after="0" w:line="225" w:lineRule="exact"/>
        <w:rPr>
          <w:sz w:val="20"/>
          <w:szCs w:val="20"/>
          <w:color w:val="auto"/>
        </w:rPr>
      </w:pPr>
    </w:p>
    <w:p>
      <w:pPr>
        <w:ind w:left="840" w:hanging="184"/>
        <w:spacing w:after="0"/>
        <w:tabs>
          <w:tab w:leader="none" w:pos="8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Payoff Letter shall have the meanings given such terms in the Payoff Letter.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means the beneficial ownership limitation applicable to the conversion of the Preferred Shares and the exercise of the Warrants.</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means the Certificate of Designation of the Series 1 Non-Voting Convertible Preferred Stock, filed with the Secretary of State of the State of Delaware.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common stock, par value $0.0001 per share of the Company.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the shares of Common Stock issued or issuable upon conversion of the Preferred Shares in accordance with the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45th calendar day following the filing of the Initial Registration Statement (or, in the event of a “full review” by the Commission, the 75th calendar day following the filing of the Initial Registration Statement), and with respect to any additional Registration Statements which may be required pursuant to Section 2(c) or Section 3(c), the 30th calendar day following the date on which an additional Registration Statement is required to be filed hereunder (or, in the event of a “full review” by the Commission, the 60th calendar day following the date on which an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Lock-Up Expiration Date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Expiration Date</w:t>
      </w:r>
      <w:r>
        <w:rPr>
          <w:rFonts w:ascii="Times New Roman" w:cs="Times New Roman" w:eastAsia="Times New Roman" w:hAnsi="Times New Roman"/>
          <w:sz w:val="18"/>
          <w:szCs w:val="18"/>
          <w:color w:val="auto"/>
        </w:rPr>
        <w:t>” means the later of (i) the date on which Stockholder Approval is obtained and (ii) the date that is 120 days after the effectiveness of the Offering Resale Registration Statement; provided, that in no event shall the Lock-Up Expiration Date be later than</w:t>
      </w:r>
    </w:p>
    <w:p>
      <w:pPr>
        <w:ind w:left="4" w:hanging="4"/>
        <w:spacing w:after="0" w:line="260" w:lineRule="auto"/>
        <w:tabs>
          <w:tab w:leader="none" w:pos="32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120 days after the shares of Common Stock, pre-funded warrants and warrants issued to the investors in the concurrent private placement of the Offering first become eligible for resale under Rule 144 under the Securities Act.</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70" w:name="page171"/>
    <w:bookmarkEnd w:id="17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Company’s offering of shares of Common Stock, pre-funded warrants and common stock purchase warrants in a registered direct offering and concurrent private placement pursuant to the Securities Purchase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Resale Registration Statement</w:t>
      </w:r>
      <w:r>
        <w:rPr>
          <w:rFonts w:ascii="Times New Roman" w:cs="Times New Roman" w:eastAsia="Times New Roman" w:hAnsi="Times New Roman"/>
          <w:sz w:val="18"/>
          <w:szCs w:val="18"/>
          <w:color w:val="auto"/>
        </w:rPr>
        <w:t>” means the registration statement covering the resale of the shares of Common Stock, and the shares of Common Stock underlying the pre-funded warrants and common stock purchase warrants, issued to the purchasers in the concurrent private placement of the Offering.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means the twenty seven million five hundred thousand (27.5 million)shares of the Company’s Series 1 Non-Voting Convertible Preferred Stock issued to the Lenders in connection with the Payoff Letter.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Conversion Shares and Warrant Shares then issued and outstanding, issuable upon the conversion of the Preferred Shares and issuable upon the exercise of the Warrants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or (iii) such securities become eligible for resale without volume or manner-of-sale restrictions and without current public information requirements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71" w:name="page172"/>
    <w:bookmarkEnd w:id="1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means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materials, including the exhibits thereto and documents incorporated by reference therein.</w:t>
      </w:r>
    </w:p>
    <w:p>
      <w:pPr>
        <w:spacing w:after="0" w:line="180" w:lineRule="exact"/>
        <w:rPr>
          <w:sz w:val="20"/>
          <w:szCs w:val="20"/>
          <w:color w:val="auto"/>
        </w:rPr>
      </w:pPr>
    </w:p>
    <w:p>
      <w:pPr>
        <w:ind w:left="60" w:firstLine="59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means the Securities Purchase Agreement, dated as of October 27, 2026, among the Company and the purchasers party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1 Non-Voting Convertible Preferred Stock</w:t>
      </w:r>
      <w:r>
        <w:rPr>
          <w:rFonts w:ascii="Times New Roman" w:cs="Times New Roman" w:eastAsia="Times New Roman" w:hAnsi="Times New Roman"/>
          <w:sz w:val="18"/>
          <w:szCs w:val="18"/>
          <w:color w:val="auto"/>
        </w:rPr>
        <w:t>” means Series 1 Non-Voting Convertible Preferred Stock, par value $0.0001 per share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the approval by the stockholders of the Company, in accordance with Nasdaq Listing Rule 5635 (or the applicable rules of any other national securities exchange on which the Common Stock is then listed), of the issuance of the Preferred Shares and the Warrants and the issuance of all Conversion Shares and Warrant Shares (without giving effect to any limitation on conversion or exercise that would otherwise apply in the absence of such approval, other than the Beneficial Ownership Limitation).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72" w:name="page173"/>
    <w:bookmarkEnd w:id="172"/>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are listed or quoted for trading on the date in question: the NYSE American, the Nasdaq Capital Market, the Nasdaq Global Market, the Nasdaq Global Select Market, or the New York Stock Exchange, OTCBB, OTCQB or OTCQX (or any successors to any of the foregoing).</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Certificate of Designation, and the Payoff Letter,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&amp; Trust Company, the current transfer agent of the Company, and any successor transfer agent of the Company.</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common stock purchase warrants to acquire, up to, in the aggregate, twenty seven million five hundred thousand (27.5 million) Warrant Shares issued to the Security Holders in connection with the Payoff Letter.</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41" w:lineRule="exact"/>
        <w:rPr>
          <w:sz w:val="20"/>
          <w:szCs w:val="20"/>
          <w:color w:val="auto"/>
        </w:rPr>
      </w:pPr>
    </w:p>
    <w:p>
      <w:pPr>
        <w:ind w:left="184" w:hanging="184"/>
        <w:spacing w:after="0"/>
        <w:tabs>
          <w:tab w:leader="none" w:pos="1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9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any changes required by SEC Guidance or Commission comments;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applicable law,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Eastern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Eastern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aforesaid shall be deemed an Event under Section 2(d).</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73" w:name="page174"/>
    <w:bookmarkEnd w:id="173"/>
    <w:p>
      <w:pPr>
        <w:jc w:val="both"/>
        <w:ind w:firstLine="644"/>
        <w:spacing w:after="0" w:line="254" w:lineRule="auto"/>
        <w:tabs>
          <w:tab w:leader="none" w:pos="94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best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8" w:lineRule="exact"/>
        <w:rPr>
          <w:rFonts w:ascii="Times New Roman" w:cs="Times New Roman" w:eastAsia="Times New Roman" w:hAnsi="Times New Roman"/>
          <w:sz w:val="18"/>
          <w:szCs w:val="18"/>
          <w:color w:val="auto"/>
        </w:rPr>
      </w:pPr>
    </w:p>
    <w:p>
      <w:pPr>
        <w:jc w:val="both"/>
        <w:ind w:firstLine="644"/>
        <w:spacing w:after="0" w:line="258" w:lineRule="auto"/>
        <w:tabs>
          <w:tab w:leader="none" w:pos="898"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225" w:lineRule="exact"/>
        <w:rPr>
          <w:rFonts w:ascii="Times New Roman" w:cs="Times New Roman" w:eastAsia="Times New Roman" w:hAnsi="Times New Roman"/>
          <w:sz w:val="18"/>
          <w:szCs w:val="18"/>
          <w:color w:val="auto"/>
        </w:rPr>
      </w:pPr>
    </w:p>
    <w:p>
      <w:pPr>
        <w:ind w:left="640" w:right="40" w:hanging="320"/>
        <w:spacing w:after="0" w:line="312" w:lineRule="auto"/>
        <w:tabs>
          <w:tab w:leader="none" w:pos="64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the Company shall reduce Registrable Securities represented by Warrant Shares (applied, in the case that some Warrant Shares may be registered, to the Holders on a pro rata basis based on the total number of unregistered Warrant Shares held by such Holders); and</w:t>
      </w:r>
    </w:p>
    <w:p>
      <w:pPr>
        <w:spacing w:after="0" w:line="139" w:lineRule="exact"/>
        <w:rPr>
          <w:rFonts w:ascii="Times New Roman" w:cs="Times New Roman" w:eastAsia="Times New Roman" w:hAnsi="Times New Roman"/>
          <w:sz w:val="17"/>
          <w:szCs w:val="17"/>
          <w:color w:val="auto"/>
        </w:rPr>
      </w:pPr>
    </w:p>
    <w:p>
      <w:pPr>
        <w:ind w:left="640" w:right="280" w:hanging="320"/>
        <w:spacing w:after="0" w:line="266"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Company shall reduce Registrable Securities represented by Conversion Shares (applied, in the case that some Conversion Shares may be registered, to the Holders on a pro rata basis based on the total number of unregistered Conversion Shares held by such Holders).</w:t>
      </w: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74" w:name="page175"/>
    <w:bookmarkEnd w:id="174"/>
    <w:p>
      <w:pPr>
        <w:jc w:val="both"/>
        <w:ind w:left="-50" w:firstLine="50"/>
        <w:spacing w:after="0" w:line="251" w:lineRule="auto"/>
        <w:tabs>
          <w:tab w:leader="none" w:pos="26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the Lock-Up Expiration Date (if the Company files the Initial Registration Statement without affording the Holders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fifteen (15) consecutive calendar days or more than an aggregate of twenty five (25)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on which such ten (10) calendar day period is exceeded, and for purpose of clause (v) the date on which such fifteen (15) or twenty five (25)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2.0% multiplied by the aggregate Stated Value (as defined in the Certificate of Designation) of the Preferred Shares. If the Company fails to pay any partial liquidated damages pursuant to this Section in full within seven (7)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Notwithstanding anything contained herein, no liquidated damages shall accrue or be payable to a Holder (i) under this Section 2(d) on any Registrable Securities that may be sold pursuant to Rule 144 and (ii) under this Agreement if a delay in meeting any Filing Date deadline or Effective Date deadline is solely due to the actions, inactions or directives (including under Section 3(a)) of such Holder.</w:t>
      </w:r>
    </w:p>
    <w:p>
      <w:pPr>
        <w:spacing w:after="0" w:line="203" w:lineRule="exact"/>
        <w:rPr>
          <w:rFonts w:ascii="Times New Roman" w:cs="Times New Roman" w:eastAsia="Times New Roman" w:hAnsi="Times New Roman"/>
          <w:sz w:val="18"/>
          <w:szCs w:val="18"/>
          <w:color w:val="auto"/>
        </w:rPr>
      </w:pPr>
    </w:p>
    <w:p>
      <w:pPr>
        <w:jc w:val="both"/>
        <w:ind w:left="-50" w:firstLine="644"/>
        <w:spacing w:after="0" w:line="261" w:lineRule="auto"/>
        <w:tabs>
          <w:tab w:leader="none" w:pos="857"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left="-50" w:firstLine="644"/>
        <w:spacing w:after="0" w:line="282" w:lineRule="auto"/>
        <w:tabs>
          <w:tab w:leader="none" w:pos="82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2" w:lineRule="exact"/>
        <w:rPr>
          <w:sz w:val="20"/>
          <w:szCs w:val="20"/>
          <w:color w:val="auto"/>
        </w:rPr>
      </w:pPr>
    </w:p>
    <w:p>
      <w:pPr>
        <w:ind w:left="487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85725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30"/>
          </w:cols>
          <w:pgMar w:left="1030" w:top="337" w:right="339" w:bottom="1440" w:gutter="0" w:footer="0" w:header="0"/>
        </w:sectPr>
      </w:pPr>
    </w:p>
    <w:bookmarkStart w:id="175" w:name="page176"/>
    <w:bookmarkEnd w:id="175"/>
    <w:p>
      <w:pPr>
        <w:ind w:left="184" w:hanging="184"/>
        <w:spacing w:after="0"/>
        <w:tabs>
          <w:tab w:leader="none" w:pos="18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53" w:lineRule="auto"/>
        <w:tabs>
          <w:tab w:leader="none" w:pos="90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six (6) Trading Days prior to the filing of each Registration Statement and not less than two (2) Trading Days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 (2) Trading Days prior to the Filing Date or by the end of the fourth (4th) Trading Day following the date on which such Holder receives draft materials in accordance with this Section.</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9" w:lineRule="auto"/>
        <w:tabs>
          <w:tab w:leader="none" w:pos="909"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32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22"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Conversion Shares or Warrant Shares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 subject to the provisions of Section 2(c).</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76" w:name="page177"/>
    <w:bookmarkEnd w:id="176"/>
    <w:p>
      <w:pPr>
        <w:jc w:val="both"/>
        <w:ind w:left="-460" w:firstLine="644"/>
        <w:spacing w:after="0" w:line="251" w:lineRule="auto"/>
        <w:tabs>
          <w:tab w:leader="none" w:pos="48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(unless such information is legally required to be included in such notice) which would constitute material, non-public information regarding the Company or any of its Subsidiaries.</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2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(1)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77" w:name="page178"/>
    <w:bookmarkEnd w:id="177"/>
    <w:p>
      <w:pPr>
        <w:jc w:val="both"/>
        <w:ind w:left="-460" w:firstLine="644"/>
        <w:spacing w:after="0" w:line="254" w:lineRule="auto"/>
        <w:tabs>
          <w:tab w:leader="none" w:pos="45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or book entry statements as applicable, representing Registrable Securities to be delivered to a transferee pursuant to a Registration Statement, which certificates shall be free, to the extent permitted by the Securities Act,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sixty (60) calendar days (which need not be consecutive days) in any 12-month period.</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reasonable best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4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maintain eligibility for use of Form S-3 (or any successor form thereto) for the registration of the resale of Registrable Securities.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78" w:name="page179"/>
    <w:bookmarkEnd w:id="178"/>
    <w:p>
      <w:pPr>
        <w:jc w:val="both"/>
        <w:ind w:left="660" w:firstLine="644"/>
        <w:spacing w:after="0" w:line="256" w:lineRule="auto"/>
        <w:tabs>
          <w:tab w:leader="none" w:pos="163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Conversion Shares or Warrant Shares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(3)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579"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6(h).</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9" w:name="page180"/>
    <w:bookmarkEnd w:id="179"/>
    <w:p>
      <w:pPr>
        <w:jc w:val="both"/>
        <w:ind w:left="-460" w:firstLine="644"/>
        <w:spacing w:after="0" w:line="252" w:lineRule="auto"/>
        <w:tabs>
          <w:tab w:leader="none" w:pos="45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officers, directors, members, partners, agents and employees (and any other Persons with a functionally equivalent role of a Person holding such titles, notwithstanding a lack of such title or any other title) of each of them, each Person who controls the Company (within the meaning of Section 15 of the Securities Act or Section 20 of the Exchange Act) and the officers, directors, members, stockholders, partners and employees (and any other Persons with a functionally equivalent role of a Person holding such titles, notwithstanding a lack of such title or any other title) of each such controlling Person, to the fullest extent permitted by applicable law, from and against all Losses, as incurred, to the extent arising out of or based solely upon: any untrue statement of a material fact contained in any Registration Statement, any Prospectus, or in any amendment or supplement thereto or in any preliminary prospectus, or arising out of or relating to any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80" w:name="page181"/>
    <w:bookmarkEnd w:id="180"/>
    <w:p>
      <w:pPr>
        <w:jc w:val="both"/>
        <w:ind w:firstLine="644"/>
        <w:spacing w:after="0" w:line="254" w:lineRule="auto"/>
        <w:tabs>
          <w:tab w:leader="none" w:pos="90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reasonable fees and expenses incurred in connection with defense thereof, except as otherwise provided in this Section 5(c);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644"/>
        <w:spacing w:after="0" w:line="253" w:lineRule="auto"/>
        <w:tabs>
          <w:tab w:leader="none" w:pos="93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81" w:name="page182"/>
    <w:bookmarkEnd w:id="181"/>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840" w:hanging="184"/>
        <w:spacing w:after="0"/>
        <w:tabs>
          <w:tab w:leader="none" w:pos="8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56"/>
        <w:spacing w:after="0" w:line="256" w:lineRule="auto"/>
        <w:tabs>
          <w:tab w:leader="none" w:pos="102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3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Except for registration of any registrable securities pursuant to that registration rights agreement entered into pursuant to the Securities Purchase Agreement that are required to be registered in any Registration Statement,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sixty (60) days following the date that all Registrable Securities are registered pursuant to a Registration Statement that is declared effective by the Commission provided that this Section 6(b) shall not prohibit the Company from filing amendments to registration statements filed prior to the date of this Agreement or a Form S-8 or Form S-4.</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Holder covenants and agrees that it will comply with the prospectus delivery requirements of the Securities Act as applicable to it in connection with sales of Registrable Securities pursuant to a Registration Statement.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2" w:name="page183"/>
    <w:bookmarkEnd w:id="182"/>
    <w:p>
      <w:pPr>
        <w:jc w:val="both"/>
        <w:ind w:firstLine="656"/>
        <w:spacing w:after="0" w:line="253" w:lineRule="auto"/>
        <w:tabs>
          <w:tab w:leader="none" w:pos="89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Holder a written notice of such determination and, if within fifteen (15) days after the date of the delivery of such notice, any such Holder shall so request in writing, the Company shall include in such registration statement all or any part of such Registrable Securities such Holder requests to be registered;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register any Registrable Securities pursuant to this Section 6(e) that are eligible for resale pursuant to Rule 144 (without volume restrictions or current public information requirements) promulgated by the Commission pursuant to the Securities Act or that are the subject of a then effective Registration Statement that is available for resales or other dispositions by such Holder.</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88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Holders of more than 50% of the then outstanding Registrable Securities (for purposes of clarification, this includes any Registrable Securities issuable upon exercise of any Warrants),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6(f). No consideration shall be offered or paid to any Person to amend or consent to a waiver or modification of any provision of this Agreement unless the same consideration also is offered to all of the parties to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(email shall suffice) and shall be deemed given and effective on the earliest of: (a) the time of transmission, if such notice or communication is delivered via facsimile or email at the facsimile number or email address as set forth on the signature pages attached hereto at or prior to 5:30 p.m. (New York City time) on a Trading Day, (b) the next Trading Day after the date of transmission, if such notice or communication is delivered via facsimile or email at the facsimile number or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this Agreement constitutes, or contains material, non-public information regarding the Company or any of the Subsidiaries, the Company shall simultaneously file or furnish, as applicable, such notice with the Commission pursuant to a Current Report on Form 8-K.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3" w:name="page184"/>
    <w:bookmarkEnd w:id="183"/>
    <w:p>
      <w:pPr>
        <w:jc w:val="both"/>
        <w:ind w:firstLine="656"/>
        <w:spacing w:after="0" w:line="266" w:lineRule="auto"/>
        <w:tabs>
          <w:tab w:leader="none" w:pos="90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assigns of each of the parties and shall inure to the benefit of each Holder. The Company may not assign (except by merger) its rights or obligations hereunder without the prior written consent of all of the Holders of the then outstanding Registrable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9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hereto shall commence an Action or Proceeding to enforce any provisions of the this Agreement, then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4" w:name="page185"/>
    <w:bookmarkEnd w:id="184"/>
    <w:p>
      <w:pPr>
        <w:jc w:val="both"/>
        <w:ind w:firstLine="656"/>
        <w:spacing w:after="0" w:line="256" w:lineRule="auto"/>
        <w:tabs>
          <w:tab w:leader="none" w:pos="95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Registration Rights Agreement as of the date first written above.</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29"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Toler</w:t>
            </w:r>
          </w:p>
        </w:tc>
      </w:tr>
      <w:tr>
        <w:trPr>
          <w:trHeight w:val="191"/>
        </w:trPr>
        <w:tc>
          <w:tcPr>
            <w:tcW w:w="1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William Toler</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1510 Main Street</w:t>
            </w:r>
          </w:p>
        </w:tc>
      </w:tr>
      <w:tr>
        <w:trPr>
          <w:trHeight w:val="234"/>
        </w:trPr>
        <w:tc>
          <w:tcPr>
            <w:tcW w:w="11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Shoemakersville, Pennsylvania 19555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color w:val="auto"/>
        </w:rPr>
        <w:t>[SIGNATURE PAGE OF HOLDERS TO HYDROFARM HOLDINGS GROUP, INC.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8660" w:type="dxa"/>
            <w:vAlign w:val="bottom"/>
            <w:gridSpan w:val="2"/>
          </w:tcPr>
          <w:p>
            <w:pPr>
              <w:jc w:val="right"/>
              <w:ind w:right="6270"/>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Address of Holder:</w:t>
            </w:r>
          </w:p>
        </w:tc>
        <w:tc>
          <w:tcPr>
            <w:tcW w:w="8660" w:type="dxa"/>
            <w:vAlign w:val="bottom"/>
            <w:gridSpan w:val="2"/>
          </w:tcPr>
          <w:p>
            <w:pPr>
              <w:jc w:val="right"/>
              <w:ind w:right="4130"/>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r>
      <w:tr>
        <w:trPr>
          <w:trHeight w:val="216"/>
        </w:trPr>
        <w:tc>
          <w:tcPr>
            <w:tcW w:w="112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r>
      <w:tr>
        <w:trPr>
          <w:trHeight w:val="216"/>
        </w:trPr>
        <w:tc>
          <w:tcPr>
            <w:tcW w:w="112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r>
      <w:tr>
        <w:trPr>
          <w:trHeight w:val="234"/>
        </w:trPr>
        <w:tc>
          <w:tcPr>
            <w:tcW w:w="112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r>
      <w:tr>
        <w:trPr>
          <w:trHeight w:val="432"/>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tc>
        <w:tc>
          <w:tcPr>
            <w:tcW w:w="7880" w:type="dxa"/>
            <w:vAlign w:val="bottom"/>
          </w:tcPr>
          <w:p>
            <w:pPr>
              <w:jc w:val="right"/>
              <w:ind w:right="5710"/>
              <w:spacing w:after="0"/>
              <w:rPr>
                <w:sz w:val="20"/>
                <w:szCs w:val="20"/>
                <w:color w:val="auto"/>
              </w:rPr>
            </w:pPr>
            <w:r>
              <w:rPr>
                <w:rFonts w:ascii="Times New Roman" w:cs="Times New Roman" w:eastAsia="Times New Roman" w:hAnsi="Times New Roman"/>
                <w:sz w:val="18"/>
                <w:szCs w:val="18"/>
                <w:color w:val="auto"/>
              </w:rPr>
              <w:t>___________________</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Name of Authorized Signatory:</w:t>
            </w:r>
          </w:p>
        </w:tc>
        <w:tc>
          <w:tcPr>
            <w:tcW w:w="780" w:type="dxa"/>
            <w:vAlign w:val="bottom"/>
          </w:tcPr>
          <w:p>
            <w:pPr>
              <w:spacing w:after="0"/>
              <w:rPr>
                <w:sz w:val="24"/>
                <w:szCs w:val="24"/>
                <w:color w:val="auto"/>
              </w:rPr>
            </w:pPr>
          </w:p>
        </w:tc>
        <w:tc>
          <w:tcPr>
            <w:tcW w:w="7880" w:type="dxa"/>
            <w:vAlign w:val="bottom"/>
          </w:tcPr>
          <w:p>
            <w:pPr>
              <w:jc w:val="right"/>
              <w:ind w:right="5890"/>
              <w:spacing w:after="0"/>
              <w:rPr>
                <w:sz w:val="20"/>
                <w:szCs w:val="20"/>
                <w:color w:val="auto"/>
              </w:rPr>
            </w:pPr>
            <w:r>
              <w:rPr>
                <w:rFonts w:ascii="Times New Roman" w:cs="Times New Roman" w:eastAsia="Times New Roman" w:hAnsi="Times New Roman"/>
                <w:sz w:val="18"/>
                <w:szCs w:val="18"/>
                <w:color w:val="auto"/>
              </w:rPr>
              <w:t>___________________</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Signatory:</w:t>
            </w:r>
          </w:p>
        </w:tc>
        <w:tc>
          <w:tcPr>
            <w:tcW w:w="780" w:type="dxa"/>
            <w:vAlign w:val="bottom"/>
          </w:tcPr>
          <w:p>
            <w:pPr>
              <w:spacing w:after="0"/>
              <w:rPr>
                <w:sz w:val="24"/>
                <w:szCs w:val="24"/>
                <w:color w:val="auto"/>
              </w:rPr>
            </w:pPr>
          </w:p>
        </w:tc>
        <w:tc>
          <w:tcPr>
            <w:tcW w:w="7880" w:type="dxa"/>
            <w:vAlign w:val="bottom"/>
          </w:tcPr>
          <w:p>
            <w:pPr>
              <w:jc w:val="right"/>
              <w:ind w:right="5730"/>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432"/>
        </w:trPr>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19</w:t>
            </w:r>
          </w:p>
        </w:tc>
      </w:tr>
      <w:tr>
        <w:trPr>
          <w:trHeight w:val="115"/>
        </w:trPr>
        <w:tc>
          <w:tcPr>
            <w:tcW w:w="25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53"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transfer or otherwise dispose of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1460" w:hanging="372"/>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1460" w:hanging="372"/>
        <w:spacing w:after="0" w:line="282" w:lineRule="auto"/>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225" w:lineRule="exact"/>
        <w:rPr>
          <w:rFonts w:ascii="Times New Roman" w:cs="Times New Roman" w:eastAsia="Times New Roman" w:hAnsi="Times New Roman"/>
          <w:sz w:val="18"/>
          <w:szCs w:val="18"/>
          <w:color w:val="auto"/>
        </w:rPr>
      </w:pPr>
    </w:p>
    <w:p>
      <w:pPr>
        <w:ind w:left="1460" w:hanging="372"/>
        <w:spacing w:after="0" w:line="282" w:lineRule="auto"/>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IM-2121.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8" w:name="page189"/>
    <w:bookmarkEnd w:id="18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The Company shall not be responsible for any of the Selling Stockholders’ selling costs incurred pursuant to any available method provided hereunder for selling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any broker-dealers or agents that are involved in selling the securitiesmay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There is no underwriter or coordinating broker acting in connection with the proposed sale of the resale shares by the Selling Stockholders.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will be sold only through registered or licensed brokers or dealers if required under applicable state securities laws. In addition, in certain states, the shares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shares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are those issuable upon conversion of shares of Series 1 Non-Voting Convertible Preferred Stock of the Company or exercise of Warrants previously issued to the selling stockholders. For additional information regarding the issuances of those shares of common stock, see “Private Placement of Series 1 Non-Voting Convertible Preferred Stock and Warrants to Purchase Common Stock” above. We are registering the shares in order to permit the selling stockholders to offer the shares for resale from time to time. Except for the ownership of the Company’s securities and the selling stockholders’ interests in the Company’s senior secured term loan, the selling stockholders have not had any material relationship with us within the past three years.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Common Stock by each of the selling stockholders. The second column lists the total number of shares of Common Stock beneficially owned by each selling stockholder, based on its ownership of the Common Stock, as of __,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Common Stock being offered by this prospectus by the selling stockholders.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the sum of (i) the maximum number of shares of Common Stock issuable upon conversion of shares of Series 1 Non-Voting Convertible Preferred Stock of the Company, determined as if the outstanding shares of Series 1 Non-Voting Convertible Preferred Stock were converted in full as of the trading day immediately preceding the date this registration statement was initially filed with the Commission, as of the trading day immediately preceding the applicable date of determination and all subject to adjustment as provided in the registration rights agreement, without regard to any limitations on the conversion of the Series 1 Non-Voting Convertible Preferred Stock and (ii) the maximum number of shares of Common Stock issuable upon exercise of the Warrants, determined as if the outstanding Warrants were exercised in full as of the trading day immediately preceding the date this registration statement was initially filed with the Commission, as of the trading day immediately preceding the applicable date of determination and all subject to adjustment as provided in the registration rights agreement, without regard to any limitations on the exercise of the Warrants. The fourth column assumes the sale of all of the shares offered by the selling stockholders pursuant to this prospectus.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Series 1 Non-Voting Convertible Preferred Stock and the Warrants, a selling stockholder may not convert any Series 1 Non-Voting Convertible Preferred Stock nor exercise any such warrants to the extent such conversion or exercise would cause such selling stockholder, together with its affiliates and attribution parties, to beneficially own a number of shares of Common Stock which would exceed 4.99% of our then outstanding Common Stock following such conversion or exercise, as applicable, excluding for purposes of such determination Common Stock issuable upon conversion of such Series 1 Non-Voting Convertible Preferred Stock which have not been converted or exercise of such warrants which have not been exercised. The number of shares in the second and fourth columns do not reflect this limitation. The selling stockholders may sell all, some or none of their shares in this offering. See "Plan of Distribution."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Selling Stockholder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19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Percentage of Shares of</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80" w:type="dxa"/>
            <w:vAlign w:val="bottom"/>
          </w:tcPr>
          <w:p>
            <w:pPr>
              <w:spacing w:after="0"/>
              <w:rPr>
                <w:sz w:val="17"/>
                <w:szCs w:val="17"/>
                <w:color w:val="auto"/>
              </w:rPr>
            </w:pPr>
          </w:p>
        </w:tc>
        <w:tc>
          <w:tcPr>
            <w:tcW w:w="2340" w:type="dxa"/>
            <w:vAlign w:val="bottom"/>
            <w:gridSpan w:val="9"/>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shares of Common Stock to</w:t>
            </w:r>
          </w:p>
        </w:tc>
        <w:tc>
          <w:tcPr>
            <w:tcW w:w="1900" w:type="dxa"/>
            <w:vAlign w:val="bottom"/>
            <w:gridSpan w:val="6"/>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8"/>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Prior to Offering</w:t>
            </w:r>
          </w:p>
        </w:tc>
        <w:tc>
          <w:tcPr>
            <w:tcW w:w="2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6"/>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 Sold Pursuant to this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After Offering</w:t>
            </w:r>
          </w:p>
        </w:tc>
        <w:tc>
          <w:tcPr>
            <w:tcW w:w="120" w:type="dxa"/>
            <w:vAlign w:val="bottom"/>
          </w:tcPr>
          <w:p>
            <w:pPr>
              <w:spacing w:after="0"/>
              <w:rPr>
                <w:sz w:val="17"/>
                <w:szCs w:val="17"/>
                <w:color w:val="auto"/>
              </w:rPr>
            </w:pPr>
          </w:p>
        </w:tc>
        <w:tc>
          <w:tcPr>
            <w:tcW w:w="2060" w:type="dxa"/>
            <w:vAlign w:val="bottom"/>
            <w:gridSpan w:val="10"/>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Beneficially Owned After</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vMerge w:val="restart"/>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Prospectus</w:t>
            </w:r>
          </w:p>
        </w:tc>
        <w:tc>
          <w:tcPr>
            <w:tcW w:w="500" w:type="dxa"/>
            <w:vAlign w:val="bottom"/>
            <w:tcBorders>
              <w:top w:val="single" w:sz="8" w:color="auto"/>
            </w:tcBorders>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40" w:type="dxa"/>
            <w:vAlign w:val="bottom"/>
            <w:tcBorders>
              <w:top w:val="single" w:sz="8" w:color="auto"/>
              <w:bottom w:val="single" w:sz="8" w:color="auto"/>
            </w:tcBorders>
            <w:vMerge w:val="restart"/>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1"/>
              </w:rPr>
              <w:t>(1)</w:t>
            </w:r>
          </w:p>
        </w:tc>
        <w:tc>
          <w:tcPr>
            <w:tcW w:w="520" w:type="dxa"/>
            <w:vAlign w:val="bottom"/>
            <w:tcBorders>
              <w:top w:val="single" w:sz="8" w:color="auto"/>
              <w:bottom w:val="single" w:sz="8" w:color="auto"/>
            </w:tcBorders>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vMerge w:val="continue"/>
          </w:tcPr>
          <w:p>
            <w:pPr>
              <w:spacing w:after="0" w:line="20" w:lineRule="exact"/>
              <w:rPr>
                <w:sz w:val="1"/>
                <w:szCs w:val="1"/>
                <w:color w:val="auto"/>
              </w:rPr>
            </w:pPr>
          </w:p>
        </w:tc>
        <w:tc>
          <w:tcPr>
            <w:tcW w:w="800" w:type="dxa"/>
            <w:vAlign w:val="bottom"/>
            <w:gridSpan w:val="4"/>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tcBorders>
              <w:bottom w:val="single" w:sz="8" w:color="auto"/>
            </w:tcBorders>
            <w:vMerge w:val="continue"/>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tcBorders>
              <w:bottom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60" w:type="dxa"/>
            <w:vAlign w:val="bottom"/>
            <w:tcBorders>
              <w:bottom w:val="single" w:sz="8" w:color="auto"/>
            </w:tcBorders>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firstLine="8"/>
        <w:spacing w:after="0" w:line="255" w:lineRule="auto"/>
        <w:tabs>
          <w:tab w:leader="none" w:pos="25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the Series 1 Non-Voting Convertible Preferred Stock or exercise the Warrants held by the Selling Stockholders is subject to a beneficial ownership limitation that, at the time of initial issuance of the Warrants was capped at 4.99% beneficial ownership of the Company’s issued and outstanding Common Stock (post-exercise), as applicable. These beneficial ownership limitations may be adjusted up or down, subject to providing advanced notice to the Company. Beneficial ownership as reflected in the selling stockholder table reflects the total number of shares potentially issuable underlying the Series 1 Non-Voting Convertible Preferred Stock and Warrants and does not give effect to these beneficial ownership limitations. Accordingly, actual beneficial ownership, as calculated in accordance with Section 13(d) and Rule 13d-3 thereunder may be lower than as reflected in the table.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0" w:name="page191"/>
    <w:bookmarkEnd w:id="190"/>
    <w:p>
      <w:pPr>
        <w:spacing w:after="0" w:line="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Hydrofarm Holdings 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beneficial owner of Conversion Shares of and/or shares of Common Stock issuable upon the exercise of common stock purchase warrants to purchase shares of Common Stock (collectively,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Hydrofarm Holdings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QUESTIONNAIRE</w:t>
      </w:r>
    </w:p>
    <w:p>
      <w:pPr>
        <w:spacing w:after="0" w:line="221" w:lineRule="exact"/>
        <w:rPr>
          <w:sz w:val="20"/>
          <w:szCs w:val="20"/>
          <w:color w:val="auto"/>
        </w:rPr>
      </w:pPr>
    </w:p>
    <w:p>
      <w:pPr>
        <w:ind w:left="720" w:hanging="712"/>
        <w:spacing w:after="0"/>
        <w:tabs>
          <w:tab w:leader="none" w:pos="7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1420" w:hanging="710"/>
        <w:spacing w:after="0"/>
        <w:tabs>
          <w:tab w:leader="none" w:pos="14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420" w:hanging="710"/>
        <w:spacing w:after="0"/>
        <w:tabs>
          <w:tab w:leader="none" w:pos="14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420" w:right="20" w:hanging="710"/>
        <w:spacing w:after="0" w:line="282" w:lineRule="auto"/>
        <w:tabs>
          <w:tab w:leader="none" w:pos="14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-1839595</wp:posOffset>
            </wp:positionV>
            <wp:extent cx="623189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31890" cy="254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-1265555</wp:posOffset>
            </wp:positionV>
            <wp:extent cx="623189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31890" cy="254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-279400</wp:posOffset>
            </wp:positionV>
            <wp:extent cx="623189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31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17145</wp:posOffset>
            </wp:positionV>
            <wp:extent cx="620649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06490" cy="254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62490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49035" cy="254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62490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49035" cy="25400"/>
                    </a:xfrm>
                    <a:prstGeom prst="rect">
                      <a:avLst/>
                    </a:prstGeom>
                    <a:noFill/>
                  </pic:spPr>
                </pic:pic>
              </a:graphicData>
            </a:graphic>
          </wp:anchor>
        </w:drawing>
      </w:r>
    </w:p>
    <w:p>
      <w:pPr>
        <w:spacing w:after="0" w:line="242" w:lineRule="exact"/>
        <w:rPr>
          <w:sz w:val="20"/>
          <w:szCs w:val="20"/>
          <w:color w:val="auto"/>
        </w:rPr>
      </w:pPr>
    </w:p>
    <w:p>
      <w:pPr>
        <w:ind w:left="180" w:hanging="172"/>
        <w:spacing w:after="0"/>
        <w:tabs>
          <w:tab w:leader="none" w:pos="18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1420" w:hanging="710"/>
        <w:spacing w:after="0"/>
        <w:tabs>
          <w:tab w:leader="none" w:pos="142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225" w:lineRule="exact"/>
        <w:rPr>
          <w:sz w:val="20"/>
          <w:szCs w:val="20"/>
          <w:color w:val="auto"/>
        </w:rPr>
      </w:pPr>
    </w:p>
    <w:p>
      <w:pPr>
        <w:ind w:left="4820"/>
        <w:spacing w:after="0"/>
        <w:tabs>
          <w:tab w:leader="none" w:pos="594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0"/>
          <w:szCs w:val="20"/>
          <w:color w:val="auto"/>
        </w:rPr>
      </w:pPr>
    </w:p>
    <w:p>
      <w:pPr>
        <w:ind w:left="1420" w:hanging="710"/>
        <w:spacing w:after="0"/>
        <w:tabs>
          <w:tab w:leader="none" w:pos="14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225" w:lineRule="exact"/>
        <w:rPr>
          <w:sz w:val="20"/>
          <w:szCs w:val="20"/>
          <w:color w:val="auto"/>
        </w:rPr>
      </w:pPr>
    </w:p>
    <w:p>
      <w:pPr>
        <w:ind w:left="4820"/>
        <w:spacing w:after="0"/>
        <w:tabs>
          <w:tab w:leader="none" w:pos="594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0"/>
          <w:szCs w:val="20"/>
          <w:color w:val="auto"/>
        </w:rPr>
      </w:pPr>
    </w:p>
    <w:p>
      <w:pPr>
        <w:ind w:left="1440" w:hanging="719"/>
        <w:spacing w:after="0" w:line="261" w:lineRule="auto"/>
        <w:tabs>
          <w:tab w:leader="none" w:pos="142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8"/>
          <w:szCs w:val="18"/>
          <w:color w:val="auto"/>
        </w:rPr>
        <w:t>If “no” to Section 3(b), the Commission’s staff has indicated that you should be identified as an underwriter in the Registration Statement.</w:t>
      </w:r>
    </w:p>
    <w:p>
      <w:pPr>
        <w:ind w:left="1440" w:hanging="730"/>
        <w:spacing w:after="0"/>
        <w:tabs>
          <w:tab w:leader="none" w:pos="14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207" w:lineRule="exact"/>
        <w:rPr>
          <w:sz w:val="20"/>
          <w:szCs w:val="20"/>
          <w:color w:val="auto"/>
        </w:rPr>
      </w:pPr>
    </w:p>
    <w:p>
      <w:pPr>
        <w:ind w:left="4820"/>
        <w:spacing w:after="0"/>
        <w:tabs>
          <w:tab w:leader="none" w:pos="594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0"/>
          <w:szCs w:val="20"/>
          <w:color w:val="auto"/>
        </w:rPr>
      </w:pPr>
    </w:p>
    <w:p>
      <w:pPr>
        <w:jc w:val="both"/>
        <w:ind w:left="1420" w:hanging="710"/>
        <w:spacing w:after="0" w:line="266" w:lineRule="auto"/>
        <w:tabs>
          <w:tab w:leader="none" w:pos="14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ectPr>
          <w:pgSz w:w="11900" w:h="16927" w:orient="portrait"/>
          <w:cols w:equalWidth="0" w:num="1">
            <w:col w:w="11240"/>
          </w:cols>
          <w:pgMar w:left="320" w:top="333" w:right="339" w:bottom="0" w:gutter="0" w:footer="0" w:header="0"/>
        </w:sectPr>
      </w:pPr>
    </w:p>
    <w:bookmarkStart w:id="191" w:name="page192"/>
    <w:bookmarkEnd w:id="191"/>
    <w:p>
      <w:pPr>
        <w:ind w:left="4820"/>
        <w:spacing w:after="0"/>
        <w:tabs>
          <w:tab w:leader="none" w:pos="594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0"/>
          <w:szCs w:val="20"/>
          <w:color w:val="auto"/>
        </w:rPr>
      </w:pPr>
    </w:p>
    <w:p>
      <w:pPr>
        <w:ind w:left="1440" w:hanging="719"/>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8"/>
          <w:szCs w:val="18"/>
          <w:color w:val="auto"/>
        </w:rPr>
        <w:t>If “no” to Section 3(d), the Commission’s staff has indicated that you should be identified as an underwriter in the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Selling Stockholder.</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Payoff Letter.</w:t>
      </w:r>
    </w:p>
    <w:p>
      <w:pPr>
        <w:spacing w:after="0" w:line="160" w:lineRule="exact"/>
        <w:rPr>
          <w:sz w:val="20"/>
          <w:szCs w:val="20"/>
          <w:color w:val="auto"/>
        </w:rPr>
      </w:pPr>
    </w:p>
    <w:p>
      <w:pPr>
        <w:ind w:left="1420" w:hanging="710"/>
        <w:spacing w:after="0"/>
        <w:tabs>
          <w:tab w:leader="none" w:pos="14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591820</wp:posOffset>
            </wp:positionV>
            <wp:extent cx="623189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31890" cy="254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428625</wp:posOffset>
            </wp:positionV>
            <wp:extent cx="623189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Relationships with the Company: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454660</wp:posOffset>
            </wp:positionV>
            <wp:extent cx="668655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86550" cy="2603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291465</wp:posOffset>
            </wp:positionV>
            <wp:extent cx="668655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8655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Beneficial Owner: ________________________________</w:t>
      </w:r>
    </w:p>
    <w:p>
      <w:pPr>
        <w:spacing w:after="0" w:line="211" w:lineRule="exact"/>
        <w:rPr>
          <w:sz w:val="20"/>
          <w:szCs w:val="20"/>
          <w:color w:val="auto"/>
        </w:rPr>
      </w:pPr>
    </w:p>
    <w:p>
      <w:pPr>
        <w:sectPr>
          <w:pgSz w:w="11900" w:h="16838" w:orient="portrait"/>
          <w:cols w:equalWidth="0" w:num="2">
            <w:col w:w="5400" w:space="720"/>
            <w:col w:w="5120"/>
          </w:cols>
          <w:pgMar w:left="320" w:top="337" w:right="339" w:bottom="1440" w:gutter="0" w:footer="0" w:header="0"/>
          <w:type w:val="continuous"/>
        </w:sectPr>
      </w:pP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By: _____________________________</w:t>
      </w:r>
    </w:p>
    <w:p>
      <w:pPr>
        <w:spacing w:after="0" w:line="3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1240"/>
      </w:cols>
      <w:pgMar w:left="320" w:top="33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B75C"/>
    <w:multiLevelType w:val="hybridMultilevel"/>
    <w:lvl w:ilvl="0">
      <w:lvlJc w:val="left"/>
      <w:lvlText w:val="☐"/>
      <w:numFmt w:val="bullet"/>
      <w:start w:val="1"/>
    </w:lvl>
  </w:abstractNum>
  <w:abstractNum w:abstractNumId="1">
    <w:nsid w:val="1DF029D3"/>
    <w:multiLevelType w:val="hybridMultilevel"/>
    <w:lvl w:ilvl="0">
      <w:lvlJc w:val="left"/>
      <w:lvlText w:val="(%1)"/>
      <w:numFmt w:val="decimal"/>
      <w:start w:val="2"/>
    </w:lvl>
  </w:abstractNum>
  <w:abstractNum w:abstractNumId="2">
    <w:nsid w:val="5675FF36"/>
    <w:multiLevelType w:val="hybridMultilevel"/>
    <w:lvl w:ilvl="0">
      <w:lvlJc w:val="left"/>
      <w:lvlText w:val="%1."/>
      <w:numFmt w:val="decimal"/>
      <w:start w:val="1"/>
    </w:lvl>
  </w:abstractNum>
  <w:abstractNum w:abstractNumId="3">
    <w:nsid w:val="3DD15094"/>
    <w:multiLevelType w:val="hybridMultilevel"/>
    <w:lvl w:ilvl="0">
      <w:lvlJc w:val="left"/>
      <w:lvlText w:val="(%1)"/>
      <w:numFmt w:val="lowerLetter"/>
      <w:start w:val="1"/>
    </w:lvl>
  </w:abstractNum>
  <w:abstractNum w:abstractNumId="4">
    <w:nsid w:val="3DB012B3"/>
    <w:multiLevelType w:val="hybridMultilevel"/>
    <w:lvl w:ilvl="0">
      <w:lvlJc w:val="left"/>
      <w:lvlText w:val="(%1)"/>
      <w:numFmt w:val="lowerLetter"/>
      <w:start w:val="1"/>
    </w:lvl>
  </w:abstractNum>
  <w:abstractNum w:abstractNumId="5">
    <w:nsid w:val="2708C9AF"/>
    <w:multiLevelType w:val="hybridMultilevel"/>
    <w:lvl w:ilvl="0">
      <w:lvlJc w:val="left"/>
      <w:lvlText w:val="(%1)"/>
      <w:numFmt w:val="lowerLetter"/>
      <w:start w:val="2"/>
    </w:lvl>
    <w:lvl w:ilvl="1">
      <w:lvlJc w:val="left"/>
      <w:lvlText w:val="(%2)"/>
      <w:numFmt w:val="lowerRoman"/>
      <w:start w:val="1"/>
    </w:lvl>
  </w:abstractNum>
  <w:abstractNum w:abstractNumId="6">
    <w:nsid w:val="5B25ACE2"/>
    <w:multiLevelType w:val="hybridMultilevel"/>
    <w:lvl w:ilvl="0">
      <w:lvlJc w:val="left"/>
      <w:lvlText w:val="(%1)"/>
      <w:numFmt w:val="lowerRoman"/>
      <w:start w:val="4"/>
    </w:lvl>
  </w:abstractNum>
  <w:abstractNum w:abstractNumId="7">
    <w:nsid w:val="175DFCF0"/>
    <w:multiLevelType w:val="hybridMultilevel"/>
    <w:lvl w:ilvl="0">
      <w:lvlJc w:val="left"/>
      <w:lvlText w:val="(%1)"/>
      <w:numFmt w:val="lowerLetter"/>
      <w:start w:val="4"/>
    </w:lvl>
    <w:lvl w:ilvl="1">
      <w:lvlJc w:val="left"/>
      <w:lvlText w:val="(%2)"/>
      <w:numFmt w:val="lowerLetter"/>
      <w:start w:val="9"/>
    </w:lvl>
  </w:abstractNum>
  <w:abstractNum w:abstractNumId="8">
    <w:nsid w:val="4F97E3E4"/>
    <w:multiLevelType w:val="hybridMultilevel"/>
    <w:lvl w:ilvl="0">
      <w:lvlJc w:val="left"/>
      <w:lvlText w:val="(%1)"/>
      <w:numFmt w:val="lowerRoman"/>
      <w:start w:val="2"/>
    </w:lvl>
  </w:abstractNum>
  <w:abstractNum w:abstractNumId="9">
    <w:nsid w:val="53B0A9E"/>
    <w:multiLevelType w:val="hybridMultilevel"/>
    <w:lvl w:ilvl="0">
      <w:lvlJc w:val="left"/>
      <w:lvlText w:val="(%1)"/>
      <w:numFmt w:val="lowerLetter"/>
      <w:start w:val="1"/>
    </w:lvl>
  </w:abstractNum>
  <w:abstractNum w:abstractNumId="10">
    <w:nsid w:val="34FD6B4F"/>
    <w:multiLevelType w:val="hybridMultilevel"/>
    <w:lvl w:ilvl="0">
      <w:lvlJc w:val="left"/>
      <w:lvlText w:val="(%1)"/>
      <w:numFmt w:val="lowerLetter"/>
      <w:start w:val="2"/>
    </w:lvl>
  </w:abstractNum>
  <w:abstractNum w:abstractNumId="11">
    <w:nsid w:val="5915FF32"/>
    <w:multiLevelType w:val="hybridMultilevel"/>
    <w:lvl w:ilvl="0">
      <w:lvlJc w:val="left"/>
      <w:lvlText w:val="(%1)"/>
      <w:numFmt w:val="lowerLetter"/>
      <w:start w:val="4"/>
    </w:lvl>
    <w:lvl w:ilvl="1">
      <w:lvlJc w:val="left"/>
      <w:lvlText w:val="(%2)"/>
      <w:numFmt w:val="lowerLetter"/>
      <w:start w:val="9"/>
    </w:lvl>
  </w:abstractNum>
  <w:abstractNum w:abstractNumId="12">
    <w:nsid w:val="56438D15"/>
    <w:multiLevelType w:val="hybridMultilevel"/>
    <w:lvl w:ilvl="0">
      <w:lvlJc w:val="left"/>
      <w:lvlText w:val="(%1)"/>
      <w:numFmt w:val="lowerRoman"/>
      <w:start w:val="2"/>
    </w:lvl>
  </w:abstractNum>
  <w:abstractNum w:abstractNumId="13">
    <w:nsid w:val="519E3149"/>
    <w:multiLevelType w:val="hybridMultilevel"/>
    <w:lvl w:ilvl="0">
      <w:lvlJc w:val="left"/>
      <w:lvlText w:val="(%1)"/>
      <w:numFmt w:val="lowerLetter"/>
      <w:start w:val="2"/>
    </w:lvl>
  </w:abstractNum>
  <w:abstractNum w:abstractNumId="14">
    <w:nsid w:val="2C6E4AFD"/>
    <w:multiLevelType w:val="hybridMultilevel"/>
    <w:lvl w:ilvl="0">
      <w:lvlJc w:val="left"/>
      <w:lvlText w:val="(%1)"/>
      <w:numFmt w:val="lowerLetter"/>
      <w:start w:val="1"/>
    </w:lvl>
  </w:abstractNum>
  <w:abstractNum w:abstractNumId="15">
    <w:nsid w:val="17A1B582"/>
    <w:multiLevelType w:val="hybridMultilevel"/>
    <w:lvl w:ilvl="0">
      <w:lvlJc w:val="left"/>
      <w:lvlText w:val="(%1)"/>
      <w:numFmt w:val="lowerLetter"/>
      <w:start w:val="3"/>
    </w:lvl>
  </w:abstractNum>
  <w:abstractNum w:abstractNumId="16">
    <w:nsid w:val="4DF72E4E"/>
    <w:multiLevelType w:val="hybridMultilevel"/>
    <w:lvl w:ilvl="0">
      <w:lvlJc w:val="left"/>
      <w:lvlText w:val="%1)"/>
      <w:numFmt w:val="lowerLetter"/>
      <w:start w:val="1"/>
    </w:lvl>
  </w:abstractNum>
  <w:abstractNum w:abstractNumId="17">
    <w:nsid w:val="5046B5A9"/>
    <w:multiLevelType w:val="hybridMultilevel"/>
    <w:lvl w:ilvl="0">
      <w:lvlJc w:val="left"/>
      <w:lvlText w:val="%1)"/>
      <w:numFmt w:val="lowerLetter"/>
      <w:start w:val="2"/>
    </w:lvl>
  </w:abstractNum>
  <w:abstractNum w:abstractNumId="18">
    <w:nsid w:val="5D888A08"/>
    <w:multiLevelType w:val="hybridMultilevel"/>
    <w:lvl w:ilvl="0">
      <w:lvlJc w:val="left"/>
      <w:lvlText w:val="(%1)"/>
      <w:numFmt w:val="upperLetter"/>
      <w:start w:val="1"/>
    </w:lvl>
    <w:lvl w:ilvl="1">
      <w:lvlJc w:val="left"/>
      <w:lvlText w:val="%2"/>
      <w:numFmt w:val="upperLetter"/>
      <w:start w:val="1"/>
    </w:lvl>
  </w:abstractNum>
  <w:abstractNum w:abstractNumId="19">
    <w:nsid w:val="2A082C70"/>
    <w:multiLevelType w:val="hybridMultilevel"/>
    <w:lvl w:ilvl="0">
      <w:lvlJc w:val="left"/>
      <w:lvlText w:val="(%1)"/>
      <w:numFmt w:val="upperLetter"/>
      <w:start w:val="24"/>
    </w:lvl>
    <w:lvl w:ilvl="1">
      <w:lvlJc w:val="left"/>
      <w:lvlText w:val="%2"/>
      <w:numFmt w:val="upperLetter"/>
      <w:start w:val="1"/>
    </w:lvl>
  </w:abstractNum>
  <w:abstractNum w:abstractNumId="20">
    <w:nsid w:val="5EC6AFD4"/>
    <w:multiLevelType w:val="hybridMultilevel"/>
    <w:lvl w:ilvl="0">
      <w:lvlJc w:val="left"/>
      <w:lvlText w:val="(%1)"/>
      <w:numFmt w:val="decimal"/>
      <w:start w:val="9"/>
    </w:lvl>
  </w:abstractNum>
  <w:abstractNum w:abstractNumId="21">
    <w:nsid w:val="19E21BB2"/>
    <w:multiLevelType w:val="hybridMultilevel"/>
    <w:lvl w:ilvl="0">
      <w:lvlJc w:val="left"/>
      <w:lvlText w:val="%1"/>
      <w:numFmt w:val="lowerRoman"/>
      <w:start w:val="1"/>
    </w:lvl>
    <w:lvl w:ilvl="1">
      <w:lvlJc w:val="left"/>
      <w:lvlText w:val="%2)"/>
      <w:numFmt w:val="lowerLetter"/>
      <w:start w:val="4"/>
    </w:lvl>
  </w:abstractNum>
  <w:abstractNum w:abstractNumId="22">
    <w:nsid w:val="75E0858A"/>
    <w:multiLevelType w:val="hybridMultilevel"/>
    <w:lvl w:ilvl="0">
      <w:lvlJc w:val="left"/>
      <w:lvlText w:val="%1."/>
      <w:numFmt w:val="lowerRoman"/>
      <w:start w:val="1"/>
    </w:lvl>
    <w:lvl w:ilvl="1">
      <w:lvlJc w:val="left"/>
      <w:lvlText w:val="%2"/>
      <w:numFmt w:val="lowerLetter"/>
      <w:start w:val="1"/>
    </w:lvl>
  </w:abstractNum>
  <w:abstractNum w:abstractNumId="23">
    <w:nsid w:val="57A61A29"/>
    <w:multiLevelType w:val="hybridMultilevel"/>
    <w:lvl w:ilvl="0">
      <w:lvlJc w:val="left"/>
      <w:lvlText w:val="%1"/>
      <w:numFmt w:val="lowerRoman"/>
      <w:start w:val="1"/>
    </w:lvl>
    <w:lvl w:ilvl="1">
      <w:lvlJc w:val="left"/>
      <w:lvlText w:val="%2."/>
      <w:numFmt w:val="lowerRoman"/>
      <w:start w:val="2"/>
    </w:lvl>
  </w:abstractNum>
  <w:abstractNum w:abstractNumId="24">
    <w:nsid w:val="5399C654"/>
    <w:multiLevelType w:val="hybridMultilevel"/>
    <w:lvl w:ilvl="0">
      <w:lvlJc w:val="left"/>
      <w:lvlText w:val="%1."/>
      <w:numFmt w:val="lowerRoman"/>
      <w:start w:val="3"/>
    </w:lvl>
    <w:lvl w:ilvl="1">
      <w:lvlJc w:val="left"/>
      <w:lvlText w:val="%2"/>
      <w:numFmt w:val="lowerRoman"/>
      <w:start w:val="1"/>
    </w:lvl>
  </w:abstractNum>
  <w:abstractNum w:abstractNumId="25">
    <w:nsid w:val="20EE134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5"/>
    </w:lvl>
  </w:abstractNum>
  <w:abstractNum w:abstractNumId="26">
    <w:nsid w:val="4427069A"/>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abstractNum>
  <w:abstractNum w:abstractNumId="27">
    <w:nsid w:val="B37E80A"/>
    <w:multiLevelType w:val="hybridMultilevel"/>
    <w:lvl w:ilvl="0">
      <w:lvlJc w:val="left"/>
      <w:lvlText w:val="%1."/>
      <w:numFmt w:val="lowerRoman"/>
      <w:start w:val="7"/>
    </w:lvl>
    <w:lvl w:ilvl="1">
      <w:lvlJc w:val="left"/>
      <w:lvlText w:val="%2"/>
      <w:numFmt w:val="lowerRoman"/>
      <w:start w:val="1"/>
    </w:lvl>
    <w:lvl w:ilvl="2">
      <w:lvlJc w:val="left"/>
      <w:lvlText w:val="%3"/>
      <w:numFmt w:val="lowerRoman"/>
      <w:start w:val="1"/>
    </w:lvl>
  </w:abstractNum>
  <w:abstractNum w:abstractNumId="28">
    <w:nsid w:val="2157F6BC"/>
    <w:multiLevelType w:val="hybridMultilevel"/>
    <w:lvl w:ilvl="0">
      <w:lvlJc w:val="left"/>
      <w:lvlText w:val="%1."/>
      <w:numFmt w:val="lowerRoman"/>
      <w:start w:val="8"/>
    </w:lvl>
  </w:abstractNum>
  <w:abstractNum w:abstractNumId="29">
    <w:nsid w:val="704E1DD5"/>
    <w:multiLevelType w:val="hybridMultilevel"/>
    <w:lvl w:ilvl="0">
      <w:lvlJc w:val="left"/>
      <w:lvlText w:val="%1)"/>
      <w:numFmt w:val="lowerLetter"/>
      <w:start w:val="5"/>
    </w:lvl>
  </w:abstractNum>
  <w:abstractNum w:abstractNumId="30">
    <w:nsid w:val="57D2F10E"/>
    <w:multiLevelType w:val="hybridMultilevel"/>
    <w:lvl w:ilvl="0">
      <w:lvlJc w:val="left"/>
      <w:lvlText w:val="%1)"/>
      <w:numFmt w:val="lowerLetter"/>
      <w:start w:val="1"/>
    </w:lvl>
  </w:abstractNum>
  <w:abstractNum w:abstractNumId="31">
    <w:nsid w:val="BFFAE18"/>
    <w:multiLevelType w:val="hybridMultilevel"/>
    <w:lvl w:ilvl="0">
      <w:lvlJc w:val="left"/>
      <w:lvlText w:val="%1)"/>
      <w:numFmt w:val="lowerLetter"/>
      <w:start w:val="2"/>
    </w:lvl>
  </w:abstractNum>
  <w:abstractNum w:abstractNumId="32">
    <w:nsid w:val="E3E47A8"/>
    <w:multiLevelType w:val="hybridMultilevel"/>
    <w:lvl w:ilvl="0">
      <w:lvlJc w:val="left"/>
      <w:lvlText w:val="%1)"/>
      <w:numFmt w:val="lowerLetter"/>
      <w:start w:val="4"/>
    </w:lvl>
  </w:abstractNum>
  <w:abstractNum w:abstractNumId="33">
    <w:nsid w:val="2E48F044"/>
    <w:multiLevelType w:val="hybridMultilevel"/>
    <w:lvl w:ilvl="0">
      <w:lvlJc w:val="left"/>
      <w:lvlText w:val="%1)"/>
      <w:numFmt w:val="lowerLetter"/>
      <w:start w:val="5"/>
    </w:lvl>
    <w:lvl w:ilvl="1">
      <w:lvlJc w:val="left"/>
      <w:lvlText w:val="%2."/>
      <w:numFmt w:val="lowerRoman"/>
      <w:start w:val="1"/>
    </w:lvl>
  </w:abstractNum>
  <w:abstractNum w:abstractNumId="34">
    <w:nsid w:val="49D0FEAC"/>
    <w:multiLevelType w:val="hybridMultilevel"/>
    <w:lvl w:ilvl="0">
      <w:lvlJc w:val="left"/>
      <w:lvlText w:val="(%1)"/>
      <w:numFmt w:val="lowerLetter"/>
      <w:start w:val="7"/>
    </w:lvl>
  </w:abstractNum>
  <w:abstractNum w:abstractNumId="35">
    <w:nsid w:val="4BEE5A5B"/>
    <w:multiLevelType w:val="hybridMultilevel"/>
    <w:lvl w:ilvl="0">
      <w:lvlJc w:val="left"/>
      <w:lvlText w:val="%1"/>
      <w:numFmt w:val="lowerLetter"/>
      <w:start w:val="1"/>
    </w:lvl>
    <w:lvl w:ilvl="1">
      <w:lvlJc w:val="left"/>
      <w:lvlText w:val="%2)"/>
      <w:numFmt w:val="lowerLetter"/>
      <w:start w:val="1"/>
    </w:lvl>
  </w:abstractNum>
  <w:abstractNum w:abstractNumId="36">
    <w:nsid w:val="5551B9F3"/>
    <w:multiLevelType w:val="hybridMultilevel"/>
    <w:lvl w:ilvl="0">
      <w:lvlJc w:val="left"/>
      <w:lvlText w:val="%1)"/>
      <w:numFmt w:val="lowerLetter"/>
      <w:start w:val="3"/>
    </w:lvl>
    <w:lvl w:ilvl="1">
      <w:lvlJc w:val="left"/>
      <w:lvlText w:val="%2"/>
      <w:numFmt w:val="lowerLetter"/>
      <w:start w:val="1"/>
    </w:lvl>
  </w:abstractNum>
  <w:abstractNum w:abstractNumId="37">
    <w:nsid w:val="24F6AB8E"/>
    <w:multiLevelType w:val="hybridMultilevel"/>
    <w:lvl w:ilvl="0">
      <w:lvlJc w:val="left"/>
      <w:lvlText w:val="%1"/>
      <w:numFmt w:val="lowerLetter"/>
      <w:start w:val="1"/>
    </w:lvl>
    <w:lvl w:ilvl="1">
      <w:lvlJc w:val="left"/>
      <w:lvlText w:val="%2)"/>
      <w:numFmt w:val="lowerLetter"/>
      <w:start w:val="1"/>
    </w:lvl>
  </w:abstractNum>
  <w:abstractNum w:abstractNumId="38">
    <w:nsid w:val="634C574C"/>
    <w:multiLevelType w:val="hybridMultilevel"/>
    <w:lvl w:ilvl="0">
      <w:lvlJc w:val="left"/>
      <w:lvlText w:val="%1)"/>
      <w:numFmt w:val="lowerLetter"/>
      <w:start w:val="3"/>
    </w:lvl>
    <w:lvl w:ilvl="1">
      <w:lvlJc w:val="left"/>
      <w:lvlText w:val="%2"/>
      <w:numFmt w:val="lowerLetter"/>
      <w:start w:val="1"/>
    </w:lvl>
  </w:abstractNum>
  <w:abstractNum w:abstractNumId="39">
    <w:nsid w:val="24E99DD7"/>
    <w:multiLevelType w:val="hybridMultilevel"/>
    <w:lvl w:ilvl="0">
      <w:lvlJc w:val="left"/>
      <w:lvlText w:val="%1)"/>
      <w:numFmt w:val="lowerLetter"/>
      <w:start w:val="5"/>
    </w:lvl>
  </w:abstractNum>
  <w:abstractNum w:abstractNumId="40">
    <w:nsid w:val="2A31B62D"/>
    <w:multiLevelType w:val="hybridMultilevel"/>
    <w:lvl w:ilvl="0">
      <w:lvlJc w:val="left"/>
      <w:lvlText w:val="%1)"/>
      <w:numFmt w:val="lowerLetter"/>
      <w:start w:val="9"/>
    </w:lvl>
  </w:abstractNum>
  <w:abstractNum w:abstractNumId="41">
    <w:nsid w:val="1849C29B"/>
    <w:multiLevelType w:val="hybridMultilevel"/>
    <w:lvl w:ilvl="0">
      <w:lvlJc w:val="left"/>
      <w:lvlText w:val="(%1)"/>
      <w:numFmt w:val="decimal"/>
      <w:start w:val="1"/>
    </w:lvl>
    <w:lvl w:ilvl="1">
      <w:lvlJc w:val="left"/>
      <w:lvlText w:val="☐"/>
      <w:numFmt w:val="bullet"/>
      <w:start w:val="1"/>
    </w:lvl>
  </w:abstractNum>
  <w:abstractNum w:abstractNumId="42">
    <w:nsid w:val="7DFF9D09"/>
    <w:multiLevelType w:val="hybridMultilevel"/>
    <w:lvl w:ilvl="0">
      <w:lvlJc w:val="left"/>
      <w:lvlText w:val="%1)"/>
      <w:numFmt w:val="lowerLetter"/>
      <w:start w:val="1"/>
    </w:lvl>
  </w:abstractNum>
  <w:abstractNum w:abstractNumId="43">
    <w:nsid w:val="754342"/>
    <w:multiLevelType w:val="hybridMultilevel"/>
    <w:lvl w:ilvl="0">
      <w:lvlJc w:val="left"/>
      <w:lvlText w:val="%1)"/>
      <w:numFmt w:val="lowerLetter"/>
      <w:start w:val="2"/>
    </w:lvl>
  </w:abstractNum>
  <w:abstractNum w:abstractNumId="44">
    <w:nsid w:val="69E7F3E5"/>
    <w:multiLevelType w:val="hybridMultilevel"/>
    <w:lvl w:ilvl="0">
      <w:lvlJc w:val="left"/>
      <w:lvlText w:val="(%1)"/>
      <w:numFmt w:val="upperLetter"/>
      <w:start w:val="1"/>
    </w:lvl>
    <w:lvl w:ilvl="1">
      <w:lvlJc w:val="left"/>
      <w:lvlText w:val="%2"/>
      <w:numFmt w:val="upperLetter"/>
      <w:start w:val="1"/>
    </w:lvl>
  </w:abstractNum>
  <w:abstractNum w:abstractNumId="45">
    <w:nsid w:val="2A6DE806"/>
    <w:multiLevelType w:val="hybridMultilevel"/>
    <w:lvl w:ilvl="0">
      <w:lvlJc w:val="left"/>
      <w:lvlText w:val="(%1)"/>
      <w:numFmt w:val="upperLetter"/>
      <w:start w:val="24"/>
    </w:lvl>
    <w:lvl w:ilvl="1">
      <w:lvlJc w:val="left"/>
      <w:lvlText w:val="%2"/>
      <w:numFmt w:val="upperLetter"/>
      <w:start w:val="1"/>
    </w:lvl>
  </w:abstractNum>
  <w:abstractNum w:abstractNumId="46">
    <w:nsid w:val="1816F8C4"/>
    <w:multiLevelType w:val="hybridMultilevel"/>
    <w:lvl w:ilvl="0">
      <w:lvlJc w:val="left"/>
      <w:lvlText w:val="(%1)"/>
      <w:numFmt w:val="decimal"/>
      <w:start w:val="9"/>
    </w:lvl>
  </w:abstractNum>
  <w:abstractNum w:abstractNumId="47">
    <w:nsid w:val="37DF2233"/>
    <w:multiLevelType w:val="hybridMultilevel"/>
    <w:lvl w:ilvl="0">
      <w:lvlJc w:val="left"/>
      <w:lvlText w:val="%1"/>
      <w:numFmt w:val="lowerRoman"/>
      <w:start w:val="1"/>
    </w:lvl>
    <w:lvl w:ilvl="1">
      <w:lvlJc w:val="left"/>
      <w:lvlText w:val="%2)"/>
      <w:numFmt w:val="lowerLetter"/>
      <w:start w:val="4"/>
    </w:lvl>
  </w:abstractNum>
  <w:abstractNum w:abstractNumId="48">
    <w:nsid w:val="7AB49DAF"/>
    <w:multiLevelType w:val="hybridMultilevel"/>
    <w:lvl w:ilvl="0">
      <w:lvlJc w:val="left"/>
      <w:lvlText w:val="%1."/>
      <w:numFmt w:val="lowerRoman"/>
      <w:start w:val="1"/>
    </w:lvl>
    <w:lvl w:ilvl="1">
      <w:lvlJc w:val="left"/>
      <w:lvlText w:val="%2"/>
      <w:numFmt w:val="lowerLetter"/>
      <w:start w:val="1"/>
    </w:lvl>
  </w:abstractNum>
  <w:abstractNum w:abstractNumId="49">
    <w:nsid w:val="759F82CD"/>
    <w:multiLevelType w:val="hybridMultilevel"/>
    <w:lvl w:ilvl="0">
      <w:lvlJc w:val="left"/>
      <w:lvlText w:val="%1"/>
      <w:numFmt w:val="lowerRoman"/>
      <w:start w:val="1"/>
    </w:lvl>
    <w:lvl w:ilvl="1">
      <w:lvlJc w:val="left"/>
      <w:lvlText w:val="%2."/>
      <w:numFmt w:val="lowerRoman"/>
      <w:start w:val="2"/>
    </w:lvl>
  </w:abstractNum>
  <w:abstractNum w:abstractNumId="50">
    <w:nsid w:val="61E74EA3"/>
    <w:multiLevelType w:val="hybridMultilevel"/>
    <w:lvl w:ilvl="0">
      <w:lvlJc w:val="left"/>
      <w:lvlText w:val="%1."/>
      <w:numFmt w:val="lowerRoman"/>
      <w:start w:val="3"/>
    </w:lvl>
    <w:lvl w:ilvl="1">
      <w:lvlJc w:val="left"/>
      <w:lvlText w:val="%2"/>
      <w:numFmt w:val="lowerRoman"/>
      <w:start w:val="1"/>
    </w:lvl>
  </w:abstractNum>
  <w:abstractNum w:abstractNumId="51">
    <w:nsid w:val="597B4D84"/>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5"/>
    </w:lvl>
  </w:abstractNum>
  <w:abstractNum w:abstractNumId="52">
    <w:nsid w:val="F819E7F"/>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abstractNum>
  <w:abstractNum w:abstractNumId="53">
    <w:nsid w:val="57C7D42D"/>
    <w:multiLevelType w:val="hybridMultilevel"/>
    <w:lvl w:ilvl="0">
      <w:lvlJc w:val="left"/>
      <w:lvlText w:val="%1."/>
      <w:numFmt w:val="lowerRoman"/>
      <w:start w:val="7"/>
    </w:lvl>
    <w:lvl w:ilvl="1">
      <w:lvlJc w:val="left"/>
      <w:lvlText w:val="%2"/>
      <w:numFmt w:val="lowerRoman"/>
      <w:start w:val="1"/>
    </w:lvl>
    <w:lvl w:ilvl="2">
      <w:lvlJc w:val="left"/>
      <w:lvlText w:val="%3"/>
      <w:numFmt w:val="lowerRoman"/>
      <w:start w:val="1"/>
    </w:lvl>
  </w:abstractNum>
  <w:abstractNum w:abstractNumId="54">
    <w:nsid w:val="312167AD"/>
    <w:multiLevelType w:val="hybridMultilevel"/>
    <w:lvl w:ilvl="0">
      <w:lvlJc w:val="left"/>
      <w:lvlText w:val="%1."/>
      <w:numFmt w:val="lowerRoman"/>
      <w:start w:val="8"/>
    </w:lvl>
  </w:abstractNum>
  <w:abstractNum w:abstractNumId="55">
    <w:nsid w:val="631B64D4"/>
    <w:multiLevelType w:val="hybridMultilevel"/>
    <w:lvl w:ilvl="0">
      <w:lvlJc w:val="left"/>
      <w:lvlText w:val="%1)"/>
      <w:numFmt w:val="lowerLetter"/>
      <w:start w:val="5"/>
    </w:lvl>
  </w:abstractNum>
  <w:abstractNum w:abstractNumId="56">
    <w:nsid w:val="78B5E776"/>
    <w:multiLevelType w:val="hybridMultilevel"/>
    <w:lvl w:ilvl="0">
      <w:lvlJc w:val="left"/>
      <w:lvlText w:val="%1)"/>
      <w:numFmt w:val="lowerLetter"/>
      <w:start w:val="1"/>
    </w:lvl>
  </w:abstractNum>
  <w:abstractNum w:abstractNumId="57">
    <w:nsid w:val="75486E47"/>
    <w:multiLevelType w:val="hybridMultilevel"/>
    <w:lvl w:ilvl="0">
      <w:lvlJc w:val="left"/>
      <w:lvlText w:val="%1)"/>
      <w:numFmt w:val="lowerLetter"/>
      <w:start w:val="2"/>
    </w:lvl>
  </w:abstractNum>
  <w:abstractNum w:abstractNumId="58">
    <w:nsid w:val="6E534CDE"/>
    <w:multiLevelType w:val="hybridMultilevel"/>
    <w:lvl w:ilvl="0">
      <w:lvlJc w:val="left"/>
      <w:lvlText w:val="%1)"/>
      <w:numFmt w:val="lowerLetter"/>
      <w:start w:val="4"/>
    </w:lvl>
  </w:abstractNum>
  <w:abstractNum w:abstractNumId="59">
    <w:nsid w:val="1A0DDE32"/>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abstractNum>
  <w:abstractNum w:abstractNumId="60">
    <w:nsid w:val="65968C1C"/>
    <w:multiLevelType w:val="hybridMultilevel"/>
    <w:lvl w:ilvl="0">
      <w:lvlJc w:val="left"/>
      <w:lvlText w:val="%1)"/>
      <w:numFmt w:val="lowerLetter"/>
      <w:start w:val="1"/>
    </w:lvl>
  </w:abstractNum>
  <w:abstractNum w:abstractNumId="61">
    <w:nsid w:val="46263DEC"/>
    <w:multiLevelType w:val="hybridMultilevel"/>
    <w:lvl w:ilvl="0">
      <w:lvlJc w:val="left"/>
      <w:lvlText w:val="%1)"/>
      <w:numFmt w:val="lowerLetter"/>
      <w:start w:val="3"/>
    </w:lvl>
  </w:abstractNum>
  <w:abstractNum w:abstractNumId="62">
    <w:nsid w:val="260D8C4A"/>
    <w:multiLevelType w:val="hybridMultilevel"/>
    <w:lvl w:ilvl="0">
      <w:lvlJc w:val="left"/>
      <w:lvlText w:val="%1"/>
      <w:numFmt w:val="lowerLetter"/>
      <w:start w:val="1"/>
    </w:lvl>
    <w:lvl w:ilvl="1">
      <w:lvlJc w:val="left"/>
      <w:lvlText w:val="%2)"/>
      <w:numFmt w:val="lowerLetter"/>
      <w:start w:val="1"/>
    </w:lvl>
  </w:abstractNum>
  <w:abstractNum w:abstractNumId="63">
    <w:nsid w:val="73D4D3C4"/>
    <w:multiLevelType w:val="hybridMultilevel"/>
    <w:lvl w:ilvl="0">
      <w:lvlJc w:val="left"/>
      <w:lvlText w:val="%1)"/>
      <w:numFmt w:val="lowerLetter"/>
      <w:start w:val="3"/>
    </w:lvl>
    <w:lvl w:ilvl="1">
      <w:lvlJc w:val="left"/>
      <w:lvlText w:val="%2"/>
      <w:numFmt w:val="lowerLetter"/>
      <w:start w:val="1"/>
    </w:lvl>
  </w:abstractNum>
  <w:abstractNum w:abstractNumId="64">
    <w:nsid w:val="746F2E30"/>
    <w:multiLevelType w:val="hybridMultilevel"/>
    <w:lvl w:ilvl="0">
      <w:lvlJc w:val="left"/>
      <w:lvlText w:val="%1)"/>
      <w:numFmt w:val="lowerLetter"/>
      <w:start w:val="5"/>
    </w:lvl>
  </w:abstractNum>
  <w:abstractNum w:abstractNumId="65">
    <w:nsid w:val="6FDE8AF6"/>
    <w:multiLevelType w:val="hybridMultilevel"/>
    <w:lvl w:ilvl="0">
      <w:lvlJc w:val="left"/>
      <w:lvlText w:val="%1)"/>
      <w:numFmt w:val="lowerLetter"/>
      <w:start w:val="9"/>
    </w:lvl>
  </w:abstractNum>
  <w:abstractNum w:abstractNumId="66">
    <w:nsid w:val="3FC32E20"/>
    <w:multiLevelType w:val="hybridMultilevel"/>
    <w:lvl w:ilvl="0">
      <w:lvlJc w:val="left"/>
      <w:lvlText w:val="(%1)"/>
      <w:numFmt w:val="decimal"/>
      <w:start w:val="1"/>
    </w:lvl>
    <w:lvl w:ilvl="1">
      <w:lvlJc w:val="left"/>
      <w:lvlText w:val="☐"/>
      <w:numFmt w:val="bullet"/>
      <w:start w:val="1"/>
    </w:lvl>
  </w:abstractNum>
  <w:abstractNum w:abstractNumId="67">
    <w:nsid w:val="49C0E823"/>
    <w:multiLevelType w:val="hybridMultilevel"/>
    <w:lvl w:ilvl="0">
      <w:lvlJc w:val="left"/>
      <w:lvlText w:val="%1)"/>
      <w:numFmt w:val="lowerLetter"/>
      <w:start w:val="1"/>
    </w:lvl>
  </w:abstractNum>
  <w:abstractNum w:abstractNumId="68">
    <w:nsid w:val="14D53685"/>
    <w:multiLevelType w:val="hybridMultilevel"/>
    <w:lvl w:ilvl="0">
      <w:lvlJc w:val="left"/>
      <w:lvlText w:val="%1)"/>
      <w:numFmt w:val="lowerLetter"/>
      <w:start w:val="2"/>
    </w:lvl>
    <w:lvl w:ilvl="1">
      <w:lvlJc w:val="left"/>
      <w:lvlText w:val="(%2)"/>
      <w:numFmt w:val="upperLetter"/>
      <w:start w:val="1"/>
    </w:lvl>
  </w:abstractNum>
  <w:abstractNum w:abstractNumId="69">
    <w:nsid w:val="230F856C"/>
    <w:multiLevelType w:val="hybridMultilevel"/>
    <w:lvl w:ilvl="0">
      <w:lvlJc w:val="left"/>
      <w:lvlText w:val="(%1)"/>
      <w:numFmt w:val="upperLetter"/>
      <w:start w:val="24"/>
    </w:lvl>
  </w:abstractNum>
  <w:abstractNum w:abstractNumId="70">
    <w:nsid w:val="6EAA85FB"/>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lvl w:ilvl="3">
      <w:lvlJc w:val="left"/>
      <w:lvlText w:val="%4."/>
      <w:numFmt w:val="lowerRoman"/>
      <w:start w:val="3"/>
    </w:lvl>
  </w:abstractNum>
  <w:abstractNum w:abstractNumId="71">
    <w:nsid w:val="3F06ECB2"/>
    <w:multiLevelType w:val="hybridMultilevel"/>
    <w:lvl w:ilvl="0">
      <w:lvlJc w:val="left"/>
      <w:lvlText w:val="%1"/>
      <w:numFmt w:val="lowerLetter"/>
      <w:start w:val="1"/>
    </w:lvl>
    <w:lvl w:ilvl="1">
      <w:lvlJc w:val="left"/>
      <w:lvlText w:val="%2."/>
      <w:numFmt w:val="lowerRoman"/>
      <w:start w:val="5"/>
    </w:lvl>
  </w:abstractNum>
  <w:abstractNum w:abstractNumId="72">
    <w:nsid w:val="3B594807"/>
    <w:multiLevelType w:val="hybridMultilevel"/>
    <w:lvl w:ilvl="0">
      <w:lvlJc w:val="left"/>
      <w:lvlText w:val="%1)"/>
      <w:numFmt w:val="lowerLetter"/>
      <w:start w:val="5"/>
    </w:lvl>
    <w:lvl w:ilvl="1">
      <w:lvlJc w:val="left"/>
      <w:lvlText w:val="%2"/>
      <w:numFmt w:val="lowerRoman"/>
      <w:start w:val="1"/>
    </w:lvl>
  </w:abstractNum>
  <w:abstractNum w:abstractNumId="73">
    <w:nsid w:val="6CAA2304"/>
    <w:multiLevelType w:val="hybridMultilevel"/>
    <w:lvl w:ilvl="0">
      <w:lvlJc w:val="left"/>
      <w:lvlText w:val="%1)"/>
      <w:numFmt w:val="lowerLetter"/>
      <w:start w:val="1"/>
    </w:lvl>
  </w:abstractNum>
  <w:abstractNum w:abstractNumId="74">
    <w:nsid w:val="3F7C2FF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75">
    <w:nsid w:val="25413BEC"/>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76">
    <w:nsid w:val="17180B0B"/>
    <w:multiLevelType w:val="hybridMultilevel"/>
    <w:lvl w:ilvl="0">
      <w:lvlJc w:val="left"/>
      <w:lvlText w:val="%1."/>
      <w:numFmt w:val="lowerRoman"/>
      <w:start w:val="2"/>
    </w:lvl>
  </w:abstractNum>
  <w:abstractNum w:abstractNumId="77">
    <w:nsid w:val="579328B9"/>
    <w:multiLevelType w:val="hybridMultilevel"/>
    <w:lvl w:ilvl="0">
      <w:lvlJc w:val="left"/>
      <w:lvlText w:val="%1)"/>
      <w:numFmt w:val="lowerLetter"/>
      <w:start w:val="1"/>
    </w:lvl>
  </w:abstractNum>
  <w:abstractNum w:abstractNumId="78">
    <w:nsid w:val="5D205E20"/>
    <w:multiLevelType w:val="hybridMultilevel"/>
    <w:lvl w:ilvl="0">
      <w:lvlJc w:val="left"/>
      <w:lvlText w:val="%1)"/>
      <w:numFmt w:val="lowerLetter"/>
      <w:start w:val="4"/>
    </w:lvl>
  </w:abstractNum>
  <w:abstractNum w:abstractNumId="79">
    <w:nsid w:val="11CCA8BA"/>
    <w:multiLevelType w:val="hybridMultilevel"/>
    <w:lvl w:ilvl="0">
      <w:lvlJc w:val="left"/>
      <w:lvlText w:val="(%1)"/>
      <w:numFmt w:val="decimal"/>
      <w:start w:val="2"/>
    </w:lvl>
  </w:abstractNum>
  <w:abstractNum w:abstractNumId="80">
    <w:nsid w:val="4D32AB86"/>
    <w:multiLevelType w:val="hybridMultilevel"/>
    <w:lvl w:ilvl="0">
      <w:lvlJc w:val="left"/>
      <w:lvlText w:val="%1)"/>
      <w:numFmt w:val="lowerLetter"/>
      <w:start w:val="1"/>
    </w:lvl>
  </w:abstractNum>
  <w:abstractNum w:abstractNumId="81">
    <w:nsid w:val="3F07ACC3"/>
    <w:multiLevelType w:val="hybridMultilevel"/>
    <w:lvl w:ilvl="0">
      <w:lvlJc w:val="left"/>
      <w:lvlText w:val="%1)"/>
      <w:numFmt w:val="lowerLetter"/>
      <w:start w:val="5"/>
    </w:lvl>
  </w:abstractNum>
  <w:abstractNum w:abstractNumId="82">
    <w:nsid w:val="6B47F63E"/>
    <w:multiLevelType w:val="hybridMultilevel"/>
    <w:lvl w:ilvl="0">
      <w:lvlJc w:val="left"/>
      <w:lvlText w:val="%1)"/>
      <w:numFmt w:val="lowerLetter"/>
      <w:start w:val="7"/>
    </w:lvl>
  </w:abstractNum>
  <w:abstractNum w:abstractNumId="83">
    <w:nsid w:val="5CB44A05"/>
    <w:multiLevelType w:val="hybridMultilevel"/>
    <w:lvl w:ilvl="0">
      <w:lvlJc w:val="left"/>
      <w:lvlText w:val="(%1)"/>
      <w:numFmt w:val="decimal"/>
      <w:start w:val="1"/>
    </w:lvl>
  </w:abstractNum>
  <w:abstractNum w:abstractNumId="84">
    <w:nsid w:val="16CF80F1"/>
    <w:multiLevelType w:val="hybridMultilevel"/>
    <w:lvl w:ilvl="0">
      <w:lvlJc w:val="left"/>
      <w:lvlText w:val="(%1)"/>
      <w:numFmt w:val="decimal"/>
      <w:start w:val="2"/>
    </w:lvl>
    <w:lvl w:ilvl="1">
      <w:lvlJc w:val="left"/>
      <w:lvlText w:val="["/>
      <w:numFmt w:val="bullet"/>
      <w:start w:val="1"/>
    </w:lvl>
  </w:abstractNum>
  <w:abstractNum w:abstractNumId="85">
    <w:nsid w:val="1C695DEC"/>
    <w:multiLevelType w:val="hybridMultilevel"/>
    <w:lvl w:ilvl="0">
      <w:lvlJc w:val="left"/>
      <w:lvlText w:val="(%1)"/>
      <w:numFmt w:val="lowerRoman"/>
      <w:start w:val="3"/>
    </w:lvl>
  </w:abstractNum>
  <w:abstractNum w:abstractNumId="86">
    <w:nsid w:val="3FCFAED9"/>
    <w:multiLevelType w:val="hybridMultilevel"/>
    <w:lvl w:ilvl="0">
      <w:lvlJc w:val="left"/>
      <w:lvlText w:val="%1)"/>
      <w:numFmt w:val="lowerLetter"/>
      <w:start w:val="1"/>
    </w:lvl>
  </w:abstractNum>
  <w:abstractNum w:abstractNumId="87">
    <w:nsid w:val="F856867"/>
    <w:multiLevelType w:val="hybridMultilevel"/>
    <w:lvl w:ilvl="0">
      <w:lvlJc w:val="left"/>
      <w:lvlText w:val="%1)"/>
      <w:numFmt w:val="lowerLetter"/>
      <w:start w:val="2"/>
    </w:lvl>
  </w:abstractNum>
  <w:abstractNum w:abstractNumId="88">
    <w:nsid w:val="11B1CC33"/>
    <w:multiLevelType w:val="hybridMultilevel"/>
    <w:lvl w:ilvl="0">
      <w:lvlJc w:val="left"/>
      <w:lvlText w:val="(%1)"/>
      <w:numFmt w:val="upperLetter"/>
      <w:start w:val="1"/>
    </w:lvl>
    <w:lvl w:ilvl="1">
      <w:lvlJc w:val="left"/>
      <w:lvlText w:val="%2"/>
      <w:numFmt w:val="upperLetter"/>
      <w:start w:val="1"/>
    </w:lvl>
  </w:abstractNum>
  <w:abstractNum w:abstractNumId="89">
    <w:nsid w:val="2E22FBB7"/>
    <w:multiLevelType w:val="hybridMultilevel"/>
    <w:lvl w:ilvl="0">
      <w:lvlJc w:val="left"/>
      <w:lvlText w:val="(%1)"/>
      <w:numFmt w:val="upperLetter"/>
      <w:start w:val="24"/>
    </w:lvl>
    <w:lvl w:ilvl="1">
      <w:lvlJc w:val="left"/>
      <w:lvlText w:val="%2"/>
      <w:numFmt w:val="upperLetter"/>
      <w:start w:val="1"/>
    </w:lvl>
  </w:abstractNum>
  <w:abstractNum w:abstractNumId="90">
    <w:nsid w:val="29934699"/>
    <w:multiLevelType w:val="hybridMultilevel"/>
    <w:lvl w:ilvl="0">
      <w:lvlJc w:val="left"/>
      <w:lvlText w:val="(%1)"/>
      <w:numFmt w:val="decimal"/>
      <w:start w:val="9"/>
    </w:lvl>
  </w:abstractNum>
  <w:abstractNum w:abstractNumId="91">
    <w:nsid w:val="77485850"/>
    <w:multiLevelType w:val="hybridMultilevel"/>
    <w:lvl w:ilvl="0">
      <w:lvlJc w:val="left"/>
      <w:lvlText w:val="%1"/>
      <w:numFmt w:val="lowerRoman"/>
      <w:start w:val="1"/>
    </w:lvl>
    <w:lvl w:ilvl="1">
      <w:lvlJc w:val="left"/>
      <w:lvlText w:val="%2)"/>
      <w:numFmt w:val="lowerLetter"/>
      <w:start w:val="4"/>
    </w:lvl>
  </w:abstractNum>
  <w:abstractNum w:abstractNumId="92">
    <w:nsid w:val="744939A3"/>
    <w:multiLevelType w:val="hybridMultilevel"/>
    <w:lvl w:ilvl="0">
      <w:lvlJc w:val="left"/>
      <w:lvlText w:val="%1."/>
      <w:numFmt w:val="lowerRoman"/>
      <w:start w:val="1"/>
    </w:lvl>
    <w:lvl w:ilvl="1">
      <w:lvlJc w:val="left"/>
      <w:lvlText w:val="%2"/>
      <w:numFmt w:val="lowerLetter"/>
      <w:start w:val="1"/>
    </w:lvl>
  </w:abstractNum>
  <w:abstractNum w:abstractNumId="93">
    <w:nsid w:val="4FA0D2E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94">
    <w:nsid w:val="6B1D2C14"/>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1"/>
    </w:lvl>
  </w:abstractNum>
  <w:abstractNum w:abstractNumId="95">
    <w:nsid w:val="68B867D3"/>
    <w:multiLevelType w:val="hybridMultilevel"/>
    <w:lvl w:ilvl="0">
      <w:lvlJc w:val="left"/>
      <w:lvlText w:val="%1"/>
      <w:numFmt w:val="lowerRoman"/>
      <w:start w:val="1"/>
    </w:lvl>
    <w:lvl w:ilvl="1">
      <w:lvlJc w:val="left"/>
      <w:lvlText w:val="%2."/>
      <w:numFmt w:val="lowerRoman"/>
      <w:start w:val="6"/>
    </w:lvl>
  </w:abstractNum>
  <w:abstractNum w:abstractNumId="96">
    <w:nsid w:val="3F7F5DD9"/>
    <w:multiLevelType w:val="hybridMultilevel"/>
    <w:lvl w:ilvl="0">
      <w:lvlJc w:val="left"/>
      <w:lvlText w:val="%1."/>
      <w:numFmt w:val="lowerRoman"/>
      <w:start w:val="7"/>
    </w:lvl>
    <w:lvl w:ilvl="1">
      <w:lvlJc w:val="left"/>
      <w:lvlText w:val="%2"/>
      <w:numFmt w:val="lowerRoman"/>
      <w:start w:val="1"/>
    </w:lvl>
  </w:abstractNum>
  <w:abstractNum w:abstractNumId="97">
    <w:nsid w:val="2AE05A34"/>
    <w:multiLevelType w:val="hybridMultilevel"/>
    <w:lvl w:ilvl="0">
      <w:lvlJc w:val="left"/>
      <w:lvlText w:val="%1"/>
      <w:numFmt w:val="lowerLetter"/>
      <w:start w:val="1"/>
    </w:lvl>
    <w:lvl w:ilvl="1">
      <w:lvlJc w:val="left"/>
      <w:lvlText w:val="%2."/>
      <w:numFmt w:val="lowerRoman"/>
      <w:start w:val="8"/>
    </w:lvl>
  </w:abstractNum>
  <w:abstractNum w:abstractNumId="98">
    <w:nsid w:val="32794FF7"/>
    <w:multiLevelType w:val="hybridMultilevel"/>
    <w:lvl w:ilvl="0">
      <w:lvlJc w:val="left"/>
      <w:lvlText w:val="%1)"/>
      <w:numFmt w:val="lowerLetter"/>
      <w:start w:val="5"/>
    </w:lvl>
    <w:lvl w:ilvl="1">
      <w:lvlJc w:val="left"/>
      <w:lvlText w:val="%2"/>
      <w:numFmt w:val="lowerRoman"/>
      <w:start w:val="1"/>
    </w:lvl>
  </w:abstractNum>
  <w:abstractNum w:abstractNumId="99">
    <w:nsid w:val="5454945E"/>
    <w:multiLevelType w:val="hybridMultilevel"/>
    <w:lvl w:ilvl="0">
      <w:lvlJc w:val="left"/>
      <w:lvlText w:val="(%1)"/>
      <w:numFmt w:val="upperLetter"/>
      <w:start w:val="1"/>
    </w:lvl>
  </w:abstractNum>
  <w:abstractNum w:abstractNumId="100">
    <w:nsid w:val="4DEFDFA0"/>
    <w:multiLevelType w:val="hybridMultilevel"/>
    <w:lvl w:ilvl="0">
      <w:lvlJc w:val="left"/>
      <w:lvlText w:val="%1)"/>
      <w:numFmt w:val="lowerLetter"/>
      <w:start w:val="1"/>
    </w:lvl>
  </w:abstractNum>
  <w:abstractNum w:abstractNumId="101">
    <w:nsid w:val="2123D5F2"/>
    <w:multiLevelType w:val="hybridMultilevel"/>
    <w:lvl w:ilvl="0">
      <w:lvlJc w:val="left"/>
      <w:lvlText w:val="%1)"/>
      <w:numFmt w:val="lowerLetter"/>
      <w:start w:val="3"/>
    </w:lvl>
  </w:abstractNum>
  <w:abstractNum w:abstractNumId="102">
    <w:nsid w:val="135B8110"/>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abstractNum>
  <w:abstractNum w:abstractNumId="103">
    <w:nsid w:val="94927A8"/>
    <w:multiLevelType w:val="hybridMultilevel"/>
    <w:lvl w:ilvl="0">
      <w:lvlJc w:val="left"/>
      <w:lvlText w:val="%1)"/>
      <w:numFmt w:val="lowerLetter"/>
      <w:start w:val="7"/>
    </w:lvl>
  </w:abstractNum>
  <w:abstractNum w:abstractNumId="104">
    <w:nsid w:val="DCDF8F6"/>
    <w:multiLevelType w:val="hybridMultilevel"/>
    <w:lvl w:ilvl="0">
      <w:lvlJc w:val="left"/>
      <w:lvlText w:val="%1"/>
      <w:numFmt w:val="lowerLetter"/>
      <w:start w:val="1"/>
    </w:lvl>
    <w:lvl w:ilvl="1">
      <w:lvlJc w:val="left"/>
      <w:lvlText w:val="%2)"/>
      <w:numFmt w:val="lowerLetter"/>
      <w:start w:val="1"/>
    </w:lvl>
  </w:abstractNum>
  <w:abstractNum w:abstractNumId="105">
    <w:nsid w:val="52D7B105"/>
    <w:multiLevelType w:val="hybridMultilevel"/>
    <w:lvl w:ilvl="0">
      <w:lvlJc w:val="left"/>
      <w:lvlText w:val="%1)"/>
      <w:numFmt w:val="lowerLetter"/>
      <w:start w:val="3"/>
    </w:lvl>
    <w:lvl w:ilvl="1">
      <w:lvlJc w:val="left"/>
      <w:lvlText w:val="%2"/>
      <w:numFmt w:val="lowerLetter"/>
      <w:start w:val="1"/>
    </w:lvl>
  </w:abstractNum>
  <w:abstractNum w:abstractNumId="106">
    <w:nsid w:val="2E8A6394"/>
    <w:multiLevelType w:val="hybridMultilevel"/>
    <w:lvl w:ilvl="0">
      <w:lvlJc w:val="left"/>
      <w:lvlText w:val="%1."/>
      <w:numFmt w:val="lowerRoman"/>
      <w:start w:val="1"/>
    </w:lvl>
  </w:abstractNum>
  <w:abstractNum w:abstractNumId="107">
    <w:nsid w:val="24E60401"/>
    <w:multiLevelType w:val="hybridMultilevel"/>
    <w:lvl w:ilvl="0">
      <w:lvlJc w:val="left"/>
      <w:lvlText w:val="%1"/>
      <w:numFmt w:val="lowerLetter"/>
      <w:start w:val="1"/>
    </w:lvl>
    <w:lvl w:ilvl="1">
      <w:lvlJc w:val="left"/>
      <w:lvlText w:val="%2)"/>
      <w:numFmt w:val="lowerLetter"/>
      <w:start w:val="1"/>
    </w:lvl>
  </w:abstractNum>
  <w:abstractNum w:abstractNumId="108">
    <w:nsid w:val="2A6AD9BE"/>
    <w:multiLevelType w:val="hybridMultilevel"/>
    <w:lvl w:ilvl="0">
      <w:lvlJc w:val="left"/>
      <w:lvlText w:val="%1)"/>
      <w:numFmt w:val="lowerLetter"/>
      <w:start w:val="3"/>
    </w:lvl>
    <w:lvl w:ilvl="1">
      <w:lvlJc w:val="left"/>
      <w:lvlText w:val="%2"/>
      <w:numFmt w:val="lowerLetter"/>
      <w:start w:val="1"/>
    </w:lvl>
  </w:abstractNum>
  <w:abstractNum w:abstractNumId="109">
    <w:nsid w:val="BAAC1B4"/>
    <w:multiLevelType w:val="hybridMultilevel"/>
    <w:lvl w:ilvl="0">
      <w:lvlJc w:val="left"/>
      <w:lvlText w:val="%1)"/>
      <w:numFmt w:val="lowerLetter"/>
      <w:start w:val="5"/>
    </w:lvl>
  </w:abstractNum>
  <w:abstractNum w:abstractNumId="110">
    <w:nsid w:val="36B2ACBC"/>
    <w:multiLevelType w:val="hybridMultilevel"/>
    <w:lvl w:ilvl="0">
      <w:lvlJc w:val="left"/>
      <w:lvlText w:val="%1)"/>
      <w:numFmt w:val="lowerLetter"/>
      <w:start w:val="13"/>
    </w:lvl>
  </w:abstractNum>
  <w:abstractNum w:abstractNumId="111">
    <w:nsid w:val="779D8544"/>
    <w:multiLevelType w:val="hybridMultilevel"/>
    <w:lvl w:ilvl="0">
      <w:lvlJc w:val="left"/>
      <w:lvlText w:val="(%1)"/>
      <w:numFmt w:val="decimal"/>
      <w:start w:val="1"/>
    </w:lvl>
  </w:abstractNum>
  <w:abstractNum w:abstractNumId="112">
    <w:nsid w:val="4AB26E78"/>
    <w:multiLevelType w:val="hybridMultilevel"/>
    <w:lvl w:ilvl="0">
      <w:lvlJc w:val="left"/>
      <w:lvlText w:val="(%1)"/>
      <w:numFmt w:val="decimal"/>
      <w:start w:val="2"/>
    </w:lvl>
    <w:lvl w:ilvl="1">
      <w:lvlJc w:val="left"/>
      <w:lvlText w:val="["/>
      <w:numFmt w:val="bullet"/>
      <w:start w:val="1"/>
    </w:lvl>
  </w:abstractNum>
  <w:abstractNum w:abstractNumId="113">
    <w:nsid w:val="21FAA2FA"/>
    <w:multiLevelType w:val="hybridMultilevel"/>
    <w:lvl w:ilvl="0">
      <w:lvlJc w:val="left"/>
      <w:lvlText w:val="(%1)"/>
      <w:numFmt w:val="lowerLetter"/>
      <w:start w:val="1"/>
    </w:lvl>
    <w:lvl w:ilvl="1">
      <w:lvlJc w:val="left"/>
      <w:lvlText w:val="(%2)"/>
      <w:numFmt w:val="lowerRoman"/>
      <w:start w:val="1"/>
    </w:lvl>
  </w:abstractNum>
  <w:abstractNum w:abstractNumId="114">
    <w:nsid w:val="5451CF49"/>
    <w:multiLevelType w:val="hybridMultilevel"/>
    <w:lvl w:ilvl="0">
      <w:lvlJc w:val="left"/>
      <w:lvlText w:val="%1"/>
      <w:numFmt w:val="lowerLetter"/>
      <w:start w:val="1"/>
    </w:lvl>
    <w:lvl w:ilvl="1">
      <w:lvlJc w:val="left"/>
      <w:lvlText w:val="(%2)"/>
      <w:numFmt w:val="lowerRoman"/>
      <w:start w:val="6"/>
    </w:lvl>
  </w:abstractNum>
  <w:abstractNum w:abstractNumId="115">
    <w:nsid w:val="6181EF69"/>
    <w:multiLevelType w:val="hybridMultilevel"/>
    <w:lvl w:ilvl="0">
      <w:lvlJc w:val="left"/>
      <w:lvlText w:val="(%1)"/>
      <w:numFmt w:val="lowerLetter"/>
      <w:start w:val="2"/>
    </w:lvl>
    <w:lvl w:ilvl="1">
      <w:lvlJc w:val="left"/>
      <w:lvlText w:val="(%2)"/>
      <w:numFmt w:val="lowerRoman"/>
      <w:start w:val="1"/>
    </w:lvl>
  </w:abstractNum>
  <w:abstractNum w:abstractNumId="116">
    <w:nsid w:val="3E6400E6"/>
    <w:multiLevelType w:val="hybridMultilevel"/>
    <w:lvl w:ilvl="0">
      <w:lvlJc w:val="left"/>
      <w:lvlText w:val="(%1)"/>
      <w:numFmt w:val="lowerLetter"/>
      <w:start w:val="1"/>
    </w:lvl>
    <w:lvl w:ilvl="1">
      <w:lvlJc w:val="left"/>
      <w:lvlText w:val="(%2)"/>
      <w:numFmt w:val="lowerLetter"/>
      <w:start w:val="9"/>
    </w:lvl>
  </w:abstractNum>
  <w:abstractNum w:abstractNumId="117">
    <w:nsid w:val="14217E23"/>
    <w:multiLevelType w:val="hybridMultilevel"/>
    <w:lvl w:ilvl="0">
      <w:lvlJc w:val="left"/>
      <w:lvlText w:val="%1"/>
      <w:numFmt w:val="lowerLetter"/>
      <w:start w:val="1"/>
    </w:lvl>
    <w:lvl w:ilvl="1">
      <w:lvlJc w:val="left"/>
      <w:lvlText w:val="(%2)"/>
      <w:numFmt w:val="lowerRoman"/>
      <w:start w:val="2"/>
    </w:lvl>
  </w:abstractNum>
  <w:abstractNum w:abstractNumId="118">
    <w:nsid w:val="710757D0"/>
    <w:multiLevelType w:val="hybridMultilevel"/>
    <w:lvl w:ilvl="0">
      <w:lvlJc w:val="left"/>
      <w:lvlText w:val="(%1)"/>
      <w:numFmt w:val="lowerLetter"/>
      <w:start w:val="2"/>
    </w:lvl>
    <w:lvl w:ilvl="1">
      <w:lvlJc w:val="left"/>
      <w:lvlText w:val="%2"/>
      <w:numFmt w:val="lowerRoman"/>
      <w:start w:val="1"/>
    </w:lvl>
  </w:abstractNum>
  <w:abstractNum w:abstractNumId="119">
    <w:nsid w:val="5015CD1A"/>
    <w:multiLevelType w:val="hybridMultilevel"/>
    <w:lvl w:ilvl="0">
      <w:lvlJc w:val="left"/>
      <w:lvlText w:val="(%1)"/>
      <w:numFmt w:val="lowerRoman"/>
      <w:start w:val="1"/>
    </w:lvl>
  </w:abstractNum>
  <w:abstractNum w:abstractNumId="120">
    <w:nsid w:val="424479DA"/>
    <w:multiLevelType w:val="hybridMultilevel"/>
    <w:lvl w:ilvl="0">
      <w:lvlJc w:val="left"/>
      <w:lvlText w:val="(%1)"/>
      <w:numFmt w:val="lowerLetter"/>
      <w:start w:val="1"/>
    </w:lvl>
  </w:abstractNum>
  <w:abstractNum w:abstractNumId="121">
    <w:nsid w:val="1A9A9E69"/>
    <w:multiLevelType w:val="hybridMultilevel"/>
    <w:lvl w:ilvl="0">
      <w:lvlJc w:val="left"/>
      <w:lvlText w:val="%1"/>
      <w:numFmt w:val="decimal"/>
      <w:start w:val="1"/>
    </w:lvl>
    <w:lvl w:ilvl="1">
      <w:lvlJc w:val="left"/>
      <w:lvlText w:val="(%2)"/>
      <w:numFmt w:val="lowerLetter"/>
      <w:start w:val="4"/>
    </w:lvl>
  </w:abstractNum>
  <w:abstractNum w:abstractNumId="122">
    <w:nsid w:val="475E256A"/>
    <w:multiLevelType w:val="hybridMultilevel"/>
    <w:lvl w:ilvl="0">
      <w:lvlJc w:val="left"/>
      <w:lvlText w:val="%1)"/>
      <w:numFmt w:val="decimal"/>
      <w:start w:val="144"/>
    </w:lvl>
    <w:lvl w:ilvl="1">
      <w:lvlJc w:val="left"/>
      <w:lvlText w:val="%2"/>
      <w:numFmt w:val="lowerLetter"/>
      <w:start w:val="1"/>
    </w:lvl>
  </w:abstractNum>
  <w:abstractNum w:abstractNumId="123">
    <w:nsid w:val="368DB37E"/>
    <w:multiLevelType w:val="hybridMultilevel"/>
    <w:lvl w:ilvl="0">
      <w:lvlJc w:val="left"/>
      <w:lvlText w:val="(%1)"/>
      <w:numFmt w:val="lowerLetter"/>
      <w:start w:val="7"/>
    </w:lvl>
  </w:abstractNum>
  <w:abstractNum w:abstractNumId="124">
    <w:nsid w:val="6A3B714C"/>
    <w:multiLevelType w:val="hybridMultilevel"/>
    <w:lvl w:ilvl="0">
      <w:lvlJc w:val="left"/>
      <w:lvlText w:val="%1"/>
      <w:numFmt w:val="upperLetter"/>
      <w:start w:val="1"/>
    </w:lvl>
    <w:lvl w:ilvl="1">
      <w:lvlJc w:val="left"/>
      <w:lvlText w:val="(%2)"/>
      <w:numFmt w:val="lowerLetter"/>
      <w:start w:val="8"/>
    </w:lvl>
  </w:abstractNum>
  <w:abstractNum w:abstractNumId="125">
    <w:nsid w:val="327B517E"/>
    <w:multiLevelType w:val="hybridMultilevel"/>
    <w:lvl w:ilvl="0">
      <w:lvlJc w:val="left"/>
      <w:lvlText w:val="(%1)"/>
      <w:numFmt w:val="upperLetter"/>
      <w:start w:val="1"/>
    </w:lvl>
    <w:lvl w:ilvl="1">
      <w:lvlJc w:val="left"/>
      <w:lvlText w:val="(%2)"/>
      <w:numFmt w:val="lowerLetter"/>
      <w:start w:val="10"/>
    </w:lvl>
  </w:abstractNum>
  <w:abstractNum w:abstractNumId="126">
    <w:nsid w:val="1F461B51"/>
    <w:multiLevelType w:val="hybridMultilevel"/>
    <w:lvl w:ilvl="0">
      <w:lvlJc w:val="left"/>
      <w:lvlText w:val="(%1)"/>
      <w:numFmt w:val="lowerLetter"/>
      <w:start w:val="11"/>
    </w:lvl>
  </w:abstractNum>
  <w:abstractNum w:abstractNumId="127">
    <w:nsid w:val="29BACF25"/>
    <w:multiLevelType w:val="hybridMultilevel"/>
    <w:lvl w:ilvl="0">
      <w:lvlJc w:val="left"/>
      <w:lvlText w:val="(%1)"/>
      <w:numFmt w:val="lowerLetter"/>
      <w:start w:val="15"/>
    </w:lvl>
  </w:abstractNum>
  <w:abstractNum w:abstractNumId="128">
    <w:nsid w:val="5D5BABB3"/>
    <w:multiLevelType w:val="hybridMultilevel"/>
    <w:lvl w:ilvl="0">
      <w:lvlJc w:val="left"/>
      <w:lvlText w:val="(%1)"/>
      <w:numFmt w:val="lowerLetter"/>
      <w:start w:val="19"/>
    </w:lvl>
  </w:abstractNum>
  <w:abstractNum w:abstractNumId="129">
    <w:nsid w:val="51BF6B48"/>
    <w:multiLevelType w:val="hybridMultilevel"/>
    <w:lvl w:ilvl="0">
      <w:lvlJc w:val="left"/>
      <w:lvlText w:val="(%1)"/>
      <w:numFmt w:val="lowerLetter"/>
      <w:start w:val="25"/>
    </w:lvl>
  </w:abstractNum>
  <w:abstractNum w:abstractNumId="130">
    <w:nsid w:val="7E0F6384"/>
    <w:multiLevelType w:val="hybridMultilevel"/>
    <w:lvl w:ilvl="0">
      <w:lvlJc w:val="left"/>
      <w:lvlText w:val="(%1)"/>
      <w:numFmt w:val="lowerLetter"/>
      <w:start w:val="27"/>
    </w:lvl>
  </w:abstractNum>
  <w:abstractNum w:abstractNumId="131">
    <w:nsid w:val="2B4B8B53"/>
    <w:multiLevelType w:val="hybridMultilevel"/>
    <w:lvl w:ilvl="0">
      <w:lvlJc w:val="left"/>
      <w:lvlText w:val="%1"/>
      <w:numFmt w:val="lowerLetter"/>
      <w:start w:val="1"/>
    </w:lvl>
    <w:lvl w:ilvl="1">
      <w:lvlJc w:val="left"/>
      <w:lvlText w:val="(%2)"/>
      <w:numFmt w:val="lowerLetter"/>
      <w:start w:val="29"/>
    </w:lvl>
  </w:abstractNum>
  <w:abstractNum w:abstractNumId="132">
    <w:nsid w:val="72E3413A"/>
    <w:multiLevelType w:val="hybridMultilevel"/>
    <w:lvl w:ilvl="0">
      <w:lvlJc w:val="left"/>
      <w:lvlText w:val="(%1)"/>
      <w:numFmt w:val="lowerLetter"/>
      <w:start w:val="61"/>
    </w:lvl>
    <w:lvl w:ilvl="1">
      <w:lvlJc w:val="left"/>
      <w:lvlText w:val="(%2)"/>
      <w:numFmt w:val="lowerLetter"/>
      <w:start w:val="30"/>
    </w:lvl>
  </w:abstractNum>
  <w:abstractNum w:abstractNumId="133">
    <w:nsid w:val="116AE494"/>
    <w:multiLevelType w:val="hybridMultilevel"/>
    <w:lvl w:ilvl="0">
      <w:lvlJc w:val="left"/>
      <w:lvlText w:val="(%1)"/>
      <w:numFmt w:val="lowerLetter"/>
      <w:start w:val="34"/>
    </w:lvl>
  </w:abstractNum>
  <w:abstractNum w:abstractNumId="134">
    <w:nsid w:val="3494B2FB"/>
    <w:multiLevelType w:val="hybridMultilevel"/>
    <w:lvl w:ilvl="0">
      <w:lvlJc w:val="left"/>
      <w:lvlText w:val="(%1)"/>
      <w:numFmt w:val="lowerLetter"/>
      <w:start w:val="40"/>
    </w:lvl>
  </w:abstractNum>
  <w:abstractNum w:abstractNumId="135">
    <w:nsid w:val="B13A31"/>
    <w:multiLevelType w:val="hybridMultilevel"/>
    <w:lvl w:ilvl="0">
      <w:lvlJc w:val="left"/>
      <w:lvlText w:val="(%1)"/>
      <w:numFmt w:val="lowerLetter"/>
      <w:start w:val="47"/>
    </w:lvl>
  </w:abstractNum>
  <w:abstractNum w:abstractNumId="136">
    <w:nsid w:val="64429599"/>
    <w:multiLevelType w:val="hybridMultilevel"/>
    <w:lvl w:ilvl="0">
      <w:lvlJc w:val="left"/>
      <w:lvlText w:val="(%1)"/>
      <w:numFmt w:val="lowerRoman"/>
      <w:start w:val="20"/>
    </w:lvl>
  </w:abstractNum>
  <w:abstractNum w:abstractNumId="137">
    <w:nsid w:val="631F1690"/>
    <w:multiLevelType w:val="hybridMultilevel"/>
    <w:lvl w:ilvl="0">
      <w:lvlJc w:val="left"/>
      <w:lvlText w:val="(%1)"/>
      <w:numFmt w:val="lowerLetter"/>
      <w:start w:val="1"/>
    </w:lvl>
  </w:abstractNum>
  <w:abstractNum w:abstractNumId="138">
    <w:nsid w:val="25973E32"/>
    <w:multiLevelType w:val="hybridMultilevel"/>
    <w:lvl w:ilvl="0">
      <w:lvlJc w:val="left"/>
      <w:lvlText w:val="(%1)"/>
      <w:numFmt w:val="lowerLetter"/>
      <w:start w:val="2"/>
    </w:lvl>
  </w:abstractNum>
  <w:abstractNum w:abstractNumId="139">
    <w:nsid w:val="EAD6F57"/>
    <w:multiLevelType w:val="hybridMultilevel"/>
    <w:lvl w:ilvl="0">
      <w:lvlJc w:val="left"/>
      <w:lvlText w:val="(%1)"/>
      <w:numFmt w:val="lowerLetter"/>
      <w:start w:val="7"/>
    </w:lvl>
  </w:abstractNum>
  <w:abstractNum w:abstractNumId="140">
    <w:nsid w:val="6EC9D844"/>
    <w:multiLevelType w:val="hybridMultilevel"/>
    <w:lvl w:ilvl="0">
      <w:lvlJc w:val="left"/>
      <w:lvlText w:val="(%1)"/>
      <w:numFmt w:val="lowerLetter"/>
      <w:start w:val="1"/>
    </w:lvl>
  </w:abstractNum>
  <w:abstractNum w:abstractNumId="141">
    <w:nsid w:val="5C49EAEE"/>
    <w:multiLevelType w:val="hybridMultilevel"/>
    <w:lvl w:ilvl="0">
      <w:lvlJc w:val="left"/>
      <w:lvlText w:val="(%1)"/>
      <w:numFmt w:val="lowerLetter"/>
      <w:start w:val="3"/>
    </w:lvl>
  </w:abstractNum>
  <w:abstractNum w:abstractNumId="142">
    <w:nsid w:val="64AF49B"/>
    <w:multiLevelType w:val="hybridMultilevel"/>
    <w:lvl w:ilvl="0">
      <w:lvlJc w:val="left"/>
      <w:lvlText w:val="(%1)"/>
      <w:numFmt w:val="lowerLetter"/>
      <w:start w:val="5"/>
    </w:lvl>
  </w:abstractNum>
  <w:abstractNum w:abstractNumId="143">
    <w:nsid w:val="397C46BC"/>
    <w:multiLevelType w:val="hybridMultilevel"/>
    <w:lvl w:ilvl="0">
      <w:lvlJc w:val="left"/>
      <w:lvlText w:val="%1"/>
      <w:numFmt w:val="decimal"/>
      <w:start w:val="1"/>
    </w:lvl>
    <w:lvl w:ilvl="1">
      <w:lvlJc w:val="left"/>
      <w:lvlText w:val="(%2)"/>
      <w:numFmt w:val="lowerLetter"/>
      <w:start w:val="1"/>
    </w:lvl>
  </w:abstractNum>
  <w:abstractNum w:abstractNumId="144">
    <w:nsid w:val="7E448DE9"/>
    <w:multiLevelType w:val="hybridMultilevel"/>
    <w:lvl w:ilvl="0">
      <w:lvlJc w:val="left"/>
      <w:lvlText w:val="(%1)"/>
      <w:numFmt w:val="decimal"/>
      <w:start w:val="2"/>
    </w:lvl>
    <w:lvl w:ilvl="1">
      <w:lvlJc w:val="left"/>
      <w:lvlText w:val="%2"/>
      <w:numFmt w:val="lowerLetter"/>
      <w:start w:val="1"/>
    </w:lvl>
  </w:abstractNum>
  <w:abstractNum w:abstractNumId="145">
    <w:nsid w:val="5A9CC3E5"/>
    <w:multiLevelType w:val="hybridMultilevel"/>
    <w:lvl w:ilvl="0">
      <w:lvlJc w:val="left"/>
      <w:lvlText w:val="(%1)"/>
      <w:numFmt w:val="lowerLetter"/>
      <w:start w:val="1"/>
    </w:lvl>
  </w:abstractNum>
  <w:abstractNum w:abstractNumId="146">
    <w:nsid w:val="1AFE3625"/>
    <w:multiLevelType w:val="hybridMultilevel"/>
    <w:lvl w:ilvl="0">
      <w:lvlJc w:val="left"/>
      <w:lvlText w:val="(%1)"/>
      <w:numFmt w:val="lowerRoman"/>
      <w:start w:val="2"/>
    </w:lvl>
  </w:abstractNum>
  <w:abstractNum w:abstractNumId="147">
    <w:nsid w:val="3CA88ECF"/>
    <w:multiLevelType w:val="hybridMultilevel"/>
    <w:lvl w:ilvl="0">
      <w:lvlJc w:val="left"/>
      <w:lvlText w:val="(%1)"/>
      <w:numFmt w:val="lowerLetter"/>
      <w:start w:val="2"/>
    </w:lvl>
  </w:abstractNum>
  <w:abstractNum w:abstractNumId="148">
    <w:nsid w:val="6EBE4208"/>
    <w:multiLevelType w:val="hybridMultilevel"/>
    <w:lvl w:ilvl="0">
      <w:lvlJc w:val="left"/>
      <w:lvlText w:val="%1."/>
      <w:numFmt w:val="decimal"/>
      <w:start w:val="1"/>
    </w:lvl>
  </w:abstractNum>
  <w:abstractNum w:abstractNumId="149">
    <w:nsid w:val="C058DF5"/>
    <w:multiLevelType w:val="hybridMultilevel"/>
    <w:lvl w:ilvl="0">
      <w:lvlJc w:val="left"/>
      <w:lvlText w:val="%1."/>
      <w:numFmt w:val="decimal"/>
      <w:start w:val="2"/>
    </w:lvl>
    <w:lvl w:ilvl="1">
      <w:lvlJc w:val="left"/>
      <w:lvlText w:val="%2."/>
      <w:numFmt w:val="lowerLetter"/>
    </w:lvl>
    <w:lvl w:ilvl="2">
      <w:lvlJc w:val="left"/>
      <w:lvlText w:val="(%3)"/>
      <w:numFmt w:val="lowerLetter"/>
      <w:start w:val="1"/>
    </w:lvl>
  </w:abstractNum>
  <w:abstractNum w:abstractNumId="150">
    <w:nsid w:val="CBE5BE9"/>
    <w:multiLevelType w:val="hybridMultilevel"/>
    <w:lvl w:ilvl="0">
      <w:lvlJc w:val="left"/>
      <w:lvlText w:val="(%1)"/>
      <w:numFmt w:val="lowerLetter"/>
      <w:start w:val="4"/>
    </w:lvl>
  </w:abstractNum>
  <w:abstractNum w:abstractNumId="151">
    <w:nsid w:val="3102BBE2"/>
    <w:multiLevelType w:val="hybridMultilevel"/>
    <w:lvl w:ilvl="0">
      <w:lvlJc w:val="left"/>
      <w:lvlText w:val="(%1)"/>
      <w:numFmt w:val="decimal"/>
      <w:start w:val="15"/>
    </w:lvl>
    <w:lvl w:ilvl="1">
      <w:lvlJc w:val="left"/>
      <w:lvlText w:val="(%2)"/>
      <w:numFmt w:val="lowerLetter"/>
      <w:start w:val="5"/>
    </w:lvl>
  </w:abstractNum>
  <w:abstractNum w:abstractNumId="152">
    <w:nsid w:val="26A02C5E"/>
    <w:multiLevelType w:val="hybridMultilevel"/>
    <w:lvl w:ilvl="0">
      <w:lvlJc w:val="left"/>
      <w:lvlText w:val="%1."/>
      <w:numFmt w:val="decimal"/>
      <w:start w:val="3"/>
    </w:lvl>
  </w:abstractNum>
  <w:abstractNum w:abstractNumId="153">
    <w:nsid w:val="541C8153"/>
    <w:multiLevelType w:val="hybridMultilevel"/>
    <w:lvl w:ilvl="0">
      <w:lvlJc w:val="left"/>
      <w:lvlText w:val="%1"/>
      <w:numFmt w:val="lowerLetter"/>
      <w:start w:val="1"/>
    </w:lvl>
    <w:lvl w:ilvl="1">
      <w:lvlJc w:val="left"/>
      <w:lvlText w:val="(%2)"/>
      <w:numFmt w:val="lowerLetter"/>
      <w:start w:val="1"/>
    </w:lvl>
  </w:abstractNum>
  <w:abstractNum w:abstractNumId="154">
    <w:nsid w:val="67906F60"/>
    <w:multiLevelType w:val="hybridMultilevel"/>
    <w:lvl w:ilvl="0">
      <w:lvlJc w:val="left"/>
      <w:lvlText w:val="(%1)"/>
      <w:numFmt w:val="lowerLetter"/>
      <w:start w:val="61"/>
    </w:lvl>
    <w:lvl w:ilvl="1">
      <w:lvlJc w:val="left"/>
      <w:lvlText w:val="(%2)"/>
      <w:numFmt w:val="lowerLetter"/>
      <w:start w:val="3"/>
    </w:lvl>
  </w:abstractNum>
  <w:abstractNum w:abstractNumId="155">
    <w:nsid w:val="10DB9DAA"/>
    <w:multiLevelType w:val="hybridMultilevel"/>
    <w:lvl w:ilvl="0">
      <w:lvlJc w:val="left"/>
      <w:lvlText w:val="%1"/>
      <w:numFmt w:val="decimal"/>
      <w:start w:val="1"/>
    </w:lvl>
    <w:lvl w:ilvl="1">
      <w:lvlJc w:val="left"/>
      <w:lvlText w:val="(%2)"/>
      <w:numFmt w:val="lowerLetter"/>
      <w:start w:val="5"/>
    </w:lvl>
  </w:abstractNum>
  <w:abstractNum w:abstractNumId="156">
    <w:nsid w:val="697D2D2"/>
    <w:multiLevelType w:val="hybridMultilevel"/>
    <w:lvl w:ilvl="0">
      <w:lvlJc w:val="left"/>
      <w:lvlText w:val="%1."/>
      <w:numFmt w:val="decimal"/>
      <w:start w:val="4"/>
    </w:lvl>
    <w:lvl w:ilvl="1">
      <w:lvlJc w:val="left"/>
      <w:lvlText w:val="%2"/>
      <w:numFmt w:val="lowerLetter"/>
      <w:start w:val="1"/>
    </w:lvl>
  </w:abstractNum>
  <w:abstractNum w:abstractNumId="157">
    <w:nsid w:val="6D68AB2"/>
    <w:multiLevelType w:val="hybridMultilevel"/>
    <w:lvl w:ilvl="0">
      <w:lvlJc w:val="left"/>
      <w:lvlText w:val="%1."/>
      <w:numFmt w:val="decimal"/>
      <w:start w:val="5"/>
    </w:lvl>
    <w:lvl w:ilvl="1">
      <w:lvlJc w:val="left"/>
      <w:lvlText w:val="(%2)"/>
      <w:numFmt w:val="lowerLetter"/>
      <w:start w:val="1"/>
    </w:lvl>
  </w:abstractNum>
  <w:abstractNum w:abstractNumId="158">
    <w:nsid w:val="3A966CD0"/>
    <w:multiLevelType w:val="hybridMultilevel"/>
    <w:lvl w:ilvl="0">
      <w:lvlJc w:val="left"/>
      <w:lvlText w:val="(%1)"/>
      <w:numFmt w:val="lowerLetter"/>
      <w:start w:val="4"/>
    </w:lvl>
  </w:abstractNum>
  <w:abstractNum w:abstractNumId="159">
    <w:nsid w:val="63F37E85"/>
    <w:multiLevelType w:val="hybridMultilevel"/>
    <w:lvl w:ilvl="0">
      <w:lvlJc w:val="left"/>
      <w:lvlText w:val="%1."/>
      <w:numFmt w:val="decimal"/>
      <w:start w:val="6"/>
    </w:lvl>
  </w:abstractNum>
  <w:abstractNum w:abstractNumId="160">
    <w:nsid w:val="5895F5FA"/>
    <w:multiLevelType w:val="hybridMultilevel"/>
    <w:lvl w:ilvl="0">
      <w:lvlJc w:val="left"/>
      <w:lvlText w:val="(%1)"/>
      <w:numFmt w:val="lowerLetter"/>
      <w:start w:val="1"/>
    </w:lvl>
  </w:abstractNum>
  <w:abstractNum w:abstractNumId="161">
    <w:nsid w:val="38A5D054"/>
    <w:multiLevelType w:val="hybridMultilevel"/>
    <w:lvl w:ilvl="0">
      <w:lvlJc w:val="left"/>
      <w:lvlText w:val="(%1)"/>
      <w:numFmt w:val="lowerLetter"/>
      <w:start w:val="7"/>
    </w:lvl>
  </w:abstractNum>
  <w:abstractNum w:abstractNumId="162">
    <w:nsid w:val="F3F09D8"/>
    <w:multiLevelType w:val="hybridMultilevel"/>
    <w:lvl w:ilvl="0">
      <w:lvlJc w:val="left"/>
      <w:lvlText w:val="●"/>
      <w:numFmt w:val="bullet"/>
      <w:start w:val="1"/>
    </w:lvl>
  </w:abstractNum>
  <w:abstractNum w:abstractNumId="163">
    <w:nsid w:val="4B793735"/>
    <w:multiLevelType w:val="hybridMultilevel"/>
    <w:lvl w:ilvl="0">
      <w:lvlJc w:val="left"/>
      <w:lvlText w:val="(%1)"/>
      <w:numFmt w:val="decimal"/>
      <w:start w:val="1"/>
    </w:lvl>
  </w:abstractNum>
  <w:abstractNum w:abstractNumId="164">
    <w:nsid w:val="4A10B4E8"/>
    <w:multiLevelType w:val="hybridMultilevel"/>
    <w:lvl w:ilvl="0">
      <w:lvlJc w:val="left"/>
      <w:lvlText w:val="%1."/>
      <w:numFmt w:val="decimal"/>
      <w:start w:val="1"/>
    </w:lvl>
    <w:lvl w:ilvl="1">
      <w:lvlJc w:val="left"/>
      <w:lvlText w:val="(%2)"/>
      <w:numFmt w:val="lowerLetter"/>
      <w:start w:val="1"/>
    </w:lvl>
  </w:abstractNum>
  <w:abstractNum w:abstractNumId="165">
    <w:nsid w:val="43D3BCD4"/>
    <w:multiLevelType w:val="hybridMultilevel"/>
    <w:lvl w:ilvl="0">
      <w:lvlJc w:val="left"/>
      <w:lvlText w:val="%1."/>
      <w:numFmt w:val="decimal"/>
      <w:start w:val="3"/>
    </w:lvl>
    <w:lvl w:ilvl="1">
      <w:lvlJc w:val="left"/>
      <w:lvlText w:val="(%2)"/>
      <w:numFmt w:val="lowerLetter"/>
      <w:start w:val="1"/>
    </w:lvl>
  </w:abstractNum>
  <w:abstractNum w:abstractNumId="166">
    <w:nsid w:val="4C2A7166"/>
    <w:multiLevelType w:val="hybridMultilevel"/>
    <w:lvl w:ilvl="0">
      <w:lvlJc w:val="left"/>
      <w:lvlText w:val="(%1)"/>
      <w:numFmt w:val="lowerLetter"/>
      <w:start w:val="2"/>
    </w:lvl>
  </w:abstractNum>
  <w:abstractNum w:abstractNumId="167">
    <w:nsid w:val="2E534A82"/>
    <w:multiLevelType w:val="hybridMultilevel"/>
    <w:lvl w:ilvl="0">
      <w:lvlJc w:val="left"/>
      <w:lvlText w:val="(%1)"/>
      <w:numFmt w:val="lowerLetter"/>
      <w:start w:val="3"/>
    </w:lvl>
  </w:abstractNum>
  <w:abstractNum w:abstractNumId="168">
    <w:nsid w:val="26F2D364"/>
    <w:multiLevelType w:val="hybridMultilevel"/>
    <w:lvl w:ilvl="0">
      <w:lvlJc w:val="left"/>
      <w:lvlText w:val="(%1)"/>
      <w:numFmt w:val="lowerLetter"/>
      <w:start w:val="4"/>
    </w:lvl>
  </w:abstractNum>
  <w:abstractNum w:abstractNumId="169">
    <w:nsid w:val="71C1AF98"/>
    <w:multiLevelType w:val="hybridMultilevel"/>
    <w:lvl w:ilvl="0">
      <w:lvlJc w:val="left"/>
      <w:lvlText w:val="(%1)"/>
      <w:numFmt w:val="lowerLetter"/>
      <w:start w:val="1"/>
    </w:lvl>
  </w:abstractNum>
  <w:abstractNum w:abstractNumId="170">
    <w:nsid w:val="3D00B9D9"/>
    <w:multiLevelType w:val="hybridMultilevel"/>
    <w:lvl w:ilvl="0">
      <w:lvlJc w:val="left"/>
      <w:lvlText w:val="(%1)"/>
      <w:numFmt w:val="lowerLetter"/>
      <w:start w:val="1"/>
    </w:lvl>
  </w:abstractNum>
  <w:abstractNum w:abstractNumId="171">
    <w:nsid w:val="15BCABA8"/>
    <w:multiLevelType w:val="hybridMultilevel"/>
    <w:lvl w:ilvl="0">
      <w:lvlJc w:val="left"/>
      <w:lvlText w:val="(%1)"/>
      <w:numFmt w:val="lowerLetter"/>
      <w:start w:val="6"/>
    </w:lvl>
  </w:abstractNum>
  <w:abstractNum w:abstractNumId="172">
    <w:nsid w:val="4E0B9A87"/>
    <w:multiLevelType w:val="hybridMultilevel"/>
    <w:lvl w:ilvl="0">
      <w:lvlJc w:val="left"/>
      <w:lvlText w:val="%1"/>
      <w:numFmt w:val="lowerLetter"/>
      <w:start w:val="1"/>
    </w:lvl>
    <w:lvl w:ilvl="1">
      <w:lvlJc w:val="left"/>
      <w:lvlText w:val="(%2)"/>
      <w:numFmt w:val="lowerLetter"/>
      <w:start w:val="1"/>
    </w:lvl>
  </w:abstractNum>
  <w:abstractNum w:abstractNumId="173">
    <w:nsid w:val="434BAE75"/>
    <w:multiLevelType w:val="hybridMultilevel"/>
    <w:lvl w:ilvl="0">
      <w:lvlJc w:val="left"/>
      <w:lvlText w:val="(%1)"/>
      <w:numFmt w:val="lowerLetter"/>
      <w:start w:val="61"/>
    </w:lvl>
    <w:lvl w:ilvl="1">
      <w:lvlJc w:val="left"/>
      <w:lvlText w:val="(%2)"/>
      <w:numFmt w:val="lowerLetter"/>
      <w:start w:val="4"/>
    </w:lvl>
  </w:abstractNum>
  <w:abstractNum w:abstractNumId="174">
    <w:nsid w:val="4F38F265"/>
    <w:multiLevelType w:val="hybridMultilevel"/>
    <w:lvl w:ilvl="0">
      <w:lvlJc w:val="left"/>
      <w:lvlText w:val="(%1)"/>
      <w:numFmt w:val="lowerLetter"/>
      <w:start w:val="1"/>
    </w:lvl>
  </w:abstractNum>
  <w:abstractNum w:abstractNumId="175">
    <w:nsid w:val="4C502870"/>
    <w:multiLevelType w:val="hybridMultilevel"/>
    <w:lvl w:ilvl="0">
      <w:lvlJc w:val="left"/>
      <w:lvlText w:val="%1"/>
      <w:numFmt w:val="decimal"/>
      <w:start w:val="1"/>
    </w:lvl>
    <w:lvl w:ilvl="1">
      <w:lvlJc w:val="left"/>
      <w:lvlText w:val="(%2)"/>
      <w:numFmt w:val="lowerLetter"/>
      <w:start w:val="4"/>
    </w:lvl>
  </w:abstractNum>
  <w:abstractNum w:abstractNumId="176">
    <w:nsid w:val="1DE8725A"/>
    <w:multiLevelType w:val="hybridMultilevel"/>
    <w:lvl w:ilvl="0">
      <w:lvlJc w:val="left"/>
      <w:lvlText w:val="(%1)"/>
      <w:numFmt w:val="decimal"/>
      <w:start w:val="2"/>
    </w:lvl>
    <w:lvl w:ilvl="1">
      <w:lvlJc w:val="left"/>
      <w:lvlText w:val="(%2)"/>
      <w:numFmt w:val="lowerLetter"/>
      <w:start w:val="5"/>
    </w:lvl>
  </w:abstractNum>
  <w:abstractNum w:abstractNumId="177">
    <w:nsid w:val="6A37288A"/>
    <w:multiLevelType w:val="hybridMultilevel"/>
    <w:lvl w:ilvl="0">
      <w:lvlJc w:val="left"/>
      <w:lvlText w:val="(%1)"/>
      <w:numFmt w:val="lowerLetter"/>
      <w:start w:val="1"/>
    </w:lvl>
  </w:abstractNum>
  <w:abstractNum w:abstractNumId="178">
    <w:nsid w:val="8F8B73F"/>
    <w:multiLevelType w:val="hybridMultilevel"/>
    <w:lvl w:ilvl="0">
      <w:lvlJc w:val="left"/>
      <w:lvlText w:val="(%1)"/>
      <w:numFmt w:val="lowerLetter"/>
      <w:start w:val="1"/>
    </w:lvl>
  </w:abstractNum>
  <w:abstractNum w:abstractNumId="179">
    <w:nsid w:val="CA6B462"/>
    <w:multiLevelType w:val="hybridMultilevel"/>
    <w:lvl w:ilvl="0">
      <w:lvlJc w:val="left"/>
      <w:lvlText w:val="(%1)"/>
      <w:numFmt w:val="lowerLetter"/>
      <w:start w:val="3"/>
    </w:lvl>
  </w:abstractNum>
  <w:abstractNum w:abstractNumId="180">
    <w:nsid w:val="763CB680"/>
    <w:multiLevelType w:val="hybridMultilevel"/>
    <w:lvl w:ilvl="0">
      <w:lvlJc w:val="left"/>
      <w:lvlText w:val="(%1)"/>
      <w:numFmt w:val="lowerLetter"/>
      <w:start w:val="1"/>
    </w:lvl>
  </w:abstractNum>
  <w:abstractNum w:abstractNumId="181">
    <w:nsid w:val="15B71329"/>
    <w:multiLevelType w:val="hybridMultilevel"/>
    <w:lvl w:ilvl="0">
      <w:lvlJc w:val="left"/>
      <w:lvlText w:val="(%1)"/>
      <w:numFmt w:val="lowerLetter"/>
      <w:start w:val="2"/>
    </w:lvl>
    <w:lvl w:ilvl="1">
      <w:lvlJc w:val="left"/>
      <w:lvlText w:val="(%2)"/>
      <w:numFmt w:val="lowerRoman"/>
      <w:start w:val="1"/>
    </w:lvl>
  </w:abstractNum>
  <w:abstractNum w:abstractNumId="182">
    <w:nsid w:val="3DA97044"/>
    <w:multiLevelType w:val="hybridMultilevel"/>
    <w:lvl w:ilvl="0">
      <w:lvlJc w:val="left"/>
      <w:lvlText w:val="%1"/>
      <w:numFmt w:val="lowerRoman"/>
      <w:start w:val="1"/>
    </w:lvl>
    <w:lvl w:ilvl="1">
      <w:lvlJc w:val="left"/>
      <w:lvlText w:val="(%2)"/>
      <w:numFmt w:val="lowerLetter"/>
      <w:start w:val="1"/>
    </w:lvl>
  </w:abstractNum>
  <w:abstractNum w:abstractNumId="183">
    <w:nsid w:val="1CDCE2DE"/>
    <w:multiLevelType w:val="hybridMultilevel"/>
    <w:lvl w:ilvl="0">
      <w:lvlJc w:val="left"/>
      <w:lvlText w:val="(%1)"/>
      <w:numFmt w:val="lowerRoman"/>
      <w:start w:val="7"/>
    </w:lvl>
    <w:lvl w:ilvl="1">
      <w:lvlJc w:val="left"/>
      <w:lvlText w:val="%2"/>
      <w:numFmt w:val="lowerLetter"/>
      <w:start w:val="1"/>
    </w:lvl>
  </w:abstractNum>
  <w:abstractNum w:abstractNumId="184">
    <w:nsid w:val="69D3947C"/>
    <w:multiLevelType w:val="hybridMultilevel"/>
    <w:lvl w:ilvl="0">
      <w:lvlJc w:val="left"/>
      <w:lvlText w:val="(%1)"/>
      <w:numFmt w:val="lowerLetter"/>
      <w:start w:val="2"/>
    </w:lvl>
  </w:abstractNum>
  <w:abstractNum w:abstractNumId="185">
    <w:nsid w:val="2539DFA5"/>
    <w:multiLevelType w:val="hybridMultilevel"/>
    <w:lvl w:ilvl="0">
      <w:lvlJc w:val="left"/>
      <w:lvlText w:val="(%1)"/>
      <w:numFmt w:val="lowerLetter"/>
      <w:start w:val="5"/>
    </w:lvl>
  </w:abstractNum>
  <w:abstractNum w:abstractNumId="186">
    <w:nsid w:val="2DB88089"/>
    <w:multiLevelType w:val="hybridMultilevel"/>
    <w:lvl w:ilvl="0">
      <w:lvlJc w:val="left"/>
      <w:lvlText w:val="(%1)"/>
      <w:numFmt w:val="lowerLetter"/>
      <w:start w:val="1"/>
    </w:lvl>
  </w:abstractNum>
  <w:abstractNum w:abstractNumId="187">
    <w:nsid w:val="706B674E"/>
    <w:multiLevelType w:val="hybridMultilevel"/>
    <w:lvl w:ilvl="0">
      <w:lvlJc w:val="left"/>
      <w:lvlText w:val="(%1)"/>
      <w:numFmt w:val="lowerLetter"/>
      <w:start w:val="3"/>
    </w:lvl>
  </w:abstractNum>
  <w:abstractNum w:abstractNumId="188">
    <w:nsid w:val="2C106A57"/>
    <w:multiLevelType w:val="hybridMultilevel"/>
    <w:lvl w:ilvl="0">
      <w:lvlJc w:val="left"/>
      <w:lvlText w:val="(%1)"/>
      <w:numFmt w:val="lowerLetter"/>
      <w:start w:val="1"/>
    </w:lvl>
  </w:abstractNum>
  <w:abstractNum w:abstractNumId="189">
    <w:nsid w:val="684EED59"/>
    <w:multiLevelType w:val="hybridMultilevel"/>
    <w:lvl w:ilvl="0">
      <w:lvlJc w:val="left"/>
      <w:lvlText w:val="%1"/>
      <w:numFmt w:val="lowerRoman"/>
      <w:start w:val="1"/>
    </w:lvl>
    <w:lvl w:ilvl="1">
      <w:lvlJc w:val="left"/>
      <w:lvlText w:val="%2."/>
      <w:numFmt w:val="decimal"/>
      <w:start w:val="1"/>
    </w:lvl>
  </w:abstractNum>
  <w:abstractNum w:abstractNumId="190">
    <w:nsid w:val="545EE5D3"/>
    <w:multiLevelType w:val="hybridMultilevel"/>
    <w:lvl w:ilvl="0">
      <w:lvlJc w:val="left"/>
      <w:lvlText w:val="(%1)"/>
      <w:numFmt w:val="lowerRoman"/>
      <w:start w:val="1"/>
    </w:lvl>
    <w:lvl w:ilvl="1">
      <w:lvlJc w:val="left"/>
      <w:lvlText w:val="%2"/>
      <w:numFmt w:val="decimal"/>
      <w:start w:val="1"/>
    </w:lvl>
  </w:abstractNum>
  <w:abstractNum w:abstractNumId="191">
    <w:nsid w:val="4A66051"/>
    <w:multiLevelType w:val="hybridMultilevel"/>
    <w:lvl w:ilvl="0">
      <w:lvlJc w:val="left"/>
      <w:lvlText w:val="(%1)"/>
      <w:numFmt w:val="lowerRoman"/>
      <w:start w:val="4"/>
    </w:lvl>
    <w:lvl w:ilvl="1">
      <w:lvlJc w:val="left"/>
      <w:lvlText w:val="%2"/>
      <w:numFmt w:val="decimal"/>
      <w:start w:val="1"/>
    </w:lvl>
  </w:abstractNum>
  <w:abstractNum w:abstractNumId="192">
    <w:nsid w:val="20F4BDAD"/>
    <w:multiLevelType w:val="hybridMultilevel"/>
    <w:lvl w:ilvl="0">
      <w:lvlJc w:val="left"/>
      <w:lvlText w:val="%1."/>
      <w:numFmt w:val="decimal"/>
      <w:start w:val="3"/>
    </w:lvl>
    <w:lvl w:ilvl="1">
      <w:lvlJc w:val="left"/>
      <w:lvlText w:val="(%2)"/>
      <w:numFmt w:val="lowerRoman"/>
      <w:start w:val="1"/>
    </w:lvl>
  </w:abstractNum>
  <w:abstractNum w:abstractNumId="193">
    <w:nsid w:val="639DEFAC"/>
    <w:multiLevelType w:val="hybridMultilevel"/>
    <w:lvl w:ilvl="0">
      <w:lvlJc w:val="left"/>
      <w:lvlText w:val="(%1)"/>
      <w:numFmt w:val="lowerRoman"/>
      <w:start w:val="3"/>
    </w:lvl>
  </w:abstractNum>
  <w:abstractNum w:abstractNumId="194">
    <w:nsid w:val="501F9786"/>
    <w:multiLevelType w:val="hybridMultilevel"/>
    <w:lvl w:ilvl="0">
      <w:lvlJc w:val="left"/>
      <w:lvlText w:val="%1."/>
      <w:numFmt w:val="decimal"/>
      <w:start w:val="5"/>
    </w:lvl>
  </w:abstractNum>
  <w:abstractNum w:abstractNumId="195">
    <w:nsid w:val="6B057295"/>
    <w:multiLevelType w:val="hybridMultilevel"/>
    <w:lvl w:ilvl="0">
      <w:lvlJc w:val="left"/>
      <w:lvlText w:val="%1."/>
      <w:numFmt w:val="decimal"/>
      <w:start w:val="8"/>
    </w:lvl>
    <w:lvl w:ilvl="1">
      <w:lvlJc w:val="left"/>
      <w:lvlText w:val="(%2)"/>
      <w:numFmt w:val="lowerRoman"/>
      <w:start w:val="1"/>
    </w:lvl>
  </w:abstractNum>
  <w:abstractNum w:abstractNumId="196">
    <w:nsid w:val="2771AC80"/>
    <w:multiLevelType w:val="hybridMultilevel"/>
    <w:lvl w:ilvl="0">
      <w:lvlJc w:val="left"/>
      <w:lvlText w:val="(%1)"/>
      <w:numFmt w:val="lowerRoman"/>
      <w:start w:val="3"/>
    </w:lvl>
  </w:abstractNum>
  <w:abstractNum w:abstractNumId="197">
    <w:nsid w:val="1C4A08EC"/>
    <w:multiLevelType w:val="hybridMultilevel"/>
    <w:lvl w:ilvl="0">
      <w:lvlJc w:val="left"/>
      <w:lvlText w:val="%1."/>
      <w:numFmt w:val="decimal"/>
      <w:start w:val="11"/>
    </w:lvl>
  </w:abstractNum>
  <w:abstractNum w:abstractNumId="198">
    <w:nsid w:val="1958BD17"/>
    <w:multiLevelType w:val="hybridMultilevel"/>
    <w:lvl w:ilvl="0">
      <w:lvlJc w:val="left"/>
      <w:lvlText w:val="%1."/>
      <w:numFmt w:val="decimal"/>
      <w:start w:val="13"/>
    </w:lvl>
  </w:abstractNum>
  <w:abstractNum w:abstractNumId="199">
    <w:nsid w:val="4E647FE4"/>
    <w:multiLevelType w:val="hybridMultilevel"/>
    <w:lvl w:ilvl="0">
      <w:lvlJc w:val="left"/>
      <w:lvlText w:val="%1."/>
      <w:numFmt w:val="decimal"/>
      <w:start w:val="1"/>
    </w:lvl>
    <w:lvl w:ilvl="1">
      <w:lvlJc w:val="left"/>
      <w:lvlText w:val="(%2)"/>
      <w:numFmt w:val="lowerLetter"/>
      <w:start w:val="1"/>
    </w:lvl>
  </w:abstractNum>
  <w:abstractNum w:abstractNumId="200">
    <w:nsid w:val="E0BB885"/>
    <w:multiLevelType w:val="hybridMultilevel"/>
    <w:lvl w:ilvl="0">
      <w:lvlJc w:val="left"/>
      <w:lvlText w:val="%1"/>
      <w:numFmt w:val="decimal"/>
      <w:start w:val="1"/>
    </w:lvl>
    <w:lvl w:ilvl="1">
      <w:lvlJc w:val="left"/>
      <w:lvlText w:val="(%2)"/>
      <w:numFmt w:val="lowerLetter"/>
      <w:start w:val="14"/>
    </w:lvl>
  </w:abstractNum>
  <w:abstractNum w:abstractNumId="201">
    <w:nsid w:val="565976F1"/>
    <w:multiLevelType w:val="hybridMultilevel"/>
    <w:lvl w:ilvl="0">
      <w:lvlJc w:val="left"/>
      <w:lvlText w:val="%1."/>
      <w:numFmt w:val="decimal"/>
      <w:start w:val="2"/>
    </w:lvl>
    <w:lvl w:ilvl="1">
      <w:lvlJc w:val="left"/>
      <w:lvlText w:val="(%2)"/>
      <w:numFmt w:val="lowerLetter"/>
      <w:start w:val="1"/>
    </w:lvl>
  </w:abstractNum>
  <w:abstractNum w:abstractNumId="202">
    <w:nsid w:val="64212B8C"/>
    <w:multiLevelType w:val="hybridMultilevel"/>
    <w:lvl w:ilvl="0">
      <w:lvlJc w:val="left"/>
      <w:lvlText w:val="%1"/>
      <w:numFmt w:val="decimal"/>
      <w:start w:val="1"/>
    </w:lvl>
    <w:lvl w:ilvl="1">
      <w:lvlJc w:val="left"/>
      <w:lvlText w:val="(%2)"/>
      <w:numFmt w:val="lowerLetter"/>
      <w:start w:val="61"/>
    </w:lvl>
  </w:abstractNum>
  <w:abstractNum w:abstractNumId="203">
    <w:nsid w:val="5C17530C"/>
    <w:multiLevelType w:val="hybridMultilevel"/>
    <w:lvl w:ilvl="0">
      <w:lvlJc w:val="left"/>
      <w:lvlText w:val="%1"/>
      <w:numFmt w:val="decimal"/>
      <w:start w:val="1"/>
    </w:lvl>
    <w:lvl w:ilvl="1">
      <w:lvlJc w:val="left"/>
      <w:lvlText w:val="(%2)"/>
      <w:numFmt w:val="lowerLetter"/>
      <w:start w:val="6"/>
    </w:lvl>
  </w:abstractNum>
  <w:abstractNum w:abstractNumId="204">
    <w:nsid w:val="19A52566"/>
    <w:multiLevelType w:val="hybridMultilevel"/>
    <w:lvl w:ilvl="0">
      <w:lvlJc w:val="left"/>
      <w:lvlText w:val="%1."/>
      <w:numFmt w:val="decimal"/>
      <w:start w:val="3"/>
    </w:lvl>
    <w:lvl w:ilvl="1">
      <w:lvlJc w:val="left"/>
      <w:lvlText w:val="(%2)"/>
      <w:numFmt w:val="lowerLetter"/>
      <w:start w:val="1"/>
    </w:lvl>
  </w:abstractNum>
  <w:abstractNum w:abstractNumId="205">
    <w:nsid w:val="335A1DF1"/>
    <w:multiLevelType w:val="hybridMultilevel"/>
    <w:lvl w:ilvl="0">
      <w:lvlJc w:val="left"/>
      <w:lvlText w:val="%1"/>
      <w:numFmt w:val="decimal"/>
      <w:start w:val="1"/>
    </w:lvl>
    <w:lvl w:ilvl="1">
      <w:lvlJc w:val="left"/>
      <w:lvlText w:val="(%2)"/>
      <w:numFmt w:val="lowerLetter"/>
      <w:start w:val="2"/>
    </w:lvl>
  </w:abstractNum>
  <w:abstractNum w:abstractNumId="206">
    <w:nsid w:val="28677B7C"/>
    <w:multiLevelType w:val="hybridMultilevel"/>
    <w:lvl w:ilvl="0">
      <w:lvlJc w:val="left"/>
      <w:lvlText w:val="%1."/>
      <w:numFmt w:val="decimal"/>
      <w:start w:val="4"/>
    </w:lvl>
    <w:lvl w:ilvl="1">
      <w:lvlJc w:val="left"/>
      <w:lvlText w:val="(%2)"/>
      <w:numFmt w:val="lowerLetter"/>
      <w:start w:val="1"/>
    </w:lvl>
  </w:abstractNum>
  <w:abstractNum w:abstractNumId="207">
    <w:nsid w:val="378D97C0"/>
    <w:multiLevelType w:val="hybridMultilevel"/>
    <w:lvl w:ilvl="0">
      <w:lvlJc w:val="left"/>
      <w:lvlText w:val="(%1)"/>
      <w:numFmt w:val="lowerLetter"/>
      <w:start w:val="5"/>
    </w:lvl>
  </w:abstractNum>
  <w:abstractNum w:abstractNumId="208">
    <w:nsid w:val="1D91467C"/>
    <w:multiLevelType w:val="hybridMultilevel"/>
    <w:lvl w:ilvl="0">
      <w:lvlJc w:val="left"/>
      <w:lvlText w:val="(%1)"/>
      <w:numFmt w:val="lowerLetter"/>
      <w:start w:val="9"/>
    </w:lvl>
  </w:abstractNum>
  <w:abstractNum w:abstractNumId="209">
    <w:nsid w:val="316032BB"/>
    <w:multiLevelType w:val="hybridMultilevel"/>
    <w:lvl w:ilvl="0">
      <w:lvlJc w:val="left"/>
      <w:lvlText w:val="%1."/>
      <w:numFmt w:val="decimal"/>
      <w:start w:val="1"/>
    </w:lvl>
  </w:abstractNum>
  <w:abstractNum w:abstractNumId="210">
    <w:nsid w:val="44344C22"/>
    <w:multiLevelType w:val="hybridMultilevel"/>
    <w:lvl w:ilvl="0">
      <w:lvlJc w:val="left"/>
      <w:lvlText w:val="(%1)"/>
      <w:numFmt w:val="lowerRoman"/>
      <w:start w:val="3"/>
    </w:lvl>
  </w:abstractNum>
  <w:abstractNum w:abstractNumId="211">
    <w:nsid w:val="13CDFCFC"/>
    <w:multiLevelType w:val="hybridMultilevel"/>
    <w:lvl w:ilvl="0">
      <w:lvlJc w:val="left"/>
      <w:lvlText w:val="%1."/>
      <w:numFmt w:val="decimal"/>
      <w:start w:val="2"/>
    </w:lvl>
    <w:lvl w:ilvl="1">
      <w:lvlJc w:val="left"/>
      <w:lvlText w:val="(%2)"/>
      <w:numFmt w:val="lowerLetter"/>
      <w:start w:val="1"/>
    </w:lvl>
  </w:abstractNum>
  <w:abstractNum w:abstractNumId="212">
    <w:nsid w:val="471745E4"/>
    <w:multiLevelType w:val="hybridMultilevel"/>
    <w:lvl w:ilvl="0">
      <w:lvlJc w:val="left"/>
      <w:lvlText w:val="%1"/>
      <w:numFmt w:val="lowerLetter"/>
      <w:start w:val="1"/>
    </w:lvl>
    <w:lvl w:ilvl="1">
      <w:lvlJc w:val="left"/>
      <w:lvlText w:val="(%2)"/>
      <w:numFmt w:val="lowerLetter"/>
      <w:start w:val="2"/>
    </w:lvl>
  </w:abstractNum>
  <w:abstractNum w:abstractNumId="213">
    <w:nsid w:val="1DDBC66"/>
    <w:multiLevelType w:val="hybridMultilevel"/>
    <w:lvl w:ilvl="0">
      <w:lvlJc w:val="left"/>
      <w:lvlText w:val="%1."/>
      <w:numFmt w:val="lowerLetter"/>
      <w:start w:val="1"/>
    </w:lvl>
    <w:lvl w:ilvl="1">
      <w:lvlJc w:val="left"/>
      <w:lvlText w:val="%2"/>
      <w:numFmt w:val="lowerLetter"/>
      <w:start w:val="1"/>
    </w:lvl>
  </w:abstractNum>
  <w:abstractNum w:abstractNumId="214">
    <w:nsid w:val="30AADFDA"/>
    <w:multiLevelType w:val="hybridMultilevel"/>
    <w:lvl w:ilvl="0">
      <w:lvlJc w:val="left"/>
      <w:lvlText w:val="(%1)"/>
      <w:numFmt w:val="lowerLetter"/>
      <w:start w:val="4"/>
    </w:lvl>
    <w:lvl w:ilvl="1">
      <w:lvlJc w:val="left"/>
      <w:lvlText w:val="(%2)"/>
      <w:numFmt w:val="lowerLetter"/>
      <w:start w:val="5"/>
    </w:lvl>
  </w:abstractNum>
  <w:abstractNum w:abstractNumId="215">
    <w:nsid w:val="30EADA61"/>
    <w:multiLevelType w:val="hybridMultilevel"/>
    <w:lvl w:ilvl="0">
      <w:lvlJc w:val="left"/>
      <w:lvlText w:val="%1."/>
      <w:numFmt w:val="decimal"/>
      <w:start w:val="3"/>
    </w:lvl>
  </w:abstractNum>
  <w:abstractNum w:abstractNumId="216">
    <w:nsid w:val="27179C0B"/>
    <w:multiLevelType w:val="hybridMultilevel"/>
    <w:lvl w:ilvl="0">
      <w:lvlJc w:val="left"/>
      <w:lvlText w:val="%1"/>
      <w:numFmt w:val="lowerLetter"/>
      <w:start w:val="1"/>
    </w:lvl>
    <w:lvl w:ilvl="1">
      <w:lvlJc w:val="left"/>
      <w:lvlText w:val="(%2)"/>
      <w:numFmt w:val="lowerLetter"/>
      <w:start w:val="1"/>
    </w:lvl>
  </w:abstractNum>
  <w:abstractNum w:abstractNumId="217">
    <w:nsid w:val="5E636063"/>
    <w:multiLevelType w:val="hybridMultilevel"/>
    <w:lvl w:ilvl="0">
      <w:lvlJc w:val="left"/>
      <w:lvlText w:val="(%1)"/>
      <w:numFmt w:val="lowerLetter"/>
      <w:start w:val="61"/>
    </w:lvl>
    <w:lvl w:ilvl="1">
      <w:lvlJc w:val="left"/>
      <w:lvlText w:val="(%2)"/>
      <w:numFmt w:val="lowerLetter"/>
      <w:start w:val="3"/>
    </w:lvl>
  </w:abstractNum>
  <w:abstractNum w:abstractNumId="218">
    <w:nsid w:val="215641AF"/>
    <w:multiLevelType w:val="hybridMultilevel"/>
    <w:lvl w:ilvl="0">
      <w:lvlJc w:val="left"/>
      <w:lvlText w:val="(%1)"/>
      <w:numFmt w:val="lowerLetter"/>
      <w:start w:val="4"/>
    </w:lvl>
  </w:abstractNum>
  <w:abstractNum w:abstractNumId="219">
    <w:nsid w:val="53280662"/>
    <w:multiLevelType w:val="hybridMultilevel"/>
    <w:lvl w:ilvl="0">
      <w:lvlJc w:val="left"/>
      <w:lvlText w:val="(%1)"/>
      <w:numFmt w:val="lowerLetter"/>
      <w:start w:val="8"/>
    </w:lvl>
  </w:abstractNum>
  <w:abstractNum w:abstractNumId="220">
    <w:nsid w:val="46B24DBC"/>
    <w:multiLevelType w:val="hybridMultilevel"/>
    <w:lvl w:ilvl="0">
      <w:lvlJc w:val="left"/>
      <w:lvlText w:val="%1"/>
      <w:numFmt w:val="decimal"/>
      <w:start w:val="1"/>
    </w:lvl>
    <w:lvl w:ilvl="1">
      <w:lvlJc w:val="left"/>
      <w:lvlText w:val="(%2)"/>
      <w:numFmt w:val="lowerLetter"/>
      <w:start w:val="13"/>
    </w:lvl>
  </w:abstractNum>
  <w:abstractNum w:abstractNumId="221">
    <w:nsid w:val="75B52783"/>
    <w:multiLevelType w:val="hybridMultilevel"/>
    <w:lvl w:ilvl="0">
      <w:lvlJc w:val="left"/>
      <w:lvlText w:val="%1."/>
      <w:numFmt w:val="decimal"/>
      <w:start w:val="4"/>
    </w:lvl>
    <w:lvl w:ilvl="1">
      <w:lvlJc w:val="left"/>
      <w:lvlText w:val="(%2)"/>
      <w:numFmt w:val="lowerLetter"/>
      <w:start w:val="1"/>
    </w:lvl>
  </w:abstractNum>
  <w:abstractNum w:abstractNumId="222">
    <w:nsid w:val="57CE66B4"/>
    <w:multiLevelType w:val="hybridMultilevel"/>
    <w:lvl w:ilvl="0">
      <w:lvlJc w:val="left"/>
      <w:lvlText w:val="(%1)"/>
      <w:numFmt w:val="lowerLetter"/>
      <w:start w:val="2"/>
    </w:lvl>
  </w:abstractNum>
  <w:abstractNum w:abstractNumId="223">
    <w:nsid w:val="67A70B69"/>
    <w:multiLevelType w:val="hybridMultilevel"/>
    <w:lvl w:ilvl="0">
      <w:lvlJc w:val="left"/>
      <w:lvlText w:val="(%1)"/>
      <w:numFmt w:val="lowerLetter"/>
      <w:start w:val="3"/>
    </w:lvl>
  </w:abstractNum>
  <w:abstractNum w:abstractNumId="224">
    <w:nsid w:val="5953172F"/>
    <w:multiLevelType w:val="hybridMultilevel"/>
    <w:lvl w:ilvl="0">
      <w:lvlJc w:val="left"/>
      <w:lvlText w:val="(%1)"/>
      <w:numFmt w:val="lowerLetter"/>
      <w:start w:val="4"/>
    </w:lvl>
  </w:abstractNum>
  <w:abstractNum w:abstractNumId="225">
    <w:nsid w:val="27EDFE3A"/>
    <w:multiLevelType w:val="hybridMultilevel"/>
    <w:lvl w:ilvl="0">
      <w:lvlJc w:val="left"/>
      <w:lvlText w:val="%1."/>
      <w:numFmt w:val="decimal"/>
      <w:start w:val="6"/>
    </w:lvl>
  </w:abstractNum>
  <w:abstractNum w:abstractNumId="226">
    <w:nsid w:val="52AC7DFF"/>
    <w:multiLevelType w:val="hybridMultilevel"/>
    <w:lvl w:ilvl="0">
      <w:lvlJc w:val="left"/>
      <w:lvlText w:val="(%1)"/>
      <w:numFmt w:val="lowerLetter"/>
      <w:start w:val="1"/>
    </w:lvl>
  </w:abstractNum>
  <w:abstractNum w:abstractNumId="227">
    <w:nsid w:val="C4C3AF"/>
    <w:multiLevelType w:val="hybridMultilevel"/>
    <w:lvl w:ilvl="0">
      <w:lvlJc w:val="left"/>
      <w:lvlText w:val="(%1)"/>
      <w:numFmt w:val="lowerLetter"/>
      <w:start w:val="5"/>
    </w:lvl>
  </w:abstractNum>
  <w:abstractNum w:abstractNumId="228">
    <w:nsid w:val="44380727"/>
    <w:multiLevelType w:val="hybridMultilevel"/>
    <w:lvl w:ilvl="0">
      <w:lvlJc w:val="left"/>
      <w:lvlText w:val="(%1)"/>
      <w:numFmt w:val="lowerLetter"/>
      <w:start w:val="8"/>
    </w:lvl>
  </w:abstractNum>
  <w:abstractNum w:abstractNumId="229">
    <w:nsid w:val="6C053B16"/>
    <w:multiLevelType w:val="hybridMultilevel"/>
    <w:lvl w:ilvl="0">
      <w:lvlJc w:val="left"/>
      <w:lvlText w:val="(%1)"/>
      <w:numFmt w:val="lowerLetter"/>
      <w:start w:val="13"/>
    </w:lvl>
  </w:abstractNum>
  <w:abstractNum w:abstractNumId="230">
    <w:nsid w:val="4F294393"/>
    <w:multiLevelType w:val="hybridMultilevel"/>
    <w:lvl w:ilvl="0">
      <w:lvlJc w:val="left"/>
      <w:lvlText w:val="●"/>
      <w:numFmt w:val="bullet"/>
      <w:start w:val="1"/>
    </w:lvl>
  </w:abstractNum>
  <w:abstractNum w:abstractNumId="231">
    <w:nsid w:val="5243BFAC"/>
    <w:multiLevelType w:val="hybridMultilevel"/>
    <w:lvl w:ilvl="0">
      <w:lvlJc w:val="left"/>
      <w:lvlText w:val="(%1)"/>
      <w:numFmt w:val="decimal"/>
      <w:start w:val="1"/>
    </w:lvl>
  </w:abstractNum>
  <w:abstractNum w:abstractNumId="232">
    <w:nsid w:val="425EB207"/>
    <w:multiLevelType w:val="hybridMultilevel"/>
    <w:lvl w:ilvl="0">
      <w:lvlJc w:val="left"/>
      <w:lvlText w:val="%1."/>
      <w:numFmt w:val="decimal"/>
      <w:start w:val="1"/>
    </w:lvl>
    <w:lvl w:ilvl="1">
      <w:lvlJc w:val="left"/>
      <w:lvlText w:val="(%2)"/>
      <w:numFmt w:val="lowerLetter"/>
      <w:start w:val="1"/>
    </w:lvl>
  </w:abstractNum>
  <w:abstractNum w:abstractNumId="233">
    <w:nsid w:val="334A6F1F"/>
    <w:multiLevelType w:val="hybridMultilevel"/>
    <w:lvl w:ilvl="0">
      <w:lvlJc w:val="left"/>
      <w:lvlText w:val="%1."/>
      <w:numFmt w:val="decimal"/>
      <w:start w:val="3"/>
    </w:lvl>
    <w:lvl w:ilvl="1">
      <w:lvlJc w:val="left"/>
      <w:lvlText w:val="(%2)"/>
      <w:numFmt w:val="lowerLetter"/>
      <w:start w:val="1"/>
    </w:lvl>
  </w:abstractNum>
  <w:abstractNum w:abstractNumId="234">
    <w:nsid w:val="2E5B12B8"/>
    <w:multiLevelType w:val="hybridMultilevel"/>
    <w:lvl w:ilvl="0">
      <w:lvlJc w:val="left"/>
      <w:lvlText w:val="(%1)"/>
      <w:numFmt w:val="lowerLetter"/>
      <w:start w:val="2"/>
    </w:lvl>
  </w:abstractNum>
  <w:abstractNum w:abstractNumId="235">
    <w:nsid w:val="5C03D76D"/>
    <w:multiLevelType w:val="hybridMultilevel"/>
    <w:lvl w:ilvl="0">
      <w:lvlJc w:val="left"/>
      <w:lvlText w:val="(%1)"/>
      <w:numFmt w:val="lowerLetter"/>
      <w:start w:val="3"/>
    </w:lvl>
  </w:abstractNum>
  <w:abstractNum w:abstractNumId="236">
    <w:nsid w:val="66A48D11"/>
    <w:multiLevelType w:val="hybridMultilevel"/>
    <w:lvl w:ilvl="0">
      <w:lvlJc w:val="left"/>
      <w:lvlText w:val="(%1)"/>
      <w:numFmt w:val="lowerLetter"/>
      <w:start w:val="4"/>
    </w:lvl>
  </w:abstractNum>
  <w:abstractNum w:abstractNumId="237">
    <w:nsid w:val="56C28E3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2026-10-27T16:38:57Z</dcterms:created>
  <dcterms:modified xsi:type="dcterms:W3CDTF">2026-10-27T16:38:57Z</dcterms:modified>
</cp:coreProperties>
</file>