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927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27600"/>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Toler William Douglas</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(Last)</w:t>
            </w:r>
          </w:p>
        </w:tc>
        <w:tc>
          <w:tcPr>
            <w:tcW w:w="1360" w:type="dxa"/>
            <w:vAlign w:val="bottom"/>
          </w:tcPr>
          <w:p>
            <w:pPr>
              <w:ind w:left="420"/>
              <w:spacing w:after="0"/>
              <w:rPr>
                <w:sz w:val="20"/>
                <w:szCs w:val="20"/>
                <w:color w:val="auto"/>
              </w:rPr>
            </w:pPr>
            <w:r>
              <w:rPr>
                <w:rFonts w:ascii="Arial" w:cs="Arial" w:eastAsia="Arial" w:hAnsi="Arial"/>
                <w:sz w:val="13"/>
                <w:szCs w:val="13"/>
                <w:color w:val="auto"/>
              </w:rPr>
              <w:t>(First)</w:t>
            </w:r>
          </w:p>
        </w:tc>
        <w:tc>
          <w:tcPr>
            <w:tcW w:w="146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1510 MAIN STREET</w:t>
            </w:r>
          </w:p>
        </w:tc>
        <w:tc>
          <w:tcPr>
            <w:tcW w:w="146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1460" w:type="dxa"/>
            <w:vAlign w:val="bottom"/>
            <w:tcBorders>
              <w:bottom w:val="single" w:sz="8" w:color="9A9A9A"/>
            </w:tcBorders>
          </w:tcPr>
          <w:p>
            <w:pPr>
              <w:spacing w:after="0"/>
              <w:rPr>
                <w:sz w:val="17"/>
                <w:szCs w:val="17"/>
                <w:color w:val="auto"/>
              </w:rPr>
            </w:pPr>
          </w:p>
        </w:tc>
      </w:tr>
      <w:tr>
        <w:trPr>
          <w:trHeight w:val="25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SHOEMAKERSVILLE PA</w:t>
            </w:r>
          </w:p>
        </w:tc>
        <w:tc>
          <w:tcPr>
            <w:tcW w:w="1460" w:type="dxa"/>
            <w:vAlign w:val="bottom"/>
          </w:tcPr>
          <w:p>
            <w:pPr>
              <w:jc w:val="right"/>
              <w:ind w:right="489"/>
              <w:spacing w:after="0"/>
              <w:rPr>
                <w:sz w:val="20"/>
                <w:szCs w:val="20"/>
                <w:color w:val="auto"/>
              </w:rPr>
            </w:pPr>
            <w:r>
              <w:rPr>
                <w:rFonts w:ascii="Times New Roman" w:cs="Times New Roman" w:eastAsia="Times New Roman" w:hAnsi="Times New Roman"/>
                <w:sz w:val="17"/>
                <w:szCs w:val="17"/>
                <w:color w:val="0000FF"/>
              </w:rPr>
              <w:t>19555</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360" w:type="dxa"/>
            <w:vAlign w:val="bottom"/>
          </w:tcPr>
          <w:p>
            <w:pPr>
              <w:ind w:left="420"/>
              <w:spacing w:after="0"/>
              <w:rPr>
                <w:sz w:val="20"/>
                <w:szCs w:val="20"/>
                <w:color w:val="auto"/>
              </w:rPr>
            </w:pPr>
            <w:r>
              <w:rPr>
                <w:rFonts w:ascii="Arial" w:cs="Arial" w:eastAsia="Arial" w:hAnsi="Arial"/>
                <w:sz w:val="13"/>
                <w:szCs w:val="13"/>
                <w:color w:val="auto"/>
              </w:rPr>
              <w:t>(State)</w:t>
            </w:r>
          </w:p>
        </w:tc>
        <w:tc>
          <w:tcPr>
            <w:tcW w:w="146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jc w:val="right"/>
              <w:spacing w:after="0"/>
              <w:rPr>
                <w:sz w:val="20"/>
                <w:szCs w:val="20"/>
                <w:color w:val="auto"/>
              </w:rPr>
            </w:pPr>
            <w:r>
              <w:rPr>
                <w:rFonts w:ascii="Arial" w:cs="Arial" w:eastAsia="Arial" w:hAnsi="Arial"/>
                <w:sz w:val="13"/>
                <w:szCs w:val="13"/>
                <w:color w:val="auto"/>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5600" w:type="dxa"/>
            <w:vAlign w:val="bottom"/>
            <w:gridSpan w:val="5"/>
          </w:tcPr>
          <w:p>
            <w:pPr>
              <w:spacing w:after="0" w:line="219"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HYDROFARM HOLDINGS GROUP, INC.  </w:t>
              </w:r>
            </w:hyperlink>
            <w:r>
              <w:rPr>
                <w:rFonts w:ascii="Arial" w:cs="Arial" w:eastAsia="Arial" w:hAnsi="Arial"/>
                <w:sz w:val="25"/>
                <w:szCs w:val="25"/>
                <w:color w:val="000000"/>
                <w:vertAlign w:val="superscript"/>
              </w:rPr>
              <w:t>(Check</w:t>
            </w:r>
            <w:r>
              <w:rPr>
                <w:rFonts w:ascii="Times New Roman" w:cs="Times New Roman" w:eastAsia="Times New Roman" w:hAnsi="Times New Roman"/>
                <w:sz w:val="21"/>
                <w:szCs w:val="21"/>
                <w:color w:val="0000EE"/>
              </w:rPr>
              <w:t xml:space="preserve"> </w:t>
            </w:r>
            <w:r>
              <w:rPr>
                <w:rFonts w:ascii="Arial" w:cs="Arial" w:eastAsia="Arial" w:hAnsi="Arial"/>
                <w:sz w:val="25"/>
                <w:szCs w:val="25"/>
                <w:color w:val="000000"/>
                <w:vertAlign w:val="superscript"/>
              </w:rPr>
              <w:t>all applicable)</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60" w:type="dxa"/>
            <w:vAlign w:val="bottom"/>
            <w:vMerge w:val="restart"/>
          </w:tcPr>
          <w:p>
            <w:pPr>
              <w:spacing w:after="0"/>
              <w:rPr>
                <w:sz w:val="12"/>
                <w:szCs w:val="12"/>
                <w:color w:val="auto"/>
              </w:rPr>
            </w:pPr>
          </w:p>
        </w:tc>
        <w:tc>
          <w:tcPr>
            <w:tcW w:w="3660" w:type="dxa"/>
            <w:vAlign w:val="bottom"/>
            <w:tcBorders>
              <w:top w:val="single" w:sz="8" w:color="0000EE"/>
            </w:tcBorders>
            <w:gridSpan w:val="2"/>
            <w:vMerge w:val="restart"/>
          </w:tcPr>
          <w:p>
            <w:pPr>
              <w:spacing w:after="0" w:line="239" w:lineRule="exact"/>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6"/>
                <w:szCs w:val="16"/>
                <w:color w:val="0000FF"/>
              </w:rPr>
              <w:t>HYFM</w:t>
            </w:r>
            <w:r>
              <w:rPr>
                <w:rFonts w:ascii="Times New Roman" w:cs="Times New Roman" w:eastAsia="Times New Roman" w:hAnsi="Times New Roman"/>
                <w:sz w:val="21"/>
                <w:szCs w:val="21"/>
                <w:color w:val="auto"/>
              </w:rPr>
              <w:t xml:space="preserve"> ]</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89"/>
        </w:trPr>
        <w:tc>
          <w:tcPr>
            <w:tcW w:w="60" w:type="dxa"/>
            <w:vAlign w:val="bottom"/>
            <w:vMerge w:val="continue"/>
          </w:tcPr>
          <w:p>
            <w:pPr>
              <w:spacing w:after="0"/>
              <w:rPr>
                <w:sz w:val="7"/>
                <w:szCs w:val="7"/>
                <w:color w:val="auto"/>
              </w:rPr>
            </w:pPr>
          </w:p>
        </w:tc>
        <w:tc>
          <w:tcPr>
            <w:tcW w:w="366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9"/>
        </w:trPr>
        <w:tc>
          <w:tcPr>
            <w:tcW w:w="3820" w:type="dxa"/>
            <w:vAlign w:val="bottom"/>
            <w:gridSpan w:val="4"/>
          </w:tcPr>
          <w:p>
            <w:pPr>
              <w:ind w:left="60"/>
              <w:spacing w:after="0" w:line="129" w:lineRule="exact"/>
              <w:rPr>
                <w:sz w:val="20"/>
                <w:szCs w:val="20"/>
                <w:color w:val="auto"/>
              </w:rPr>
            </w:pPr>
            <w:r>
              <w:rPr>
                <w:rFonts w:ascii="Arial" w:cs="Arial" w:eastAsia="Arial" w:hAnsi="Arial"/>
                <w:sz w:val="13"/>
                <w:szCs w:val="13"/>
                <w:color w:val="auto"/>
              </w:rPr>
              <w:t>Foreign Trading Symbol</w:t>
            </w: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5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3120" w:type="dxa"/>
            <w:vAlign w:val="bottom"/>
            <w:gridSpan w:val="2"/>
          </w:tcPr>
          <w:p>
            <w:pPr>
              <w:ind w:left="260"/>
              <w:spacing w:after="0" w:line="181" w:lineRule="exact"/>
              <w:rPr>
                <w:sz w:val="20"/>
                <w:szCs w:val="20"/>
                <w:color w:val="auto"/>
              </w:rPr>
            </w:pPr>
            <w:r>
              <w:rPr>
                <w:rFonts w:ascii="Times New Roman" w:cs="Times New Roman" w:eastAsia="Times New Roman" w:hAnsi="Times New Roman"/>
                <w:sz w:val="17"/>
                <w:szCs w:val="17"/>
                <w:color w:val="0000FF"/>
              </w:rPr>
              <w:t xml:space="preserve">Chief Executive Officer </w:t>
            </w:r>
            <w:r>
              <w:rPr>
                <w:rFonts w:ascii="Times New Roman" w:cs="Times New Roman" w:eastAsia="Times New Roman" w:hAnsi="Times New Roman"/>
                <w:sz w:val="20"/>
                <w:szCs w:val="20"/>
                <w:color w:val="000000"/>
              </w:rPr>
              <w:t>/</w:t>
            </w:r>
            <w:r>
              <w:rPr>
                <w:rFonts w:ascii="Times New Roman" w:cs="Times New Roman" w:eastAsia="Times New Roman" w:hAnsi="Times New Roman"/>
                <w:sz w:val="17"/>
                <w:szCs w:val="17"/>
                <w:color w:val="0000FF"/>
              </w:rPr>
              <w:t xml:space="preserve"> Executive</w:t>
            </w:r>
          </w:p>
        </w:tc>
        <w:tc>
          <w:tcPr>
            <w:tcW w:w="0" w:type="dxa"/>
            <w:vAlign w:val="bottom"/>
          </w:tcPr>
          <w:p>
            <w:pPr>
              <w:spacing w:after="0"/>
              <w:rPr>
                <w:sz w:val="1"/>
                <w:szCs w:val="1"/>
                <w:color w:val="auto"/>
              </w:rPr>
            </w:pPr>
          </w:p>
        </w:tc>
      </w:tr>
      <w:tr>
        <w:trPr>
          <w:trHeight w:val="243"/>
        </w:trPr>
        <w:tc>
          <w:tcPr>
            <w:tcW w:w="37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10/27/2026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Chairman of Board</w:t>
            </w: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5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jc w:val="right"/>
              <w:spacing w:after="0"/>
              <w:rPr>
                <w:sz w:val="20"/>
                <w:szCs w:val="20"/>
                <w:color w:val="auto"/>
              </w:rPr>
            </w:pPr>
            <w:r>
              <w:rPr>
                <w:rFonts w:ascii="Arial" w:cs="Arial" w:eastAsia="Arial" w:hAnsi="Arial"/>
                <w:sz w:val="13"/>
                <w:szCs w:val="13"/>
                <w:color w:val="auto"/>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74"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40" w:type="dxa"/>
            <w:vAlign w:val="bottom"/>
          </w:tcPr>
          <w:p>
            <w:pPr>
              <w:spacing w:after="0"/>
              <w:rPr>
                <w:sz w:val="13"/>
                <w:szCs w:val="13"/>
                <w:color w:val="auto"/>
              </w:rPr>
            </w:pPr>
          </w:p>
        </w:tc>
        <w:tc>
          <w:tcPr>
            <w:tcW w:w="122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5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1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140" w:type="dxa"/>
            <w:vAlign w:val="bottom"/>
            <w:tcBorders>
              <w:bottom w:val="single" w:sz="8" w:color="2C2C2C"/>
            </w:tcBorders>
            <w:gridSpan w:val="4"/>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314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$0.0001 par value per share</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10/27/2026</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4"/>
              </w:rPr>
              <w:t>55,248</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0.905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276,920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0" w:type="dxa"/>
            <w:vAlign w:val="bottom"/>
            <w:gridSpan w:val="9"/>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3"/>
              <w:spacing w:after="0"/>
              <w:rPr>
                <w:sz w:val="20"/>
                <w:szCs w:val="20"/>
                <w:color w:val="auto"/>
              </w:rPr>
            </w:pPr>
            <w:r>
              <w:rPr>
                <w:rFonts w:ascii="Arial" w:cs="Arial" w:eastAsia="Arial" w:hAnsi="Arial"/>
                <w:sz w:val="12"/>
                <w:szCs w:val="12"/>
                <w:b w:val="1"/>
                <w:bCs w:val="1"/>
                <w:color w:val="auto"/>
                <w:w w:val="99"/>
              </w:rPr>
              <w:t>4.</w:t>
            </w:r>
          </w:p>
        </w:tc>
        <w:tc>
          <w:tcPr>
            <w:tcW w:w="90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3"/>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vMerge w:val="restart"/>
          </w:tcPr>
          <w:p>
            <w:pPr>
              <w:ind w:left="100"/>
              <w:spacing w:after="0" w:line="284" w:lineRule="exact"/>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55,248</w:t>
            </w:r>
          </w:p>
        </w:tc>
        <w:tc>
          <w:tcPr>
            <w:tcW w:w="160" w:type="dxa"/>
            <w:vAlign w:val="bottom"/>
          </w:tcPr>
          <w:p>
            <w:pPr>
              <w:spacing w:after="0"/>
              <w:rPr>
                <w:sz w:val="12"/>
                <w:szCs w:val="12"/>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008000"/>
              </w:rPr>
              <w:t>(1)</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0.78</w:t>
            </w: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10/27/2026</w:t>
            </w: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55,248</w:t>
            </w:r>
          </w:p>
        </w:tc>
        <w:tc>
          <w:tcPr>
            <w:tcW w:w="3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$0.0001</w:t>
            </w:r>
          </w:p>
        </w:tc>
        <w:tc>
          <w:tcPr>
            <w:tcW w:w="5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55,248</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Warrant</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6840"/>
        <w:spacing w:after="0"/>
        <w:rPr>
          <w:sz w:val="20"/>
          <w:szCs w:val="20"/>
          <w:color w:val="auto"/>
        </w:rPr>
      </w:pPr>
      <w:r>
        <w:rPr>
          <w:rFonts w:ascii="Times New Roman" w:cs="Times New Roman" w:eastAsia="Times New Roman" w:hAnsi="Times New Roman"/>
          <w:sz w:val="13"/>
          <w:szCs w:val="13"/>
          <w:color w:val="0000FF"/>
        </w:rPr>
        <w:t>per share</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20" w:firstLine="2"/>
        <w:spacing w:after="0" w:line="23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27, 2026, Issuer entered into a Securities Purchase Agreement (the "Purchase Agreement") with the purchasers signatory thereto and consummated the transactions contemplated thereunder. Pursuant to the Purchase Agreement, Issuer agreed to issue and sell to Reporting Person (i) in a registered direct offering 9,593 shares of Common Stock, $0.0001 par value per share ("Common Stock") and (ii) in a concurrent private placement 45,655 shares of Common Stock and 55,248 accompanying common stock purchase warrants to purchase shares of Common Stock (the "Common Warrants"). The transaction was approved by the Issuer's board of directors in accordance with Rule 16b-3.</w:t>
      </w:r>
    </w:p>
    <w:p>
      <w:pPr>
        <w:spacing w:after="0" w:line="26" w:lineRule="exact"/>
        <w:rPr>
          <w:rFonts w:ascii="Times New Roman" w:cs="Times New Roman" w:eastAsia="Times New Roman" w:hAnsi="Times New Roman"/>
          <w:sz w:val="13"/>
          <w:szCs w:val="13"/>
          <w:color w:val="008000"/>
        </w:rPr>
      </w:pPr>
    </w:p>
    <w:p>
      <w:pPr>
        <w:ind w:left="40" w:right="18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Common Warrants may be exercised on a one-for-one basis for shares of Common Stock at an exercise price of $0.78 per share of Common Stock, to the extent that after giving effect to such exercise the Reporting Person would beneficially own, for purposes of Section 13(d) of the Securities Exchange Act of 1934, as amended, no more than 9.99% of the outstanding shares of Common Stock. The Common Warrants will expire five and a half years following the date of issuance.</w:t>
      </w:r>
    </w:p>
    <w:p>
      <w:pPr>
        <w:spacing w:after="0" w:line="3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William Toler</w:t>
            </w:r>
          </w:p>
        </w:tc>
        <w:tc>
          <w:tcPr>
            <w:tcW w:w="106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10/29/2026</w:t>
            </w: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86696" TargetMode="External"/><Relationship Id="rId14" Type="http://schemas.openxmlformats.org/officeDocument/2006/relationships/hyperlink" Target="http://www.sec.gov/cgi-bin/browse-edgar?action=getcompany&amp;CIK=00016952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2026-10-29T17:09:32Z</dcterms:created>
  <dcterms:modified xsi:type="dcterms:W3CDTF">2026-10-29T17:09:32Z</dcterms:modified>
</cp:coreProperties>
</file>