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217805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175895</wp:posOffset>
            </wp:positionV>
            <wp:extent cx="106299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12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 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167005</wp:posOffset>
            </wp:positionV>
            <wp:extent cx="10629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a Party other than the Registrant  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Hydrofarm Holdings Group,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184785</wp:posOffset>
            </wp:positionV>
            <wp:extent cx="7132320" cy="25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450215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2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90525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5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6858000" cy="53917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391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2026-05-28T19:16:27Z</dcterms:created>
  <dcterms:modified xsi:type="dcterms:W3CDTF">2026-05-28T19:16:27Z</dcterms:modified>
</cp:coreProperties>
</file>