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9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O'Brien Kevin Patrick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1510 MAIN STREET</w:t>
      </w:r>
    </w:p>
    <w:p>
      <w:pPr>
        <w:spacing w:after="0" w:line="33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2740" w:val="left"/>
        </w:tabs>
        <w:rPr>
          <w:sz w:val="20"/>
          <w:szCs w:val="20"/>
          <w:color w:val="auto"/>
        </w:rPr>
      </w:pPr>
      <w:r>
        <w:rPr>
          <w:rFonts w:ascii="Times New Roman" w:cs="Times New Roman" w:eastAsia="Times New Roman" w:hAnsi="Times New Roman"/>
          <w:sz w:val="17"/>
          <w:szCs w:val="17"/>
          <w:color w:val="0000FF"/>
        </w:rPr>
        <w:t>SHOEMAKERSVILLE PA</w:t>
      </w:r>
      <w:r>
        <w:rPr>
          <w:sz w:val="20"/>
          <w:szCs w:val="20"/>
          <w:color w:val="auto"/>
        </w:rPr>
        <w:tab/>
      </w:r>
      <w:r>
        <w:rPr>
          <w:rFonts w:ascii="Times New Roman" w:cs="Times New Roman" w:eastAsia="Times New Roman" w:hAnsi="Times New Roman"/>
          <w:sz w:val="16"/>
          <w:szCs w:val="16"/>
          <w:color w:val="0000FF"/>
        </w:rPr>
        <w:t>19555</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660" w:type="dxa"/>
            <w:vAlign w:val="bottom"/>
            <w:tcBorders>
              <w:bottom w:val="single" w:sz="8" w:color="0000EE"/>
            </w:tcBorders>
          </w:tcPr>
          <w:p>
            <w:pPr>
              <w:spacing w:after="0" w:line="206"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HYDROFARM HOLDINGS GROUP, INC.</w:t>
              </w:r>
            </w:hyperlink>
          </w:p>
        </w:tc>
        <w:tc>
          <w:tcPr>
            <w:tcW w:w="100" w:type="dxa"/>
            <w:vAlign w:val="bottom"/>
          </w:tcPr>
          <w:p>
            <w:pPr>
              <w:spacing w:after="0"/>
              <w:rPr>
                <w:sz w:val="18"/>
                <w:szCs w:val="18"/>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6"/>
                <w:szCs w:val="16"/>
                <w:color w:val="0000FF"/>
              </w:rPr>
              <w:t>HYFM</w:t>
            </w:r>
            <w:r>
              <w:rPr>
                <w:rFonts w:ascii="Times New Roman" w:cs="Times New Roman" w:eastAsia="Times New Roman" w:hAnsi="Times New Roman"/>
                <w:sz w:val="21"/>
                <w:szCs w:val="21"/>
                <w:color w:val="auto"/>
              </w:rPr>
              <w:t xml:space="preserve"> ]</w:t>
            </w:r>
          </w:p>
        </w:tc>
        <w:tc>
          <w:tcPr>
            <w:tcW w:w="1840" w:type="dxa"/>
            <w:vAlign w:val="bottom"/>
          </w:tcPr>
          <w:p>
            <w:pPr>
              <w:ind w:left="6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3"/>
        </w:trPr>
        <w:tc>
          <w:tcPr>
            <w:tcW w:w="3820" w:type="dxa"/>
            <w:vAlign w:val="bottom"/>
            <w:gridSpan w:val="3"/>
            <w:vMerge w:val="continue"/>
          </w:tcPr>
          <w:p>
            <w:pPr>
              <w:spacing w:after="0"/>
              <w:rPr>
                <w:sz w:val="8"/>
                <w:szCs w:val="8"/>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820" w:type="dxa"/>
            <w:vAlign w:val="bottom"/>
            <w:gridSpan w:val="3"/>
            <w:vMerge w:val="continue"/>
          </w:tcPr>
          <w:p>
            <w:pPr>
              <w:spacing w:after="0"/>
              <w:rPr>
                <w:sz w:val="10"/>
                <w:szCs w:val="10"/>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3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10/27/2026</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38" w:lineRule="exact"/>
        <w:rPr>
          <w:sz w:val="24"/>
          <w:szCs w:val="24"/>
          <w:color w:val="auto"/>
        </w:rPr>
      </w:pPr>
    </w:p>
    <w:p>
      <w:pPr>
        <w:sectPr>
          <w:pgSz w:w="11900" w:h="16838" w:orient="portrait"/>
          <w:cols w:equalWidth="0" w:num="2">
            <w:col w:w="3180" w:space="6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 per share</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10/27/2006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55,248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0.905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68,470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3"/>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3"/>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restart"/>
          </w:tcPr>
          <w:p>
            <w:pPr>
              <w:ind w:left="100"/>
              <w:spacing w:after="0" w:line="284"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55,248</w:t>
            </w:r>
          </w:p>
        </w:tc>
        <w:tc>
          <w:tcPr>
            <w:tcW w:w="16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0.78</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10/27/2026</w:t>
            </w: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55,248</w:t>
            </w: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$0.0001</w:t>
            </w: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55,248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27, 2026, Issuer entered into a Securities Purchase Agreement (the "Purchase Agreement") with the purchasers signatory thereto and consummated the transactions contemplated thereunder. Pursuant to the Purchase Agreement, Issuer agreed to issue and sell to Reporting Person (i) in a registered direct offering 9,593 shares of Common Stock, $0.0001 par value per share ("Common Stock") and (ii) in a concurrent private placement 45,655 shares of Common Stock and 55,248 accompanying common stock purchase warrants to purchase shares of Common Stock (the "Common Warrants"). The transaction was approved by the Issuer's board of directors in accordance with Rule 16b-3.</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Warrants may be exercised on a one-for-one basis for shares of Common Stock at an exercise price of $0.78 per share of Common Stock, to the extent that after giving effect to such exercise the Reporting Person would beneficially own, for purposes of Section 13(d) of the Securities Exchange Act of 1934, as amended, no more than 9.99% of the outstanding shares of Common Stock. The Common Warrants will expire five and a half years following the date of issuance.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Kevin Patrick O'Brien</w:t>
            </w:r>
          </w:p>
        </w:tc>
        <w:tc>
          <w:tcPr>
            <w:tcW w:w="5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10/29/2026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5272" TargetMode="External"/><Relationship Id="rId14" Type="http://schemas.openxmlformats.org/officeDocument/2006/relationships/hyperlink" Target="http://www.sec.gov/cgi-bin/browse-edgar?action=getcompany&amp;CIK=0001695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2026-10-29T17:16:34Z</dcterms:created>
  <dcterms:modified xsi:type="dcterms:W3CDTF">2026-10-29T17:16:34Z</dcterms:modified>
</cp:coreProperties>
</file>