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99"/>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628650</wp:posOffset>
                </wp:positionH>
                <wp:positionV relativeFrom="page">
                  <wp:posOffset>549275</wp:posOffset>
                </wp:positionV>
                <wp:extent cx="6515100"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510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9.5pt,43.25pt" to="562.5pt,43.25pt" o:allowincell="f" strokecolor="#000000" strokeweight="0.96pt">
                <w10:wrap anchorx="page" anchory="page"/>
              </v:line>
            </w:pict>
          </mc:Fallback>
        </mc:AlternateContent>
        <mc:AlternateContent>
          <mc:Choice Requires="wps">
            <w:drawing>
              <wp:anchor simplePos="0" relativeHeight="251657728" behindDoc="1" locked="0" layoutInCell="0" allowOverlap="1">
                <wp:simplePos x="0" y="0"/>
                <wp:positionH relativeFrom="page">
                  <wp:posOffset>628650</wp:posOffset>
                </wp:positionH>
                <wp:positionV relativeFrom="page">
                  <wp:posOffset>573405</wp:posOffset>
                </wp:positionV>
                <wp:extent cx="651510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510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9.5pt,45.15pt" to="562.5pt,45.15pt" o:allowincell="f" strokecolor="#000000" strokeweight="0.96pt">
                <w10:wrap anchorx="page" anchory="page"/>
              </v:line>
            </w:pict>
          </mc:Fallback>
        </mc:AlternateContent>
        <w:t>UNITED STATES</w:t>
      </w:r>
    </w:p>
    <w:p>
      <w:pPr>
        <w:spacing w:after="0" w:line="41"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3"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2235835</wp:posOffset>
                </wp:positionH>
                <wp:positionV relativeFrom="paragraph">
                  <wp:posOffset>74295</wp:posOffset>
                </wp:positionV>
                <wp:extent cx="202946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29460" cy="4763"/>
                        </a:xfrm>
                        <a:prstGeom prst="line">
                          <a:avLst/>
                        </a:prstGeom>
                        <a:solidFill>
                          <a:srgbClr val="FFFFFF"/>
                        </a:solidFill>
                        <a:ln w="12190">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6.05pt,5.85pt" to="335.85pt,5.85pt" o:allowincell="f" strokecolor="#000000" strokeweight="0.9598pt"/>
            </w:pict>
          </mc:Fallback>
        </mc:AlternateContent>
      </w:r>
    </w:p>
    <w:p>
      <w:pPr>
        <w:spacing w:after="0" w:line="165"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4"/>
          <w:szCs w:val="24"/>
          <w:b w:val="1"/>
          <w:bCs w:val="1"/>
          <w:color w:val="auto"/>
        </w:rPr>
        <w:t>FORM 10-K</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2235835</wp:posOffset>
                </wp:positionH>
                <wp:positionV relativeFrom="paragraph">
                  <wp:posOffset>104140</wp:posOffset>
                </wp:positionV>
                <wp:extent cx="202946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2946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6.05pt,8.2pt" to="335.85pt,8.2pt" o:allowincell="f" strokecolor="#000000" strokeweight="0.96pt"/>
            </w:pict>
          </mc:Fallback>
        </mc:AlternateContent>
      </w:r>
    </w:p>
    <w:p>
      <w:pPr>
        <w:spacing w:after="0" w:line="324" w:lineRule="exact"/>
        <w:rPr>
          <w:sz w:val="24"/>
          <w:szCs w:val="24"/>
          <w:color w:val="auto"/>
        </w:rPr>
      </w:pPr>
    </w:p>
    <w:p>
      <w:pPr>
        <w:ind w:left="3980" w:right="2160" w:hanging="3937"/>
        <w:spacing w:after="0" w:line="245" w:lineRule="auto"/>
        <w:tabs>
          <w:tab w:leader="none" w:pos="334" w:val="left"/>
        </w:tabs>
        <w:numPr>
          <w:ilvl w:val="0"/>
          <w:numId w:val="1"/>
        </w:numPr>
        <w:rPr>
          <w:rFonts w:ascii="Segoe UI" w:cs="Segoe UI" w:eastAsia="Segoe UI" w:hAnsi="Segoe UI"/>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2025</w:t>
      </w:r>
    </w:p>
    <w:p>
      <w:pPr>
        <w:ind w:left="5360"/>
        <w:spacing w:after="0"/>
        <w:rPr>
          <w:rFonts w:ascii="Segoe UI" w:cs="Segoe UI" w:eastAsia="Segoe UI" w:hAnsi="Segoe UI"/>
          <w:sz w:val="16"/>
          <w:szCs w:val="16"/>
          <w:color w:val="auto"/>
        </w:rPr>
      </w:pPr>
      <w:r>
        <w:rPr>
          <w:rFonts w:ascii="Times New Roman" w:cs="Times New Roman" w:eastAsia="Times New Roman" w:hAnsi="Times New Roman"/>
          <w:sz w:val="16"/>
          <w:szCs w:val="16"/>
          <w:b w:val="1"/>
          <w:bCs w:val="1"/>
          <w:color w:val="auto"/>
        </w:rPr>
        <w:t>OR</w:t>
      </w:r>
    </w:p>
    <w:p>
      <w:pPr>
        <w:ind w:left="320" w:hanging="277"/>
        <w:spacing w:after="0"/>
        <w:tabs>
          <w:tab w:leader="none" w:pos="320" w:val="left"/>
        </w:tabs>
        <w:numPr>
          <w:ilvl w:val="0"/>
          <w:numId w:val="2"/>
        </w:numPr>
        <w:rPr>
          <w:rFonts w:ascii="Segoe UI" w:cs="Segoe UI" w:eastAsia="Segoe UI" w:hAnsi="Segoe UI"/>
          <w:sz w:val="2"/>
          <w:szCs w:val="2"/>
          <w:color w:val="auto"/>
        </w:rPr>
      </w:pPr>
      <w:r>
        <w:rPr>
          <w:rFonts w:ascii="Times New Roman" w:cs="Times New Roman" w:eastAsia="Times New Roman" w:hAnsi="Times New Roman"/>
          <w:sz w:val="2"/>
          <w:szCs w:val="2"/>
          <w:b w:val="1"/>
          <w:bCs w:val="1"/>
          <w:color w:val="auto"/>
        </w:rPr>
        <w:t>TRANSITION REPORT PURSUANT TO SECTION 13 OR 15(d) OF THE SECURITIES EXCHANGE ACT OF 1934</w:t>
      </w:r>
    </w:p>
    <w:p>
      <w:pPr>
        <w:spacing w:after="0" w:line="195" w:lineRule="exact"/>
        <w:rPr>
          <w:sz w:val="24"/>
          <w:szCs w:val="24"/>
          <w:color w:val="auto"/>
        </w:rPr>
      </w:pPr>
    </w:p>
    <w:p>
      <w:pPr>
        <w:ind w:left="3980"/>
        <w:spacing w:after="0"/>
        <w:tabs>
          <w:tab w:leader="none" w:pos="6840" w:val="left"/>
        </w:tabs>
        <w:rPr>
          <w:sz w:val="20"/>
          <w:szCs w:val="20"/>
          <w:color w:val="auto"/>
        </w:rPr>
      </w:pPr>
      <w:r>
        <w:rPr>
          <w:rFonts w:ascii="Times New Roman" w:cs="Times New Roman" w:eastAsia="Times New Roman" w:hAnsi="Times New Roman"/>
          <w:sz w:val="16"/>
          <w:szCs w:val="16"/>
          <w:b w:val="1"/>
          <w:bCs w:val="1"/>
          <w:color w:val="auto"/>
        </w:rPr>
        <w:t>For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68"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Commission File Number: 001-39773</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2235835</wp:posOffset>
                </wp:positionH>
                <wp:positionV relativeFrom="paragraph">
                  <wp:posOffset>92075</wp:posOffset>
                </wp:positionV>
                <wp:extent cx="202946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29460"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6.05pt,7.25pt" to="335.85pt,7.25pt" o:allowincell="f" strokecolor="#000000" strokeweight="0.9599pt"/>
            </w:pict>
          </mc:Fallback>
        </mc:AlternateContent>
      </w:r>
    </w:p>
    <w:p>
      <w:pPr>
        <w:spacing w:after="0" w:line="172"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24"/>
          <w:szCs w:val="24"/>
          <w:b w:val="1"/>
          <w:bCs w:val="1"/>
          <w:color w:val="auto"/>
        </w:rPr>
        <w:t>Hydrofarm Holdings Group, Inc.</w:t>
      </w:r>
    </w:p>
    <w:p>
      <w:pPr>
        <w:spacing w:after="0" w:line="54"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2235835</wp:posOffset>
                </wp:positionH>
                <wp:positionV relativeFrom="paragraph">
                  <wp:posOffset>62865</wp:posOffset>
                </wp:positionV>
                <wp:extent cx="202946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29460"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6.05pt,4.95pt" to="335.85pt,4.95pt" o:allowincell="f" strokecolor="#000000" strokeweight="0.9599pt"/>
            </w:pict>
          </mc:Fallback>
        </mc:AlternateContent>
      </w:r>
    </w:p>
    <w:p>
      <w:pPr>
        <w:sectPr>
          <w:pgSz w:w="12240" w:h="15840" w:orient="portrait"/>
          <w:cols w:equalWidth="0" w:num="1">
            <w:col w:w="10260"/>
          </w:cols>
          <w:pgMar w:left="1000" w:top="942" w:right="980" w:bottom="1440" w:gutter="0" w:footer="0" w:header="0"/>
        </w:sectPr>
      </w:pPr>
    </w:p>
    <w:p>
      <w:pPr>
        <w:spacing w:after="0" w:line="183"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81-4895761</w:t>
      </w:r>
    </w:p>
    <w:p>
      <w:pPr>
        <w:spacing w:after="0" w:line="66" w:lineRule="exact"/>
        <w:rPr>
          <w:sz w:val="24"/>
          <w:szCs w:val="24"/>
          <w:color w:val="auto"/>
        </w:rPr>
      </w:pPr>
    </w:p>
    <w:p>
      <w:pPr>
        <w:sectPr>
          <w:pgSz w:w="12240" w:h="15840" w:orient="portrait"/>
          <w:cols w:equalWidth="0" w:num="2">
            <w:col w:w="6600" w:space="720"/>
            <w:col w:w="2940"/>
          </w:cols>
          <w:pgMar w:left="1000" w:top="942" w:right="980" w:bottom="1440" w:gutter="0" w:footer="0" w:header="0"/>
          <w:type w:val="continuous"/>
        </w:sectPr>
      </w:pPr>
    </w:p>
    <w:p>
      <w:pPr>
        <w:spacing w:after="0" w:line="18"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Number)</w:t>
      </w:r>
    </w:p>
    <w:p>
      <w:pPr>
        <w:spacing w:after="0" w:line="42" w:lineRule="exact"/>
        <w:rPr>
          <w:sz w:val="24"/>
          <w:szCs w:val="24"/>
          <w:color w:val="auto"/>
        </w:rPr>
      </w:pPr>
    </w:p>
    <w:p>
      <w:pPr>
        <w:sectPr>
          <w:pgSz w:w="12240" w:h="15840" w:orient="portrait"/>
          <w:cols w:equalWidth="0" w:num="2">
            <w:col w:w="5520" w:space="720"/>
            <w:col w:w="4020"/>
          </w:cols>
          <w:pgMar w:left="1000" w:top="942" w:right="980" w:bottom="1440" w:gutter="0" w:footer="0" w:header="0"/>
          <w:type w:val="continuous"/>
        </w:sect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1510 Main Street</w:t>
      </w: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Shoemakersville, Pennsylvania 19555</w:t>
      </w:r>
    </w:p>
    <w:p>
      <w:pPr>
        <w:spacing w:after="0" w:line="8"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(707) 765-9990</w:t>
      </w:r>
    </w:p>
    <w:p>
      <w:pPr>
        <w:spacing w:after="0" w:line="8"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6"/>
          <w:szCs w:val="16"/>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2235835</wp:posOffset>
                </wp:positionH>
                <wp:positionV relativeFrom="paragraph">
                  <wp:posOffset>37465</wp:posOffset>
                </wp:positionV>
                <wp:extent cx="202946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29460"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6.05pt,2.95pt" to="335.85pt,2.95pt" o:allowincell="f" strokecolor="#000000" strokeweight="0.9599pt"/>
            </w:pict>
          </mc:Fallback>
        </mc:AlternateContent>
      </w:r>
    </w:p>
    <w:p>
      <w:pPr>
        <w:spacing w:after="0" w:line="36"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20"/>
          <w:szCs w:val="20"/>
          <w:b w:val="1"/>
          <w:bCs w:val="1"/>
          <w:color w:val="auto"/>
        </w:rPr>
        <w:t>Securities registered pursuant to Section 12(b) of the Act:</w:t>
      </w:r>
    </w:p>
    <w:p>
      <w:pPr>
        <w:spacing w:after="0" w:line="133" w:lineRule="exact"/>
        <w:rPr>
          <w:sz w:val="24"/>
          <w:szCs w:val="24"/>
          <w:color w:val="auto"/>
        </w:rPr>
      </w:pPr>
    </w:p>
    <w:tbl>
      <w:tblPr>
        <w:tblLayout w:type="fixed"/>
        <w:tblInd w:w="180" w:type="dxa"/>
        <w:tblCellMar>
          <w:top w:w="0" w:type="dxa"/>
          <w:left w:w="0" w:type="dxa"/>
          <w:bottom w:w="0" w:type="dxa"/>
          <w:right w:w="0" w:type="dxa"/>
        </w:tblCellMar>
      </w:tblPr>
      <w:tr>
        <w:trPr>
          <w:trHeight w:val="185"/>
        </w:trPr>
        <w:tc>
          <w:tcPr>
            <w:tcW w:w="900" w:type="dxa"/>
            <w:vAlign w:val="bottom"/>
          </w:tcPr>
          <w:p>
            <w:pPr>
              <w:spacing w:after="0"/>
              <w:rPr>
                <w:sz w:val="16"/>
                <w:szCs w:val="16"/>
                <w:color w:val="auto"/>
              </w:rPr>
            </w:pPr>
          </w:p>
        </w:tc>
        <w:tc>
          <w:tcPr>
            <w:tcW w:w="2800" w:type="dxa"/>
            <w:vAlign w:val="bottom"/>
            <w:gridSpan w:val="2"/>
          </w:tcPr>
          <w:p>
            <w:pPr>
              <w:jc w:val="center"/>
              <w:ind w:right="160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25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3660" w:type="dxa"/>
            <w:vAlign w:val="bottom"/>
            <w:gridSpan w:val="2"/>
          </w:tcPr>
          <w:p>
            <w:pPr>
              <w:jc w:val="center"/>
              <w:ind w:left="60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9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r>
      <w:tr>
        <w:trPr>
          <w:trHeight w:val="255"/>
        </w:trPr>
        <w:tc>
          <w:tcPr>
            <w:tcW w:w="3700" w:type="dxa"/>
            <w:vAlign w:val="bottom"/>
            <w:gridSpan w:val="3"/>
          </w:tcPr>
          <w:p>
            <w:pPr>
              <w:jc w:val="center"/>
              <w:ind w:right="700"/>
              <w:spacing w:after="0"/>
              <w:rPr>
                <w:sz w:val="20"/>
                <w:szCs w:val="20"/>
                <w:color w:val="auto"/>
              </w:rPr>
            </w:pPr>
            <w:r>
              <w:rPr>
                <w:rFonts w:ascii="Times New Roman" w:cs="Times New Roman" w:eastAsia="Times New Roman" w:hAnsi="Times New Roman"/>
                <w:sz w:val="16"/>
                <w:szCs w:val="16"/>
                <w:b w:val="1"/>
                <w:bCs w:val="1"/>
                <w:color w:val="auto"/>
                <w:w w:val="99"/>
              </w:rPr>
              <w:t>Common Stock, $0.0001 par value per share</w:t>
            </w:r>
          </w:p>
        </w:tc>
        <w:tc>
          <w:tcPr>
            <w:tcW w:w="680" w:type="dxa"/>
            <w:vAlign w:val="bottom"/>
          </w:tcPr>
          <w:p>
            <w:pPr>
              <w:spacing w:after="0"/>
              <w:rPr>
                <w:sz w:val="22"/>
                <w:szCs w:val="22"/>
                <w:color w:val="auto"/>
              </w:rPr>
            </w:pPr>
          </w:p>
        </w:tc>
        <w:tc>
          <w:tcPr>
            <w:tcW w:w="1820" w:type="dxa"/>
            <w:vAlign w:val="bottom"/>
            <w:gridSpan w:val="2"/>
          </w:tcPr>
          <w:p>
            <w:pPr>
              <w:jc w:val="center"/>
              <w:ind w:right="700"/>
              <w:spacing w:after="0"/>
              <w:rPr>
                <w:sz w:val="20"/>
                <w:szCs w:val="20"/>
                <w:color w:val="auto"/>
              </w:rPr>
            </w:pPr>
            <w:r>
              <w:rPr>
                <w:rFonts w:ascii="Times New Roman" w:cs="Times New Roman" w:eastAsia="Times New Roman" w:hAnsi="Times New Roman"/>
                <w:sz w:val="16"/>
                <w:szCs w:val="16"/>
                <w:b w:val="1"/>
                <w:bCs w:val="1"/>
                <w:color w:val="auto"/>
                <w:w w:val="98"/>
              </w:rPr>
              <w:t>HYFM</w:t>
            </w:r>
          </w:p>
        </w:tc>
        <w:tc>
          <w:tcPr>
            <w:tcW w:w="680" w:type="dxa"/>
            <w:vAlign w:val="bottom"/>
          </w:tcPr>
          <w:p>
            <w:pPr>
              <w:spacing w:after="0"/>
              <w:rPr>
                <w:sz w:val="22"/>
                <w:szCs w:val="22"/>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Nasdaq Stock Market LLC</w:t>
            </w:r>
          </w:p>
        </w:tc>
      </w:tr>
    </w:tbl>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12(g) of the Exchange Act: None</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Segoe UI" w:cs="Segoe UI" w:eastAsia="Segoe UI" w:hAnsi="Segoe UI"/>
          <w:sz w:val="16"/>
          <w:szCs w:val="16"/>
          <w:color w:val="auto"/>
        </w:rPr>
        <w:t>տ</w:t>
      </w:r>
      <w:r>
        <w:rPr>
          <w:rFonts w:ascii="Times New Roman" w:cs="Times New Roman" w:eastAsia="Times New Roman" w:hAnsi="Times New Roman"/>
          <w:sz w:val="16"/>
          <w:szCs w:val="16"/>
          <w:color w:val="auto"/>
        </w:rPr>
        <w:t xml:space="preserve"> No </w:t>
      </w:r>
      <w:r>
        <w:rPr>
          <w:rFonts w:ascii="Segoe UI" w:cs="Segoe UI" w:eastAsia="Segoe UI" w:hAnsi="Segoe UI"/>
          <w:sz w:val="16"/>
          <w:szCs w:val="16"/>
          <w:color w:val="auto"/>
        </w:rPr>
        <w:t>ց</w:t>
      </w:r>
    </w:p>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Exchange Act. Yes </w:t>
      </w:r>
      <w:r>
        <w:rPr>
          <w:rFonts w:ascii="Segoe UI" w:cs="Segoe UI" w:eastAsia="Segoe UI" w:hAnsi="Segoe UI"/>
          <w:sz w:val="16"/>
          <w:szCs w:val="16"/>
          <w:color w:val="auto"/>
        </w:rPr>
        <w:t>տ</w:t>
      </w:r>
      <w:r>
        <w:rPr>
          <w:rFonts w:ascii="Times New Roman" w:cs="Times New Roman" w:eastAsia="Times New Roman" w:hAnsi="Times New Roman"/>
          <w:sz w:val="16"/>
          <w:szCs w:val="16"/>
          <w:color w:val="auto"/>
        </w:rPr>
        <w:t xml:space="preserve"> No </w:t>
      </w:r>
      <w:r>
        <w:rPr>
          <w:rFonts w:ascii="Segoe UI" w:cs="Segoe UI" w:eastAsia="Segoe UI" w:hAnsi="Segoe UI"/>
          <w:sz w:val="16"/>
          <w:szCs w:val="16"/>
          <w:color w:val="auto"/>
        </w:rPr>
        <w:t>ց</w:t>
      </w:r>
    </w:p>
    <w:p>
      <w:pPr>
        <w:spacing w:after="0" w:line="74" w:lineRule="exact"/>
        <w:rPr>
          <w:sz w:val="24"/>
          <w:szCs w:val="24"/>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Segoe UI" w:cs="Segoe UI" w:eastAsia="Segoe UI" w:hAnsi="Segoe UI"/>
          <w:sz w:val="16"/>
          <w:szCs w:val="16"/>
          <w:color w:val="auto"/>
        </w:rPr>
        <w:t>ց</w:t>
      </w:r>
      <w:r>
        <w:rPr>
          <w:rFonts w:ascii="Times New Roman" w:cs="Times New Roman" w:eastAsia="Times New Roman" w:hAnsi="Times New Roman"/>
          <w:sz w:val="16"/>
          <w:szCs w:val="16"/>
          <w:color w:val="auto"/>
        </w:rPr>
        <w:t xml:space="preserve"> No </w:t>
      </w:r>
      <w:r>
        <w:rPr>
          <w:rFonts w:ascii="Segoe UI" w:cs="Segoe UI" w:eastAsia="Segoe UI" w:hAnsi="Segoe UI"/>
          <w:sz w:val="16"/>
          <w:szCs w:val="16"/>
          <w:color w:val="auto"/>
        </w:rPr>
        <w:t>տ</w:t>
      </w:r>
    </w:p>
    <w:p>
      <w:pPr>
        <w:spacing w:after="0" w:line="1" w:lineRule="exact"/>
        <w:rPr>
          <w:sz w:val="24"/>
          <w:szCs w:val="24"/>
          <w:color w:val="auto"/>
        </w:rPr>
      </w:pPr>
    </w:p>
    <w:p>
      <w:pPr>
        <w:jc w:val="both"/>
        <w:spacing w:after="0" w:line="231"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Yes </w:t>
      </w:r>
      <w:r>
        <w:rPr>
          <w:rFonts w:ascii="Segoe UI" w:cs="Segoe UI" w:eastAsia="Segoe UI" w:hAnsi="Segoe UI"/>
          <w:sz w:val="16"/>
          <w:szCs w:val="16"/>
          <w:color w:val="auto"/>
        </w:rPr>
        <w:t>ց</w:t>
      </w:r>
      <w:r>
        <w:rPr>
          <w:rFonts w:ascii="Times New Roman" w:cs="Times New Roman" w:eastAsia="Times New Roman" w:hAnsi="Times New Roman"/>
          <w:sz w:val="16"/>
          <w:szCs w:val="16"/>
          <w:color w:val="auto"/>
        </w:rPr>
        <w:t xml:space="preserve"> No </w:t>
      </w:r>
      <w:r>
        <w:rPr>
          <w:rFonts w:ascii="Segoe UI" w:cs="Segoe UI" w:eastAsia="Segoe UI" w:hAnsi="Segoe UI"/>
          <w:sz w:val="16"/>
          <w:szCs w:val="16"/>
          <w:color w:val="auto"/>
        </w:rPr>
        <w:t>տ</w:t>
      </w:r>
    </w:p>
    <w:p>
      <w:pPr>
        <w:spacing w:after="0" w:line="73"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600" w:type="dxa"/>
            <w:vAlign w:val="bottom"/>
          </w:tcPr>
          <w:p>
            <w:pPr>
              <w:ind w:left="240"/>
              <w:spacing w:after="0"/>
              <w:rPr>
                <w:sz w:val="20"/>
                <w:szCs w:val="20"/>
                <w:color w:val="auto"/>
              </w:rPr>
            </w:pPr>
            <w:r>
              <w:rPr>
                <w:rFonts w:ascii="Segoe UI" w:cs="Segoe UI" w:eastAsia="Segoe UI" w:hAnsi="Segoe UI"/>
                <w:sz w:val="16"/>
                <w:szCs w:val="16"/>
                <w:color w:val="auto"/>
              </w:rPr>
              <w:t>տ</w:t>
            </w:r>
          </w:p>
        </w:tc>
        <w:tc>
          <w:tcPr>
            <w:tcW w:w="4240" w:type="dxa"/>
            <w:vAlign w:val="bottom"/>
          </w:tcPr>
          <w:p>
            <w:pPr>
              <w:ind w:left="2220"/>
              <w:spacing w:after="0"/>
              <w:rPr>
                <w:sz w:val="20"/>
                <w:szCs w:val="20"/>
                <w:color w:val="auto"/>
              </w:rPr>
            </w:pPr>
            <w:r>
              <w:rPr>
                <w:rFonts w:ascii="Times New Roman" w:cs="Times New Roman" w:eastAsia="Times New Roman" w:hAnsi="Times New Roman"/>
                <w:sz w:val="16"/>
                <w:szCs w:val="16"/>
                <w:color w:val="auto"/>
              </w:rPr>
              <w:t>Accelerated filer</w:t>
            </w:r>
          </w:p>
        </w:tc>
        <w:tc>
          <w:tcPr>
            <w:tcW w:w="400" w:type="dxa"/>
            <w:vAlign w:val="bottom"/>
          </w:tcPr>
          <w:p>
            <w:pPr>
              <w:ind w:left="260"/>
              <w:spacing w:after="0"/>
              <w:rPr>
                <w:sz w:val="20"/>
                <w:szCs w:val="20"/>
                <w:color w:val="auto"/>
              </w:rPr>
            </w:pPr>
            <w:r>
              <w:rPr>
                <w:rFonts w:ascii="Segoe UI" w:cs="Segoe UI" w:eastAsia="Segoe UI" w:hAnsi="Segoe UI"/>
                <w:sz w:val="16"/>
                <w:szCs w:val="16"/>
                <w:color w:val="auto"/>
                <w:w w:val="89"/>
              </w:rPr>
              <w:t>տ</w:t>
            </w:r>
          </w:p>
        </w:tc>
      </w:tr>
      <w:tr>
        <w:trPr>
          <w:trHeight w:val="24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600" w:type="dxa"/>
            <w:vAlign w:val="bottom"/>
          </w:tcPr>
          <w:p>
            <w:pPr>
              <w:ind w:left="240"/>
              <w:spacing w:after="0"/>
              <w:rPr>
                <w:sz w:val="20"/>
                <w:szCs w:val="20"/>
                <w:color w:val="auto"/>
              </w:rPr>
            </w:pPr>
            <w:r>
              <w:rPr>
                <w:rFonts w:ascii="Segoe UI" w:cs="Segoe UI" w:eastAsia="Segoe UI" w:hAnsi="Segoe UI"/>
                <w:sz w:val="16"/>
                <w:szCs w:val="16"/>
                <w:color w:val="auto"/>
              </w:rPr>
              <w:t>ց</w:t>
            </w:r>
          </w:p>
        </w:tc>
        <w:tc>
          <w:tcPr>
            <w:tcW w:w="4240" w:type="dxa"/>
            <w:vAlign w:val="bottom"/>
          </w:tcPr>
          <w:p>
            <w:pPr>
              <w:ind w:left="22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00" w:type="dxa"/>
            <w:vAlign w:val="bottom"/>
          </w:tcPr>
          <w:p>
            <w:pPr>
              <w:ind w:left="260"/>
              <w:spacing w:after="0"/>
              <w:rPr>
                <w:sz w:val="20"/>
                <w:szCs w:val="20"/>
                <w:color w:val="auto"/>
              </w:rPr>
            </w:pPr>
            <w:r>
              <w:rPr>
                <w:rFonts w:ascii="Segoe UI" w:cs="Segoe UI" w:eastAsia="Segoe UI" w:hAnsi="Segoe UI"/>
                <w:sz w:val="16"/>
                <w:szCs w:val="16"/>
                <w:color w:val="auto"/>
              </w:rPr>
              <w:t>ց</w:t>
            </w:r>
          </w:p>
        </w:tc>
      </w:tr>
      <w:tr>
        <w:trPr>
          <w:trHeight w:val="345"/>
        </w:trPr>
        <w:tc>
          <w:tcPr>
            <w:tcW w:w="16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240" w:type="dxa"/>
            <w:vAlign w:val="bottom"/>
          </w:tcPr>
          <w:p>
            <w:pPr>
              <w:ind w:left="2220"/>
              <w:spacing w:after="0"/>
              <w:rPr>
                <w:sz w:val="20"/>
                <w:szCs w:val="20"/>
                <w:color w:val="auto"/>
              </w:rPr>
            </w:pPr>
            <w:r>
              <w:rPr>
                <w:rFonts w:ascii="Times New Roman" w:cs="Times New Roman" w:eastAsia="Times New Roman" w:hAnsi="Times New Roman"/>
                <w:sz w:val="16"/>
                <w:szCs w:val="16"/>
                <w:color w:val="auto"/>
              </w:rPr>
              <w:t>Emerging growth company</w:t>
            </w:r>
          </w:p>
        </w:tc>
        <w:tc>
          <w:tcPr>
            <w:tcW w:w="400" w:type="dxa"/>
            <w:vAlign w:val="bottom"/>
          </w:tcPr>
          <w:p>
            <w:pPr>
              <w:ind w:left="260"/>
              <w:spacing w:after="0"/>
              <w:rPr>
                <w:sz w:val="20"/>
                <w:szCs w:val="20"/>
                <w:color w:val="auto"/>
              </w:rPr>
            </w:pPr>
            <w:r>
              <w:rPr>
                <w:rFonts w:ascii="Segoe UI" w:cs="Segoe UI" w:eastAsia="Segoe UI" w:hAnsi="Segoe UI"/>
                <w:sz w:val="16"/>
                <w:szCs w:val="16"/>
                <w:color w:val="auto"/>
                <w:w w:val="89"/>
              </w:rPr>
              <w:t>տ</w:t>
            </w:r>
          </w:p>
        </w:tc>
      </w:tr>
    </w:tbl>
    <w:p>
      <w:pPr>
        <w:jc w:val="both"/>
        <w:spacing w:after="0" w:line="256"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w:cs="Segoe UI" w:eastAsia="Segoe UI" w:hAnsi="Segoe UI"/>
          <w:sz w:val="16"/>
          <w:szCs w:val="16"/>
          <w:color w:val="auto"/>
        </w:rPr>
        <w:t>տ</w:t>
      </w:r>
    </w:p>
    <w:p>
      <w:pPr>
        <w:spacing w:after="0" w:line="2" w:lineRule="exact"/>
        <w:rPr>
          <w:sz w:val="24"/>
          <w:szCs w:val="24"/>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Segoe UI" w:cs="Segoe UI" w:eastAsia="Segoe UI" w:hAnsi="Segoe UI"/>
          <w:sz w:val="16"/>
          <w:szCs w:val="16"/>
          <w:color w:val="auto"/>
        </w:rPr>
        <w:t>տ</w:t>
      </w:r>
    </w:p>
    <w:p>
      <w:pPr>
        <w:spacing w:after="0" w:line="2"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filling reflect the correction of an error to previously issued financial statements. </w:t>
      </w:r>
      <w:r>
        <w:rPr>
          <w:rFonts w:ascii="Segoe UI" w:cs="Segoe UI" w:eastAsia="Segoe UI" w:hAnsi="Segoe UI"/>
          <w:sz w:val="16"/>
          <w:szCs w:val="16"/>
          <w:color w:val="auto"/>
        </w:rPr>
        <w:t>տ</w:t>
      </w:r>
    </w:p>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w:cs="Segoe UI" w:eastAsia="Segoe UI" w:hAnsi="Segoe UI"/>
          <w:sz w:val="16"/>
          <w:szCs w:val="16"/>
          <w:color w:val="auto"/>
        </w:rPr>
        <w:t>տ</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Segoe UI" w:cs="Segoe UI" w:eastAsia="Segoe UI" w:hAnsi="Segoe UI"/>
          <w:sz w:val="16"/>
          <w:szCs w:val="16"/>
          <w:color w:val="auto"/>
        </w:rPr>
        <w:t>տ</w:t>
      </w:r>
      <w:r>
        <w:rPr>
          <w:rFonts w:ascii="Times New Roman" w:cs="Times New Roman" w:eastAsia="Times New Roman" w:hAnsi="Times New Roman"/>
          <w:sz w:val="16"/>
          <w:szCs w:val="16"/>
          <w:color w:val="auto"/>
        </w:rPr>
        <w:t xml:space="preserve"> No </w:t>
      </w:r>
      <w:r>
        <w:rPr>
          <w:rFonts w:ascii="Segoe UI" w:cs="Segoe UI" w:eastAsia="Segoe UI" w:hAnsi="Segoe UI"/>
          <w:sz w:val="16"/>
          <w:szCs w:val="16"/>
          <w:color w:val="auto"/>
        </w:rPr>
        <w:t>ց</w:t>
      </w:r>
    </w:p>
    <w:p>
      <w:pPr>
        <w:spacing w:after="0" w:line="73"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aggregate market value of the common stock held by non-affiliates of the Registrant, based on the closing price of a share of common stock on June 30, 2025, as reported by The Nasdaq Capital Market on such date was $16 million. As of March 20, 2026, the Registrant had 4,764,612 shares of common stock, $0.0001 par value per share, outstanding.</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-15240</wp:posOffset>
                </wp:positionH>
                <wp:positionV relativeFrom="paragraph">
                  <wp:posOffset>75565</wp:posOffset>
                </wp:positionV>
                <wp:extent cx="652399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239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999pt,5.95pt" to="512.5pt,5.95pt" o:allowincell="f" strokecolor="#000000" strokeweight="0.96pt"/>
            </w:pict>
          </mc:Fallback>
        </mc:AlternateContent>
        <mc:AlternateContent>
          <mc:Choice Requires="wps">
            <w:drawing>
              <wp:anchor simplePos="0" relativeHeight="251657728" behindDoc="1" locked="0" layoutInCell="0" allowOverlap="1">
                <wp:simplePos x="0" y="0"/>
                <wp:positionH relativeFrom="column">
                  <wp:posOffset>-15240</wp:posOffset>
                </wp:positionH>
                <wp:positionV relativeFrom="paragraph">
                  <wp:posOffset>51435</wp:posOffset>
                </wp:positionV>
                <wp:extent cx="652399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239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999pt,4.05pt" to="512.5pt,4.05pt" o:allowincell="f" strokecolor="#000000" strokeweight="0.96pt"/>
            </w:pict>
          </mc:Fallback>
        </mc:AlternateContent>
      </w:r>
    </w:p>
    <w:p>
      <w:pPr>
        <w:spacing w:after="0" w:line="130"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6"/>
          <w:szCs w:val="16"/>
          <w:color w:val="auto"/>
        </w:rPr>
        <w:t>DOCUMENTS INCORPORATED BY REFERENCE</w:t>
      </w:r>
    </w:p>
    <w:p>
      <w:pPr>
        <w:spacing w:after="0" w:line="68"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Portions of the Registrant’s Definitive Proxy Statement for its 2026 Annual Meeting of Stockholders ("2026 Proxy Statement") are incorporated by reference into Part III of this Annual Report on Form 10-K to the extent stated herein. Such 2026 Proxy Statement will be filed with the U.S. Securities and Exchange Commission ("SEC") within 120 days of the Registrant’s fiscal year ended December 31, 2025.</w:t>
      </w:r>
    </w:p>
    <w:p>
      <w:pPr>
        <w:sectPr>
          <w:pgSz w:w="12240" w:h="15840" w:orient="portrait"/>
          <w:cols w:equalWidth="0" w:num="1">
            <w:col w:w="10260"/>
          </w:cols>
          <w:pgMar w:left="1000" w:top="942" w:right="980" w:bottom="1440" w:gutter="0" w:footer="0" w:header="0"/>
          <w:type w:val="continuous"/>
        </w:sectPr>
      </w:pPr>
    </w:p>
    <w:bookmarkStart w:id="1" w:name="page2"/>
    <w:bookmarkEnd w:id="1"/>
    <w:p>
      <w:pPr>
        <w:spacing w:after="0" w:line="186" w:lineRule="auto"/>
        <w:framePr w:w="660" w:h="179" w:wrap="auto" w:vAnchor="page" w:hAnchor="page" w:x="1000" w:y="7692"/>
        <w:rPr>
          <w:rFonts w:ascii="Times New Roman" w:cs="Times New Roman" w:eastAsia="Times New Roman" w:hAnsi="Times New Roman"/>
          <w:sz w:val="20"/>
          <w:szCs w:val="20"/>
          <w:u w:val="single" w:color="auto"/>
          <w:color w:val="1C2790"/>
        </w:rPr>
      </w:pPr>
      <w:r>
        <w:rPr>
          <w:rFonts w:ascii="Times New Roman" w:cs="Times New Roman" w:eastAsia="Times New Roman" w:hAnsi="Times New Roman"/>
          <w:sz w:val="20"/>
          <w:szCs w:val="20"/>
          <w:u w:val="single" w:color="auto"/>
          <w:color w:val="1C2790"/>
        </w:rPr>
        <w:t>Item 9.</w:t>
      </w:r>
    </w:p>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200" w:lineRule="exact"/>
        <w:rPr>
          <w:rFonts w:ascii="Times New Roman" w:cs="Times New Roman" w:eastAsia="Times New Roman" w:hAnsi="Times New Roman"/>
          <w:sz w:val="20"/>
          <w:szCs w:val="20"/>
          <w:u w:val="single" w:color="auto"/>
          <w:color w:val="1C2790"/>
        </w:rPr>
      </w:pPr>
    </w:p>
    <w:p>
      <w:pPr>
        <w:spacing w:after="0" w:line="380" w:lineRule="exact"/>
        <w:rPr>
          <w:rFonts w:ascii="Times New Roman" w:cs="Times New Roman" w:eastAsia="Times New Roman" w:hAnsi="Times New Roman"/>
          <w:sz w:val="20"/>
          <w:szCs w:val="20"/>
          <w:u w:val="single" w:color="auto"/>
          <w:color w:val="1C2790"/>
        </w:rPr>
      </w:pPr>
    </w:p>
    <w:p>
      <w:pPr>
        <w:ind w:left="406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0" w:lineRule="exact"/>
        <w:rPr>
          <w:rFonts w:ascii="Times New Roman" w:cs="Times New Roman" w:eastAsia="Times New Roman" w:hAnsi="Times New Roman"/>
          <w:sz w:val="20"/>
          <w:szCs w:val="20"/>
          <w:u w:val="single" w:color="auto"/>
          <w:color w:val="1C2790"/>
        </w:rPr>
      </w:pPr>
      <w:r>
        <w:rPr>
          <w:rFonts w:ascii="Times New Roman" w:cs="Times New Roman" w:eastAsia="Times New Roman" w:hAnsi="Times New Roman"/>
          <w:sz w:val="20"/>
          <w:szCs w:val="20"/>
          <w:u w:val="single" w:color="auto"/>
          <w:color w:val="1C2790"/>
        </w:rPr>
        <mc:AlternateContent>
          <mc:Choice Requires="wps">
            <w:drawing>
              <wp:anchor simplePos="0" relativeHeight="251657728" behindDoc="1" locked="0" layoutInCell="0" allowOverlap="1">
                <wp:simplePos x="0" y="0"/>
                <wp:positionH relativeFrom="column">
                  <wp:posOffset>-5715</wp:posOffset>
                </wp:positionH>
                <wp:positionV relativeFrom="paragraph">
                  <wp:posOffset>319405</wp:posOffset>
                </wp:positionV>
                <wp:extent cx="6514465" cy="19939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99390"/>
                        </a:xfrm>
                        <a:prstGeom prst="rect">
                          <a:avLst/>
                        </a:prstGeom>
                        <a:solidFill>
                          <a:srgbClr val="D2EEF5"/>
                        </a:solidFill>
                      </wps:spPr>
                      <wps:bodyPr/>
                    </wps:wsp>
                  </a:graphicData>
                </a:graphic>
              </wp:anchor>
            </w:drawing>
          </mc:Choice>
          <mc:Fallback>
            <w:pict>
              <v:rect id="Shape 10" o:spid="_x0000_s1035" style="position:absolute;margin-left:-0.4499pt;margin-top:25.15pt;width:512.95pt;height:15.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200" w:lineRule="exact"/>
        <w:rPr>
          <w:rFonts w:ascii="Times New Roman" w:cs="Times New Roman" w:eastAsia="Times New Roman" w:hAnsi="Times New Roman"/>
          <w:sz w:val="20"/>
          <w:szCs w:val="20"/>
          <w:u w:val="single" w:color="auto"/>
          <w:color w:val="1C2790"/>
        </w:rPr>
      </w:pPr>
    </w:p>
    <w:p>
      <w:pPr>
        <w:spacing w:after="0" w:line="286" w:lineRule="exact"/>
        <w:rPr>
          <w:rFonts w:ascii="Times New Roman" w:cs="Times New Roman" w:eastAsia="Times New Roman" w:hAnsi="Times New Roman"/>
          <w:sz w:val="20"/>
          <w:szCs w:val="20"/>
          <w:u w:val="single" w:color="auto"/>
          <w:color w:val="1C2790"/>
        </w:rPr>
      </w:pPr>
    </w:p>
    <w:p>
      <w:pPr>
        <w:jc w:val="right"/>
        <w:spacing w:after="0"/>
        <w:tabs>
          <w:tab w:leader="none" w:pos="360" w:val="left"/>
        </w:tabs>
        <w:rPr>
          <w:sz w:val="20"/>
          <w:szCs w:val="20"/>
          <w:color w:val="auto"/>
        </w:rPr>
      </w:pPr>
      <w:r>
        <w:rPr>
          <w:rFonts w:ascii="Times New Roman" w:cs="Times New Roman" w:eastAsia="Times New Roman" w:hAnsi="Times New Roman"/>
          <w:sz w:val="20"/>
          <w:szCs w:val="20"/>
          <w:b w:val="1"/>
          <w:bCs w:val="1"/>
          <w:color w:val="auto"/>
        </w:rPr>
        <w:t>PART I</w:t>
      </w:r>
      <w:r>
        <w:rPr>
          <w:sz w:val="20"/>
          <w:szCs w:val="20"/>
          <w:color w:val="auto"/>
        </w:rPr>
        <w:tab/>
      </w:r>
      <w:r>
        <w:rPr>
          <w:rFonts w:ascii="Times New Roman" w:cs="Times New Roman" w:eastAsia="Times New Roman" w:hAnsi="Times New Roman"/>
          <w:sz w:val="19"/>
          <w:szCs w:val="19"/>
          <w:color w:val="auto"/>
        </w:rPr>
        <w:t>Page</w:t>
      </w:r>
    </w:p>
    <w:p>
      <w:pPr>
        <w:spacing w:after="0" w:line="20" w:lineRule="exact"/>
        <w:rPr>
          <w:rFonts w:ascii="Times New Roman" w:cs="Times New Roman" w:eastAsia="Times New Roman" w:hAnsi="Times New Roman"/>
          <w:sz w:val="20"/>
          <w:szCs w:val="20"/>
          <w:u w:val="single" w:color="auto"/>
          <w:color w:val="1C2790"/>
        </w:rPr>
      </w:pPr>
      <w:r>
        <w:rPr>
          <w:rFonts w:ascii="Times New Roman" w:cs="Times New Roman" w:eastAsia="Times New Roman" w:hAnsi="Times New Roman"/>
          <w:sz w:val="20"/>
          <w:szCs w:val="20"/>
          <w:u w:val="single" w:color="auto"/>
          <w:color w:val="1C2790"/>
        </w:rPr>
        <mc:AlternateContent>
          <mc:Choice Requires="wps">
            <w:drawing>
              <wp:anchor simplePos="0" relativeHeight="251657728" behindDoc="1" locked="0" layoutInCell="0" allowOverlap="1">
                <wp:simplePos x="0" y="0"/>
                <wp:positionH relativeFrom="column">
                  <wp:posOffset>560070</wp:posOffset>
                </wp:positionH>
                <wp:positionV relativeFrom="paragraph">
                  <wp:posOffset>-111125</wp:posOffset>
                </wp:positionV>
                <wp:extent cx="5333365" cy="12573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33365" cy="125730"/>
                        </a:xfrm>
                        <a:prstGeom prst="rect">
                          <a:avLst/>
                        </a:prstGeom>
                        <a:solidFill>
                          <a:srgbClr val="D2EEF5"/>
                        </a:solidFill>
                      </wps:spPr>
                      <wps:bodyPr/>
                    </wps:wsp>
                  </a:graphicData>
                </a:graphic>
              </wp:anchor>
            </w:drawing>
          </mc:Choice>
          <mc:Fallback>
            <w:pict>
              <v:rect id="Shape 11" o:spid="_x0000_s1036" style="position:absolute;margin-left:44.1pt;margin-top:-8.7499pt;width:419.95pt;height:9.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5961380</wp:posOffset>
                </wp:positionH>
                <wp:positionV relativeFrom="paragraph">
                  <wp:posOffset>-111125</wp:posOffset>
                </wp:positionV>
                <wp:extent cx="513715" cy="12573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3715" cy="125730"/>
                        </a:xfrm>
                        <a:prstGeom prst="rect">
                          <a:avLst/>
                        </a:prstGeom>
                        <a:solidFill>
                          <a:srgbClr val="D2EEF5"/>
                        </a:solidFill>
                      </wps:spPr>
                      <wps:bodyPr/>
                    </wps:wsp>
                  </a:graphicData>
                </a:graphic>
              </wp:anchor>
            </w:drawing>
          </mc:Choice>
          <mc:Fallback>
            <w:pict>
              <v:rect id="Shape 12" o:spid="_x0000_s1037" style="position:absolute;margin-left:469.4pt;margin-top:-8.7499pt;width:40.45pt;height:9.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252095</wp:posOffset>
                </wp:positionV>
                <wp:extent cx="6514465" cy="19939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99390"/>
                        </a:xfrm>
                        <a:prstGeom prst="rect">
                          <a:avLst/>
                        </a:prstGeom>
                        <a:solidFill>
                          <a:srgbClr val="D2EEF5"/>
                        </a:solidFill>
                      </wps:spPr>
                      <wps:bodyPr/>
                    </wps:wsp>
                  </a:graphicData>
                </a:graphic>
              </wp:anchor>
            </w:drawing>
          </mc:Choice>
          <mc:Fallback>
            <w:pict>
              <v:rect id="Shape 13" o:spid="_x0000_s1038" style="position:absolute;margin-left:-0.4499pt;margin-top:19.85pt;width:512.95pt;height:15.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384" w:lineRule="exact"/>
        <w:rPr>
          <w:rFonts w:ascii="Times New Roman" w:cs="Times New Roman" w:eastAsia="Times New Roman" w:hAnsi="Times New Roman"/>
          <w:sz w:val="20"/>
          <w:szCs w:val="20"/>
          <w:u w:val="single" w:color="auto"/>
          <w:color w:val="1C2790"/>
        </w:rPr>
      </w:pPr>
    </w:p>
    <w:p>
      <w:pPr>
        <w:ind w:left="40"/>
        <w:spacing w:after="0"/>
        <w:tabs>
          <w:tab w:leader="none" w:pos="860" w:val="left"/>
          <w:tab w:leader="dot" w:pos="9260" w:val="left"/>
          <w:tab w:leader="dot" w:pos="9720" w:val="left"/>
        </w:tabs>
        <w:rPr>
          <w:sz w:val="20"/>
          <w:szCs w:val="20"/>
          <w:color w:val="auto"/>
        </w:rPr>
      </w:pPr>
      <w:r>
        <w:rPr>
          <w:rFonts w:ascii="Times New Roman" w:cs="Times New Roman" w:eastAsia="Times New Roman" w:hAnsi="Times New Roman"/>
          <w:sz w:val="20"/>
          <w:szCs w:val="20"/>
          <w:u w:val="single" w:color="auto"/>
          <w:color w:val="1C2790"/>
        </w:rPr>
        <w:t>Item 1.</w:t>
      </w:r>
      <w:r>
        <w:rPr>
          <w:sz w:val="20"/>
          <w:szCs w:val="20"/>
          <w:color w:val="auto"/>
        </w:rPr>
        <w:tab/>
      </w:r>
      <w:r>
        <w:rPr>
          <w:rFonts w:ascii="Times New Roman" w:cs="Times New Roman" w:eastAsia="Times New Roman" w:hAnsi="Times New Roman"/>
          <w:sz w:val="20"/>
          <w:szCs w:val="20"/>
          <w:u w:val="single" w:color="auto"/>
          <w:color w:val="1C2790"/>
          <w:shd w:val="clear" w:color="auto" w:fill="D2EEF5"/>
        </w:rPr>
        <w:t>BUSINESS</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u w:val="single" w:color="auto"/>
          <w:color w:val="1C2790"/>
        </w:rPr>
        <w:t>3</w:t>
      </w:r>
    </w:p>
    <w:p>
      <w:pPr>
        <w:spacing w:after="0" w:line="20" w:lineRule="exact"/>
        <w:rPr>
          <w:rFonts w:ascii="Times New Roman" w:cs="Times New Roman" w:eastAsia="Times New Roman" w:hAnsi="Times New Roman"/>
          <w:sz w:val="20"/>
          <w:szCs w:val="20"/>
          <w:u w:val="single" w:color="auto"/>
          <w:color w:val="1C2790"/>
        </w:rPr>
      </w:pPr>
      <w:r>
        <w:rPr>
          <w:rFonts w:ascii="Times New Roman" w:cs="Times New Roman" w:eastAsia="Times New Roman" w:hAnsi="Times New Roman"/>
          <w:sz w:val="20"/>
          <w:szCs w:val="20"/>
          <w:u w:val="single" w:color="auto"/>
          <w:color w:val="1C2790"/>
        </w:rPr>
        <mc:AlternateContent>
          <mc:Choice Requires="wps">
            <w:drawing>
              <wp:anchor simplePos="0" relativeHeight="251657728" behindDoc="1" locked="0" layoutInCell="0" allowOverlap="1">
                <wp:simplePos x="0" y="0"/>
                <wp:positionH relativeFrom="column">
                  <wp:posOffset>26670</wp:posOffset>
                </wp:positionH>
                <wp:positionV relativeFrom="paragraph">
                  <wp:posOffset>-113665</wp:posOffset>
                </wp:positionV>
                <wp:extent cx="466725" cy="12573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6725" cy="125730"/>
                        </a:xfrm>
                        <a:prstGeom prst="rect">
                          <a:avLst/>
                        </a:prstGeom>
                        <a:solidFill>
                          <a:srgbClr val="D2EEF5"/>
                        </a:solidFill>
                      </wps:spPr>
                      <wps:bodyPr/>
                    </wps:wsp>
                  </a:graphicData>
                </a:graphic>
              </wp:anchor>
            </w:drawing>
          </mc:Choice>
          <mc:Fallback>
            <w:pict>
              <v:rect id="Shape 14" o:spid="_x0000_s1039" style="position:absolute;margin-left:2.1pt;margin-top:-8.9499pt;width:36.75pt;height:9.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5961380</wp:posOffset>
                </wp:positionH>
                <wp:positionV relativeFrom="paragraph">
                  <wp:posOffset>-113665</wp:posOffset>
                </wp:positionV>
                <wp:extent cx="513715" cy="12573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3715" cy="125730"/>
                        </a:xfrm>
                        <a:prstGeom prst="rect">
                          <a:avLst/>
                        </a:prstGeom>
                        <a:solidFill>
                          <a:srgbClr val="D2EEF5"/>
                        </a:solidFill>
                      </wps:spPr>
                      <wps:bodyPr/>
                    </wps:wsp>
                  </a:graphicData>
                </a:graphic>
              </wp:anchor>
            </w:drawing>
          </mc:Choice>
          <mc:Fallback>
            <w:pict>
              <v:rect id="Shape 15" o:spid="_x0000_s1040" style="position:absolute;margin-left:469.4pt;margin-top:-8.9499pt;width:40.45pt;height:9.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66" w:lineRule="exact"/>
        <w:rPr>
          <w:rFonts w:ascii="Times New Roman" w:cs="Times New Roman" w:eastAsia="Times New Roman" w:hAnsi="Times New Roman"/>
          <w:sz w:val="20"/>
          <w:szCs w:val="20"/>
          <w:u w:val="single" w:color="auto"/>
          <w:color w:val="1C2790"/>
        </w:rPr>
      </w:pPr>
    </w:p>
    <w:p>
      <w:pPr>
        <w:ind w:left="40"/>
        <w:spacing w:after="0"/>
        <w:tabs>
          <w:tab w:leader="dot" w:pos="9680" w:val="left"/>
        </w:tabs>
        <w:rPr>
          <w:sz w:val="20"/>
          <w:szCs w:val="20"/>
          <w:color w:val="auto"/>
        </w:rPr>
      </w:pPr>
      <w:r>
        <w:rPr>
          <w:rFonts w:ascii="Times New Roman" w:cs="Times New Roman" w:eastAsia="Times New Roman" w:hAnsi="Times New Roman"/>
          <w:sz w:val="20"/>
          <w:szCs w:val="20"/>
          <w:u w:val="single" w:color="auto"/>
          <w:color w:val="1C2790"/>
        </w:rPr>
        <w:t>Item 1A. RISK FACTORS</w:t>
      </w:r>
      <w:r>
        <w:rPr>
          <w:sz w:val="20"/>
          <w:szCs w:val="20"/>
          <w:color w:val="auto"/>
        </w:rPr>
        <w:tab/>
      </w:r>
      <w:r>
        <w:rPr>
          <w:rFonts w:ascii="Times New Roman" w:cs="Times New Roman" w:eastAsia="Times New Roman" w:hAnsi="Times New Roman"/>
          <w:sz w:val="20"/>
          <w:szCs w:val="20"/>
          <w:u w:val="single" w:color="auto"/>
          <w:color w:val="1C2790"/>
        </w:rPr>
        <w:t>14</w:t>
      </w:r>
    </w:p>
    <w:p>
      <w:pPr>
        <w:spacing w:after="0" w:line="20" w:lineRule="exact"/>
        <w:rPr>
          <w:rFonts w:ascii="Times New Roman" w:cs="Times New Roman" w:eastAsia="Times New Roman" w:hAnsi="Times New Roman"/>
          <w:sz w:val="20"/>
          <w:szCs w:val="20"/>
          <w:u w:val="single" w:color="auto"/>
          <w:color w:val="1C2790"/>
        </w:rPr>
      </w:pPr>
      <w:r>
        <w:rPr>
          <w:rFonts w:ascii="Times New Roman" w:cs="Times New Roman" w:eastAsia="Times New Roman" w:hAnsi="Times New Roman"/>
          <w:sz w:val="20"/>
          <w:szCs w:val="20"/>
          <w:u w:val="single" w:color="auto"/>
          <w:color w:val="1C2790"/>
        </w:rPr>
        <mc:AlternateContent>
          <mc:Choice Requires="wps">
            <w:drawing>
              <wp:anchor simplePos="0" relativeHeight="251657728" behindDoc="1" locked="0" layoutInCell="0" allowOverlap="1">
                <wp:simplePos x="0" y="0"/>
                <wp:positionH relativeFrom="column">
                  <wp:posOffset>-5715</wp:posOffset>
                </wp:positionH>
                <wp:positionV relativeFrom="paragraph">
                  <wp:posOffset>48895</wp:posOffset>
                </wp:positionV>
                <wp:extent cx="6514465" cy="200025"/>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200025"/>
                        </a:xfrm>
                        <a:prstGeom prst="rect">
                          <a:avLst/>
                        </a:prstGeom>
                        <a:solidFill>
                          <a:srgbClr val="D2EEF5"/>
                        </a:solidFill>
                      </wps:spPr>
                      <wps:bodyPr/>
                    </wps:wsp>
                  </a:graphicData>
                </a:graphic>
              </wp:anchor>
            </w:drawing>
          </mc:Choice>
          <mc:Fallback>
            <w:pict>
              <v:rect id="Shape 16" o:spid="_x0000_s1041" style="position:absolute;margin-left:-0.4499pt;margin-top:3.85pt;width:512.95pt;height:15.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64" w:lineRule="exact"/>
        <w:rPr>
          <w:rFonts w:ascii="Times New Roman" w:cs="Times New Roman" w:eastAsia="Times New Roman" w:hAnsi="Times New Roman"/>
          <w:sz w:val="20"/>
          <w:szCs w:val="20"/>
          <w:u w:val="single" w:color="auto"/>
          <w:color w:val="1C2790"/>
        </w:rPr>
      </w:pPr>
    </w:p>
    <w:p>
      <w:pPr>
        <w:ind w:left="40"/>
        <w:spacing w:after="0"/>
        <w:tabs>
          <w:tab w:leader="dot" w:pos="9260" w:val="left"/>
          <w:tab w:leader="dot" w:pos="9680" w:val="left"/>
        </w:tabs>
        <w:rPr>
          <w:sz w:val="20"/>
          <w:szCs w:val="20"/>
          <w:color w:val="auto"/>
        </w:rPr>
      </w:pPr>
      <w:r>
        <w:rPr>
          <w:rFonts w:ascii="Times New Roman" w:cs="Times New Roman" w:eastAsia="Times New Roman" w:hAnsi="Times New Roman"/>
          <w:sz w:val="20"/>
          <w:szCs w:val="20"/>
          <w:u w:val="single" w:color="auto"/>
          <w:color w:val="1C2790"/>
          <w:shd w:val="clear" w:color="auto" w:fill="D2EEF5"/>
        </w:rPr>
        <w:t>Item 1B.  UNRESOLVED STAFF COMMENTS</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u w:val="single" w:color="auto"/>
          <w:color w:val="1C2790"/>
        </w:rPr>
        <w:t>43</w:t>
      </w:r>
    </w:p>
    <w:p>
      <w:pPr>
        <w:spacing w:after="0" w:line="20" w:lineRule="exact"/>
        <w:rPr>
          <w:rFonts w:ascii="Times New Roman" w:cs="Times New Roman" w:eastAsia="Times New Roman" w:hAnsi="Times New Roman"/>
          <w:sz w:val="20"/>
          <w:szCs w:val="20"/>
          <w:u w:val="single" w:color="auto"/>
          <w:color w:val="1C2790"/>
        </w:rPr>
      </w:pPr>
      <w:r>
        <w:rPr>
          <w:rFonts w:ascii="Times New Roman" w:cs="Times New Roman" w:eastAsia="Times New Roman" w:hAnsi="Times New Roman"/>
          <w:sz w:val="20"/>
          <w:szCs w:val="20"/>
          <w:u w:val="single" w:color="auto"/>
          <w:color w:val="1C2790"/>
        </w:rPr>
        <mc:AlternateContent>
          <mc:Choice Requires="wps">
            <w:drawing>
              <wp:anchor simplePos="0" relativeHeight="251657728" behindDoc="1" locked="0" layoutInCell="0" allowOverlap="1">
                <wp:simplePos x="0" y="0"/>
                <wp:positionH relativeFrom="column">
                  <wp:posOffset>5961380</wp:posOffset>
                </wp:positionH>
                <wp:positionV relativeFrom="paragraph">
                  <wp:posOffset>-113665</wp:posOffset>
                </wp:positionV>
                <wp:extent cx="513715" cy="12573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3715" cy="125730"/>
                        </a:xfrm>
                        <a:prstGeom prst="rect">
                          <a:avLst/>
                        </a:prstGeom>
                        <a:solidFill>
                          <a:srgbClr val="D2EEF5"/>
                        </a:solidFill>
                      </wps:spPr>
                      <wps:bodyPr/>
                    </wps:wsp>
                  </a:graphicData>
                </a:graphic>
              </wp:anchor>
            </w:drawing>
          </mc:Choice>
          <mc:Fallback>
            <w:pict>
              <v:rect id="Shape 17" o:spid="_x0000_s1042" style="position:absolute;margin-left:469.4pt;margin-top:-8.9499pt;width:40.45pt;height:9.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66" w:lineRule="exact"/>
        <w:rPr>
          <w:rFonts w:ascii="Times New Roman" w:cs="Times New Roman" w:eastAsia="Times New Roman" w:hAnsi="Times New Roman"/>
          <w:sz w:val="20"/>
          <w:szCs w:val="20"/>
          <w:u w:val="single" w:color="auto"/>
          <w:color w:val="1C2790"/>
        </w:rPr>
      </w:pPr>
    </w:p>
    <w:p>
      <w:pPr>
        <w:ind w:left="40"/>
        <w:spacing w:after="0"/>
        <w:tabs>
          <w:tab w:leader="dot" w:pos="9680" w:val="left"/>
        </w:tabs>
        <w:rPr>
          <w:sz w:val="20"/>
          <w:szCs w:val="20"/>
          <w:color w:val="auto"/>
        </w:rPr>
      </w:pPr>
      <w:r>
        <w:rPr>
          <w:rFonts w:ascii="Times New Roman" w:cs="Times New Roman" w:eastAsia="Times New Roman" w:hAnsi="Times New Roman"/>
          <w:sz w:val="20"/>
          <w:szCs w:val="20"/>
          <w:u w:val="single" w:color="auto"/>
          <w:color w:val="1C2790"/>
        </w:rPr>
        <w:t>Item 1C.  CYBERSECURITY</w:t>
      </w:r>
      <w:r>
        <w:rPr>
          <w:sz w:val="20"/>
          <w:szCs w:val="20"/>
          <w:color w:val="auto"/>
        </w:rPr>
        <w:tab/>
      </w:r>
      <w:r>
        <w:rPr>
          <w:rFonts w:ascii="Times New Roman" w:cs="Times New Roman" w:eastAsia="Times New Roman" w:hAnsi="Times New Roman"/>
          <w:sz w:val="20"/>
          <w:szCs w:val="20"/>
          <w:u w:val="single" w:color="auto"/>
          <w:color w:val="1C2790"/>
        </w:rPr>
        <w:t>43</w:t>
      </w:r>
    </w:p>
    <w:p>
      <w:pPr>
        <w:spacing w:after="0" w:line="20" w:lineRule="exact"/>
        <w:rPr>
          <w:rFonts w:ascii="Times New Roman" w:cs="Times New Roman" w:eastAsia="Times New Roman" w:hAnsi="Times New Roman"/>
          <w:sz w:val="20"/>
          <w:szCs w:val="20"/>
          <w:u w:val="single" w:color="auto"/>
          <w:color w:val="1C2790"/>
        </w:rPr>
      </w:pPr>
      <w:r>
        <w:rPr>
          <w:rFonts w:ascii="Times New Roman" w:cs="Times New Roman" w:eastAsia="Times New Roman" w:hAnsi="Times New Roman"/>
          <w:sz w:val="20"/>
          <w:szCs w:val="20"/>
          <w:u w:val="single" w:color="auto"/>
          <w:color w:val="1C2790"/>
        </w:rPr>
        <mc:AlternateContent>
          <mc:Choice Requires="wps">
            <w:drawing>
              <wp:anchor simplePos="0" relativeHeight="251657728" behindDoc="1" locked="0" layoutInCell="0" allowOverlap="1">
                <wp:simplePos x="0" y="0"/>
                <wp:positionH relativeFrom="column">
                  <wp:posOffset>-5715</wp:posOffset>
                </wp:positionH>
                <wp:positionV relativeFrom="paragraph">
                  <wp:posOffset>48895</wp:posOffset>
                </wp:positionV>
                <wp:extent cx="6514465" cy="200025"/>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200025"/>
                        </a:xfrm>
                        <a:prstGeom prst="rect">
                          <a:avLst/>
                        </a:prstGeom>
                        <a:solidFill>
                          <a:srgbClr val="D2EEF5"/>
                        </a:solidFill>
                      </wps:spPr>
                      <wps:bodyPr/>
                    </wps:wsp>
                  </a:graphicData>
                </a:graphic>
              </wp:anchor>
            </w:drawing>
          </mc:Choice>
          <mc:Fallback>
            <w:pict>
              <v:rect id="Shape 18" o:spid="_x0000_s1043" style="position:absolute;margin-left:-0.4499pt;margin-top:3.85pt;width:512.95pt;height:15.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64" w:lineRule="exact"/>
        <w:rPr>
          <w:rFonts w:ascii="Times New Roman" w:cs="Times New Roman" w:eastAsia="Times New Roman" w:hAnsi="Times New Roman"/>
          <w:sz w:val="20"/>
          <w:szCs w:val="20"/>
          <w:u w:val="single" w:color="auto"/>
          <w:color w:val="1C2790"/>
        </w:rPr>
      </w:pPr>
    </w:p>
    <w:p>
      <w:pPr>
        <w:ind w:left="40"/>
        <w:spacing w:after="0"/>
        <w:tabs>
          <w:tab w:leader="none" w:pos="860" w:val="left"/>
          <w:tab w:leader="dot" w:pos="9260" w:val="left"/>
          <w:tab w:leader="dot" w:pos="9680" w:val="left"/>
        </w:tabs>
        <w:rPr>
          <w:sz w:val="20"/>
          <w:szCs w:val="20"/>
          <w:color w:val="auto"/>
        </w:rPr>
      </w:pPr>
      <w:r>
        <w:rPr>
          <w:rFonts w:ascii="Times New Roman" w:cs="Times New Roman" w:eastAsia="Times New Roman" w:hAnsi="Times New Roman"/>
          <w:sz w:val="20"/>
          <w:szCs w:val="20"/>
          <w:u w:val="single" w:color="auto"/>
          <w:color w:val="1C2790"/>
        </w:rPr>
        <w:t>Item 2.</w:t>
      </w:r>
      <w:r>
        <w:rPr>
          <w:sz w:val="20"/>
          <w:szCs w:val="20"/>
          <w:color w:val="auto"/>
        </w:rPr>
        <w:tab/>
      </w:r>
      <w:r>
        <w:rPr>
          <w:rFonts w:ascii="Times New Roman" w:cs="Times New Roman" w:eastAsia="Times New Roman" w:hAnsi="Times New Roman"/>
          <w:sz w:val="20"/>
          <w:szCs w:val="20"/>
          <w:u w:val="single" w:color="auto"/>
          <w:color w:val="1C2790"/>
          <w:shd w:val="clear" w:color="auto" w:fill="D2EEF5"/>
        </w:rPr>
        <w:t>PROPERTIES</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u w:val="single" w:color="auto"/>
          <w:color w:val="1C2790"/>
        </w:rPr>
        <w:t>45</w:t>
      </w:r>
    </w:p>
    <w:p>
      <w:pPr>
        <w:spacing w:after="0" w:line="20" w:lineRule="exact"/>
        <w:rPr>
          <w:rFonts w:ascii="Times New Roman" w:cs="Times New Roman" w:eastAsia="Times New Roman" w:hAnsi="Times New Roman"/>
          <w:sz w:val="20"/>
          <w:szCs w:val="20"/>
          <w:u w:val="single" w:color="auto"/>
          <w:color w:val="1C2790"/>
        </w:rPr>
      </w:pPr>
      <w:r>
        <w:rPr>
          <w:rFonts w:ascii="Times New Roman" w:cs="Times New Roman" w:eastAsia="Times New Roman" w:hAnsi="Times New Roman"/>
          <w:sz w:val="20"/>
          <w:szCs w:val="20"/>
          <w:u w:val="single" w:color="auto"/>
          <w:color w:val="1C2790"/>
        </w:rPr>
        <mc:AlternateContent>
          <mc:Choice Requires="wps">
            <w:drawing>
              <wp:anchor simplePos="0" relativeHeight="251657728" behindDoc="1" locked="0" layoutInCell="0" allowOverlap="1">
                <wp:simplePos x="0" y="0"/>
                <wp:positionH relativeFrom="column">
                  <wp:posOffset>26670</wp:posOffset>
                </wp:positionH>
                <wp:positionV relativeFrom="paragraph">
                  <wp:posOffset>-113665</wp:posOffset>
                </wp:positionV>
                <wp:extent cx="466725" cy="12573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6725" cy="125730"/>
                        </a:xfrm>
                        <a:prstGeom prst="rect">
                          <a:avLst/>
                        </a:prstGeom>
                        <a:solidFill>
                          <a:srgbClr val="D2EEF5"/>
                        </a:solidFill>
                      </wps:spPr>
                      <wps:bodyPr/>
                    </wps:wsp>
                  </a:graphicData>
                </a:graphic>
              </wp:anchor>
            </w:drawing>
          </mc:Choice>
          <mc:Fallback>
            <w:pict>
              <v:rect id="Shape 19" o:spid="_x0000_s1044" style="position:absolute;margin-left:2.1pt;margin-top:-8.9499pt;width:36.75pt;height:9.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5961380</wp:posOffset>
                </wp:positionH>
                <wp:positionV relativeFrom="paragraph">
                  <wp:posOffset>-113665</wp:posOffset>
                </wp:positionV>
                <wp:extent cx="513715" cy="12573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3715" cy="125730"/>
                        </a:xfrm>
                        <a:prstGeom prst="rect">
                          <a:avLst/>
                        </a:prstGeom>
                        <a:solidFill>
                          <a:srgbClr val="D2EEF5"/>
                        </a:solidFill>
                      </wps:spPr>
                      <wps:bodyPr/>
                    </wps:wsp>
                  </a:graphicData>
                </a:graphic>
              </wp:anchor>
            </w:drawing>
          </mc:Choice>
          <mc:Fallback>
            <w:pict>
              <v:rect id="Shape 20" o:spid="_x0000_s1045" style="position:absolute;margin-left:469.4pt;margin-top:-8.9499pt;width:40.45pt;height:9.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66" w:lineRule="exact"/>
        <w:rPr>
          <w:rFonts w:ascii="Times New Roman" w:cs="Times New Roman" w:eastAsia="Times New Roman" w:hAnsi="Times New Roman"/>
          <w:sz w:val="20"/>
          <w:szCs w:val="20"/>
          <w:u w:val="single" w:color="auto"/>
          <w:color w:val="1C2790"/>
        </w:rPr>
      </w:pPr>
    </w:p>
    <w:p>
      <w:pPr>
        <w:ind w:left="40"/>
        <w:spacing w:after="0"/>
        <w:tabs>
          <w:tab w:leader="none" w:pos="860" w:val="left"/>
          <w:tab w:leader="dot" w:pos="9680" w:val="left"/>
        </w:tabs>
        <w:rPr>
          <w:sz w:val="20"/>
          <w:szCs w:val="20"/>
          <w:color w:val="auto"/>
        </w:rPr>
      </w:pPr>
      <w:r>
        <w:rPr>
          <w:rFonts w:ascii="Times New Roman" w:cs="Times New Roman" w:eastAsia="Times New Roman" w:hAnsi="Times New Roman"/>
          <w:sz w:val="20"/>
          <w:szCs w:val="20"/>
          <w:u w:val="single" w:color="auto"/>
          <w:color w:val="1C2790"/>
        </w:rPr>
        <w:t>Item 3.</w:t>
      </w:r>
      <w:r>
        <w:rPr>
          <w:sz w:val="20"/>
          <w:szCs w:val="20"/>
          <w:color w:val="auto"/>
        </w:rPr>
        <w:tab/>
      </w:r>
      <w:r>
        <w:rPr>
          <w:rFonts w:ascii="Times New Roman" w:cs="Times New Roman" w:eastAsia="Times New Roman" w:hAnsi="Times New Roman"/>
          <w:sz w:val="20"/>
          <w:szCs w:val="20"/>
          <w:u w:val="single" w:color="auto"/>
          <w:color w:val="1C2790"/>
        </w:rPr>
        <w:t>LEGAL PROCEEDINGS</w:t>
      </w:r>
      <w:r>
        <w:rPr>
          <w:sz w:val="20"/>
          <w:szCs w:val="20"/>
          <w:color w:val="auto"/>
        </w:rPr>
        <w:tab/>
      </w:r>
      <w:r>
        <w:rPr>
          <w:rFonts w:ascii="Times New Roman" w:cs="Times New Roman" w:eastAsia="Times New Roman" w:hAnsi="Times New Roman"/>
          <w:sz w:val="20"/>
          <w:szCs w:val="20"/>
          <w:u w:val="single" w:color="auto"/>
          <w:color w:val="1C2790"/>
        </w:rPr>
        <w:t>45</w:t>
      </w:r>
    </w:p>
    <w:p>
      <w:pPr>
        <w:spacing w:after="0" w:line="20" w:lineRule="exact"/>
        <w:rPr>
          <w:rFonts w:ascii="Times New Roman" w:cs="Times New Roman" w:eastAsia="Times New Roman" w:hAnsi="Times New Roman"/>
          <w:sz w:val="20"/>
          <w:szCs w:val="20"/>
          <w:u w:val="single" w:color="auto"/>
          <w:color w:val="1C2790"/>
        </w:rPr>
      </w:pPr>
      <w:r>
        <w:rPr>
          <w:rFonts w:ascii="Times New Roman" w:cs="Times New Roman" w:eastAsia="Times New Roman" w:hAnsi="Times New Roman"/>
          <w:sz w:val="20"/>
          <w:szCs w:val="20"/>
          <w:u w:val="single" w:color="auto"/>
          <w:color w:val="1C2790"/>
        </w:rPr>
        <mc:AlternateContent>
          <mc:Choice Requires="wps">
            <w:drawing>
              <wp:anchor simplePos="0" relativeHeight="251657728" behindDoc="1" locked="0" layoutInCell="0" allowOverlap="1">
                <wp:simplePos x="0" y="0"/>
                <wp:positionH relativeFrom="column">
                  <wp:posOffset>-5715</wp:posOffset>
                </wp:positionH>
                <wp:positionV relativeFrom="paragraph">
                  <wp:posOffset>48895</wp:posOffset>
                </wp:positionV>
                <wp:extent cx="6514465" cy="200025"/>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200025"/>
                        </a:xfrm>
                        <a:prstGeom prst="rect">
                          <a:avLst/>
                        </a:prstGeom>
                        <a:solidFill>
                          <a:srgbClr val="D2EEF5"/>
                        </a:solidFill>
                      </wps:spPr>
                      <wps:bodyPr/>
                    </wps:wsp>
                  </a:graphicData>
                </a:graphic>
              </wp:anchor>
            </w:drawing>
          </mc:Choice>
          <mc:Fallback>
            <w:pict>
              <v:rect id="Shape 21" o:spid="_x0000_s1046" style="position:absolute;margin-left:-0.4499pt;margin-top:3.85pt;width:512.95pt;height:15.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64" w:lineRule="exact"/>
        <w:rPr>
          <w:rFonts w:ascii="Times New Roman" w:cs="Times New Roman" w:eastAsia="Times New Roman" w:hAnsi="Times New Roman"/>
          <w:sz w:val="20"/>
          <w:szCs w:val="20"/>
          <w:u w:val="single" w:color="auto"/>
          <w:color w:val="1C2790"/>
        </w:rPr>
      </w:pPr>
    </w:p>
    <w:p>
      <w:pPr>
        <w:ind w:left="40"/>
        <w:spacing w:after="0"/>
        <w:tabs>
          <w:tab w:leader="none" w:pos="860" w:val="left"/>
          <w:tab w:leader="dot" w:pos="9260" w:val="left"/>
          <w:tab w:leader="dot" w:pos="9680" w:val="left"/>
        </w:tabs>
        <w:rPr>
          <w:sz w:val="20"/>
          <w:szCs w:val="20"/>
          <w:color w:val="auto"/>
        </w:rPr>
      </w:pPr>
      <w:r>
        <w:rPr>
          <w:rFonts w:ascii="Times New Roman" w:cs="Times New Roman" w:eastAsia="Times New Roman" w:hAnsi="Times New Roman"/>
          <w:sz w:val="20"/>
          <w:szCs w:val="20"/>
          <w:u w:val="single" w:color="auto"/>
          <w:color w:val="1C2790"/>
        </w:rPr>
        <w:t>Item 4.</w:t>
      </w:r>
      <w:r>
        <w:rPr>
          <w:sz w:val="20"/>
          <w:szCs w:val="20"/>
          <w:color w:val="auto"/>
        </w:rPr>
        <w:tab/>
      </w:r>
      <w:r>
        <w:rPr>
          <w:rFonts w:ascii="Times New Roman" w:cs="Times New Roman" w:eastAsia="Times New Roman" w:hAnsi="Times New Roman"/>
          <w:sz w:val="20"/>
          <w:szCs w:val="20"/>
          <w:u w:val="single" w:color="auto"/>
          <w:color w:val="1C2790"/>
          <w:shd w:val="clear" w:color="auto" w:fill="D2EEF5"/>
        </w:rPr>
        <w:t>MINE SAFETY DISCLOSURES</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u w:val="single" w:color="auto"/>
          <w:color w:val="1C2790"/>
        </w:rPr>
        <w:t>45</w:t>
      </w:r>
    </w:p>
    <w:p>
      <w:pPr>
        <w:spacing w:after="0" w:line="20" w:lineRule="exact"/>
        <w:rPr>
          <w:rFonts w:ascii="Times New Roman" w:cs="Times New Roman" w:eastAsia="Times New Roman" w:hAnsi="Times New Roman"/>
          <w:sz w:val="20"/>
          <w:szCs w:val="20"/>
          <w:u w:val="single" w:color="auto"/>
          <w:color w:val="1C2790"/>
        </w:rPr>
      </w:pPr>
      <w:r>
        <w:rPr>
          <w:rFonts w:ascii="Times New Roman" w:cs="Times New Roman" w:eastAsia="Times New Roman" w:hAnsi="Times New Roman"/>
          <w:sz w:val="20"/>
          <w:szCs w:val="20"/>
          <w:u w:val="single" w:color="auto"/>
          <w:color w:val="1C2790"/>
        </w:rPr>
        <mc:AlternateContent>
          <mc:Choice Requires="wps">
            <w:drawing>
              <wp:anchor simplePos="0" relativeHeight="251657728" behindDoc="1" locked="0" layoutInCell="0" allowOverlap="1">
                <wp:simplePos x="0" y="0"/>
                <wp:positionH relativeFrom="column">
                  <wp:posOffset>26670</wp:posOffset>
                </wp:positionH>
                <wp:positionV relativeFrom="paragraph">
                  <wp:posOffset>-113665</wp:posOffset>
                </wp:positionV>
                <wp:extent cx="466725" cy="12573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6725" cy="125730"/>
                        </a:xfrm>
                        <a:prstGeom prst="rect">
                          <a:avLst/>
                        </a:prstGeom>
                        <a:solidFill>
                          <a:srgbClr val="D2EEF5"/>
                        </a:solidFill>
                      </wps:spPr>
                      <wps:bodyPr/>
                    </wps:wsp>
                  </a:graphicData>
                </a:graphic>
              </wp:anchor>
            </w:drawing>
          </mc:Choice>
          <mc:Fallback>
            <w:pict>
              <v:rect id="Shape 22" o:spid="_x0000_s1047" style="position:absolute;margin-left:2.1pt;margin-top:-8.9499pt;width:36.75pt;height:9.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5961380</wp:posOffset>
                </wp:positionH>
                <wp:positionV relativeFrom="paragraph">
                  <wp:posOffset>-113665</wp:posOffset>
                </wp:positionV>
                <wp:extent cx="513715" cy="12573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3715" cy="125730"/>
                        </a:xfrm>
                        <a:prstGeom prst="rect">
                          <a:avLst/>
                        </a:prstGeom>
                        <a:solidFill>
                          <a:srgbClr val="D2EEF5"/>
                        </a:solidFill>
                      </wps:spPr>
                      <wps:bodyPr/>
                    </wps:wsp>
                  </a:graphicData>
                </a:graphic>
              </wp:anchor>
            </w:drawing>
          </mc:Choice>
          <mc:Fallback>
            <w:pict>
              <v:rect id="Shape 23" o:spid="_x0000_s1048" style="position:absolute;margin-left:469.4pt;margin-top:-8.9499pt;width:40.45pt;height:9.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249555</wp:posOffset>
                </wp:positionV>
                <wp:extent cx="6514465" cy="19939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99390"/>
                        </a:xfrm>
                        <a:prstGeom prst="rect">
                          <a:avLst/>
                        </a:prstGeom>
                        <a:solidFill>
                          <a:srgbClr val="D2EEF5"/>
                        </a:solidFill>
                      </wps:spPr>
                      <wps:bodyPr/>
                    </wps:wsp>
                  </a:graphicData>
                </a:graphic>
              </wp:anchor>
            </w:drawing>
          </mc:Choice>
          <mc:Fallback>
            <w:pict>
              <v:rect id="Shape 24" o:spid="_x0000_s1049" style="position:absolute;margin-left:-0.4499pt;margin-top:19.65pt;width:512.95pt;height:15.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376" w:lineRule="exact"/>
        <w:rPr>
          <w:rFonts w:ascii="Times New Roman" w:cs="Times New Roman" w:eastAsia="Times New Roman" w:hAnsi="Times New Roman"/>
          <w:sz w:val="20"/>
          <w:szCs w:val="20"/>
          <w:u w:val="single" w:color="auto"/>
          <w:color w:val="1C2790"/>
        </w:rPr>
      </w:pPr>
    </w:p>
    <w:p>
      <w:pPr>
        <w:ind w:left="4720"/>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0" w:lineRule="exact"/>
        <w:rPr>
          <w:rFonts w:ascii="Times New Roman" w:cs="Times New Roman" w:eastAsia="Times New Roman" w:hAnsi="Times New Roman"/>
          <w:sz w:val="20"/>
          <w:szCs w:val="20"/>
          <w:u w:val="single" w:color="auto"/>
          <w:color w:val="1C2790"/>
        </w:rPr>
      </w:pPr>
      <w:r>
        <w:rPr>
          <w:rFonts w:ascii="Times New Roman" w:cs="Times New Roman" w:eastAsia="Times New Roman" w:hAnsi="Times New Roman"/>
          <w:sz w:val="20"/>
          <w:szCs w:val="20"/>
          <w:u w:val="single" w:color="auto"/>
          <w:color w:val="1C2790"/>
        </w:rPr>
        <mc:AlternateContent>
          <mc:Choice Requires="wps">
            <w:drawing>
              <wp:anchor simplePos="0" relativeHeight="251657728" behindDoc="1" locked="0" layoutInCell="0" allowOverlap="1">
                <wp:simplePos x="0" y="0"/>
                <wp:positionH relativeFrom="column">
                  <wp:posOffset>560070</wp:posOffset>
                </wp:positionH>
                <wp:positionV relativeFrom="paragraph">
                  <wp:posOffset>-111125</wp:posOffset>
                </wp:positionV>
                <wp:extent cx="5333365" cy="12573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33365" cy="125730"/>
                        </a:xfrm>
                        <a:prstGeom prst="rect">
                          <a:avLst/>
                        </a:prstGeom>
                        <a:solidFill>
                          <a:srgbClr val="D2EEF5"/>
                        </a:solidFill>
                      </wps:spPr>
                      <wps:bodyPr/>
                    </wps:wsp>
                  </a:graphicData>
                </a:graphic>
              </wp:anchor>
            </w:drawing>
          </mc:Choice>
          <mc:Fallback>
            <w:pict>
              <v:rect id="Shape 25" o:spid="_x0000_s1050" style="position:absolute;margin-left:44.1pt;margin-top:-8.7499pt;width:419.95pt;height:9.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ectPr>
          <w:pgSz w:w="12240" w:h="15840" w:orient="portrait"/>
          <w:cols w:equalWidth="0" w:num="1">
            <w:col w:w="9980"/>
          </w:cols>
          <w:pgMar w:left="1000" w:top="430" w:right="1260" w:bottom="0" w:gutter="0" w:footer="0" w:header="0"/>
        </w:sectPr>
      </w:pPr>
    </w:p>
    <w:p>
      <w:pPr>
        <w:spacing w:after="0" w:line="147" w:lineRule="exact"/>
        <w:rPr>
          <w:rFonts w:ascii="Times New Roman" w:cs="Times New Roman" w:eastAsia="Times New Roman" w:hAnsi="Times New Roman"/>
          <w:sz w:val="20"/>
          <w:szCs w:val="20"/>
          <w:u w:val="single" w:color="auto"/>
          <w:color w:val="1C2790"/>
        </w:rPr>
      </w:pPr>
    </w:p>
    <w:p>
      <w:pPr>
        <w:ind w:left="40"/>
        <w:spacing w:after="0"/>
        <w:tabs>
          <w:tab w:leader="none" w:pos="860" w:val="left"/>
        </w:tabs>
        <w:rPr>
          <w:sz w:val="20"/>
          <w:szCs w:val="20"/>
          <w:color w:val="auto"/>
        </w:rPr>
      </w:pPr>
      <w:r>
        <w:rPr>
          <w:rFonts w:ascii="Times New Roman" w:cs="Times New Roman" w:eastAsia="Times New Roman" w:hAnsi="Times New Roman"/>
          <w:sz w:val="40"/>
          <w:szCs w:val="40"/>
          <w:u w:val="single" w:color="auto"/>
          <w:color w:val="1C2790"/>
          <w:vertAlign w:val="subscript"/>
        </w:rPr>
        <w:t>Item 5.</w:t>
      </w:r>
      <w:r>
        <w:rPr>
          <w:sz w:val="20"/>
          <w:szCs w:val="20"/>
          <w:color w:val="auto"/>
        </w:rPr>
        <w:tab/>
      </w:r>
      <w:r>
        <w:rPr>
          <w:rFonts w:ascii="Times New Roman" w:cs="Times New Roman" w:eastAsia="Times New Roman" w:hAnsi="Times New Roman"/>
          <w:sz w:val="19"/>
          <w:szCs w:val="19"/>
          <w:u w:val="single" w:color="auto"/>
          <w:color w:val="1C2790"/>
        </w:rPr>
        <w:t>MARKET FOR REGISTRANT’S COMMON EQUITY, RELATED STOCKHOLDER MATTERS</w:t>
      </w:r>
    </w:p>
    <w:p>
      <w:pPr>
        <w:spacing w:after="0" w:line="20" w:lineRule="exact"/>
        <w:rPr>
          <w:rFonts w:ascii="Times New Roman" w:cs="Times New Roman" w:eastAsia="Times New Roman" w:hAnsi="Times New Roman"/>
          <w:sz w:val="20"/>
          <w:szCs w:val="20"/>
          <w:u w:val="single" w:color="auto"/>
          <w:color w:val="1C2790"/>
        </w:rPr>
      </w:pPr>
      <w:r>
        <w:rPr>
          <w:rFonts w:ascii="Times New Roman" w:cs="Times New Roman" w:eastAsia="Times New Roman" w:hAnsi="Times New Roman"/>
          <w:sz w:val="20"/>
          <w:szCs w:val="20"/>
          <w:u w:val="single" w:color="auto"/>
          <w:color w:val="1C2790"/>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-132715</wp:posOffset>
                </wp:positionV>
                <wp:extent cx="6514465" cy="294005"/>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294005"/>
                        </a:xfrm>
                        <a:prstGeom prst="rect">
                          <a:avLst/>
                        </a:prstGeom>
                        <a:solidFill>
                          <a:srgbClr val="D2EEF5"/>
                        </a:solidFill>
                      </wps:spPr>
                      <wps:bodyPr/>
                    </wps:wsp>
                  </a:graphicData>
                </a:graphic>
              </wp:anchor>
            </w:drawing>
          </mc:Choice>
          <mc:Fallback>
            <w:pict>
              <v:rect id="Shape 26" o:spid="_x0000_s1051" style="position:absolute;margin-left:-0.4499pt;margin-top:-10.4499pt;width:512.95pt;height:23.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26670</wp:posOffset>
                </wp:positionH>
                <wp:positionV relativeFrom="paragraph">
                  <wp:posOffset>-49530</wp:posOffset>
                </wp:positionV>
                <wp:extent cx="466725" cy="12700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6725" cy="127000"/>
                        </a:xfrm>
                        <a:prstGeom prst="rect">
                          <a:avLst/>
                        </a:prstGeom>
                        <a:solidFill>
                          <a:srgbClr val="D2EEF5"/>
                        </a:solidFill>
                      </wps:spPr>
                      <wps:bodyPr/>
                    </wps:wsp>
                  </a:graphicData>
                </a:graphic>
              </wp:anchor>
            </w:drawing>
          </mc:Choice>
          <mc:Fallback>
            <w:pict>
              <v:rect id="Shape 27" o:spid="_x0000_s1052" style="position:absolute;margin-left:2.1pt;margin-top:-3.8999pt;width:36.75pt;height:10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560070</wp:posOffset>
                </wp:positionH>
                <wp:positionV relativeFrom="paragraph">
                  <wp:posOffset>-112395</wp:posOffset>
                </wp:positionV>
                <wp:extent cx="5333365" cy="25273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33365" cy="252730"/>
                        </a:xfrm>
                        <a:prstGeom prst="rect">
                          <a:avLst/>
                        </a:prstGeom>
                        <a:solidFill>
                          <a:srgbClr val="D2EEF5"/>
                        </a:solidFill>
                      </wps:spPr>
                      <wps:bodyPr/>
                    </wps:wsp>
                  </a:graphicData>
                </a:graphic>
              </wp:anchor>
            </w:drawing>
          </mc:Choice>
          <mc:Fallback>
            <w:pict>
              <v:rect id="Shape 28" o:spid="_x0000_s1053" style="position:absolute;margin-left:44.1pt;margin-top:-8.8499pt;width:419.95pt;height:19.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ind w:left="880"/>
        <w:spacing w:after="0"/>
        <w:rPr>
          <w:sz w:val="20"/>
          <w:szCs w:val="20"/>
          <w:color w:val="auto"/>
        </w:rPr>
      </w:pPr>
      <w:r>
        <w:rPr>
          <w:rFonts w:ascii="Times New Roman" w:cs="Times New Roman" w:eastAsia="Times New Roman" w:hAnsi="Times New Roman"/>
          <w:sz w:val="20"/>
          <w:szCs w:val="20"/>
          <w:u w:val="single" w:color="auto"/>
          <w:color w:val="1C2790"/>
        </w:rPr>
        <w:t>AND ISSUER PURCHASES OF EQUITY SECURITIES</w:t>
      </w:r>
      <w:r>
        <w:rPr>
          <w:rFonts w:ascii="Times New Roman" w:cs="Times New Roman" w:eastAsia="Times New Roman" w:hAnsi="Times New Roman"/>
          <w:sz w:val="20"/>
          <w:szCs w:val="20"/>
          <w:color w:val="000000"/>
        </w:rPr>
        <w:t>...........................................................................</w:t>
      </w:r>
    </w:p>
    <w:p>
      <w:pPr>
        <w:spacing w:after="0" w:line="32" w:lineRule="exact"/>
        <w:rPr>
          <w:rFonts w:ascii="Times New Roman" w:cs="Times New Roman" w:eastAsia="Times New Roman" w:hAnsi="Times New Roman"/>
          <w:sz w:val="20"/>
          <w:szCs w:val="20"/>
          <w:u w:val="single" w:color="auto"/>
          <w:color w:val="1C2790"/>
        </w:rPr>
      </w:pPr>
    </w:p>
    <w:p>
      <w:pPr>
        <w:ind w:left="40"/>
        <w:spacing w:after="0"/>
        <w:tabs>
          <w:tab w:leader="none" w:pos="860" w:val="left"/>
        </w:tabs>
        <w:rPr>
          <w:sz w:val="20"/>
          <w:szCs w:val="20"/>
          <w:color w:val="auto"/>
        </w:rPr>
      </w:pPr>
      <w:r>
        <w:rPr>
          <w:rFonts w:ascii="Times New Roman" w:cs="Times New Roman" w:eastAsia="Times New Roman" w:hAnsi="Times New Roman"/>
          <w:sz w:val="20"/>
          <w:szCs w:val="20"/>
          <w:u w:val="single" w:color="auto"/>
          <w:color w:val="1C2790"/>
        </w:rPr>
        <w:t>Item 6.</w:t>
      </w:r>
      <w:r>
        <w:rPr>
          <w:sz w:val="20"/>
          <w:szCs w:val="20"/>
          <w:color w:val="auto"/>
        </w:rPr>
        <w:tab/>
      </w:r>
      <w:r>
        <w:rPr>
          <w:rFonts w:ascii="Times New Roman" w:cs="Times New Roman" w:eastAsia="Times New Roman" w:hAnsi="Times New Roman"/>
          <w:sz w:val="20"/>
          <w:szCs w:val="20"/>
          <w:u w:val="single" w:color="auto"/>
          <w:color w:val="1C2790"/>
        </w:rPr>
        <w:t xml:space="preserve">RESERVED </w:t>
      </w:r>
      <w:r>
        <w:rPr>
          <w:rFonts w:ascii="Times New Roman" w:cs="Times New Roman" w:eastAsia="Times New Roman" w:hAnsi="Times New Roman"/>
          <w:sz w:val="20"/>
          <w:szCs w:val="20"/>
          <w:color w:val="000000"/>
        </w:rPr>
        <w:t>...................................................................................................................................................</w:t>
      </w:r>
    </w:p>
    <w:p>
      <w:pPr>
        <w:ind w:left="40"/>
        <w:spacing w:after="0"/>
        <w:tabs>
          <w:tab w:leader="none" w:pos="860" w:val="left"/>
        </w:tabs>
        <w:rPr>
          <w:sz w:val="20"/>
          <w:szCs w:val="20"/>
          <w:color w:val="auto"/>
        </w:rPr>
      </w:pPr>
      <w:r>
        <w:rPr>
          <w:rFonts w:ascii="Times New Roman" w:cs="Times New Roman" w:eastAsia="Times New Roman" w:hAnsi="Times New Roman"/>
          <w:sz w:val="33"/>
          <w:szCs w:val="33"/>
          <w:u w:val="single" w:color="auto"/>
          <w:color w:val="1C2790"/>
          <w:vertAlign w:val="subscript"/>
        </w:rPr>
        <w:t>Item 7.</w:t>
      </w:r>
      <w:r>
        <w:rPr>
          <w:sz w:val="20"/>
          <w:szCs w:val="20"/>
          <w:color w:val="auto"/>
        </w:rPr>
        <w:tab/>
      </w:r>
      <w:r>
        <w:rPr>
          <w:rFonts w:ascii="Times New Roman" w:cs="Times New Roman" w:eastAsia="Times New Roman" w:hAnsi="Times New Roman"/>
          <w:sz w:val="19"/>
          <w:szCs w:val="19"/>
          <w:u w:val="single" w:color="auto"/>
          <w:color w:val="1C2790"/>
        </w:rPr>
        <w:t>MANAGEMENT’S DISCUSSION AND ANALYSIS OF FINANCIAL CONDITION AND RESULTS</w:t>
      </w:r>
    </w:p>
    <w:p>
      <w:pPr>
        <w:spacing w:after="0" w:line="20" w:lineRule="exact"/>
        <w:rPr>
          <w:rFonts w:ascii="Times New Roman" w:cs="Times New Roman" w:eastAsia="Times New Roman" w:hAnsi="Times New Roman"/>
          <w:sz w:val="20"/>
          <w:szCs w:val="20"/>
          <w:u w:val="single" w:color="auto"/>
          <w:color w:val="1C2790"/>
        </w:rPr>
      </w:pPr>
      <w:r>
        <w:rPr>
          <w:rFonts w:ascii="Times New Roman" w:cs="Times New Roman" w:eastAsia="Times New Roman" w:hAnsi="Times New Roman"/>
          <w:sz w:val="20"/>
          <w:szCs w:val="20"/>
          <w:u w:val="single" w:color="auto"/>
          <w:color w:val="1C2790"/>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-132080</wp:posOffset>
                </wp:positionV>
                <wp:extent cx="6514465" cy="29464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294640"/>
                        </a:xfrm>
                        <a:prstGeom prst="rect">
                          <a:avLst/>
                        </a:prstGeom>
                        <a:solidFill>
                          <a:srgbClr val="D2EEF5"/>
                        </a:solidFill>
                      </wps:spPr>
                      <wps:bodyPr/>
                    </wps:wsp>
                  </a:graphicData>
                </a:graphic>
              </wp:anchor>
            </w:drawing>
          </mc:Choice>
          <mc:Fallback>
            <w:pict>
              <v:rect id="Shape 29" o:spid="_x0000_s1054" style="position:absolute;margin-left:-0.4499pt;margin-top:-10.3999pt;width:512.95pt;height:23.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26670</wp:posOffset>
                </wp:positionH>
                <wp:positionV relativeFrom="paragraph">
                  <wp:posOffset>-48260</wp:posOffset>
                </wp:positionV>
                <wp:extent cx="466725" cy="126365"/>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6725" cy="126365"/>
                        </a:xfrm>
                        <a:prstGeom prst="rect">
                          <a:avLst/>
                        </a:prstGeom>
                        <a:solidFill>
                          <a:srgbClr val="D2EEF5"/>
                        </a:solidFill>
                      </wps:spPr>
                      <wps:bodyPr/>
                    </wps:wsp>
                  </a:graphicData>
                </a:graphic>
              </wp:anchor>
            </w:drawing>
          </mc:Choice>
          <mc:Fallback>
            <w:pict>
              <v:rect id="Shape 30" o:spid="_x0000_s1055" style="position:absolute;margin-left:2.1pt;margin-top:-3.7999pt;width:36.75pt;height:9.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560070</wp:posOffset>
                </wp:positionH>
                <wp:positionV relativeFrom="paragraph">
                  <wp:posOffset>-111760</wp:posOffset>
                </wp:positionV>
                <wp:extent cx="5333365" cy="253365"/>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33365" cy="253365"/>
                        </a:xfrm>
                        <a:prstGeom prst="rect">
                          <a:avLst/>
                        </a:prstGeom>
                        <a:solidFill>
                          <a:srgbClr val="D2EEF5"/>
                        </a:solidFill>
                      </wps:spPr>
                      <wps:bodyPr/>
                    </wps:wsp>
                  </a:graphicData>
                </a:graphic>
              </wp:anchor>
            </w:drawing>
          </mc:Choice>
          <mc:Fallback>
            <w:pict>
              <v:rect id="Shape 31" o:spid="_x0000_s1056" style="position:absolute;margin-left:44.1pt;margin-top:-8.7999pt;width:419.95pt;height:19.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ind w:left="880"/>
        <w:spacing w:after="0"/>
        <w:rPr>
          <w:sz w:val="20"/>
          <w:szCs w:val="20"/>
          <w:color w:val="auto"/>
        </w:rPr>
      </w:pPr>
      <w:r>
        <w:rPr>
          <w:rFonts w:ascii="Times New Roman" w:cs="Times New Roman" w:eastAsia="Times New Roman" w:hAnsi="Times New Roman"/>
          <w:sz w:val="20"/>
          <w:szCs w:val="20"/>
          <w:u w:val="single" w:color="auto"/>
          <w:color w:val="1C2790"/>
        </w:rPr>
        <w:t>OF OPERATIONS</w:t>
      </w:r>
      <w:r>
        <w:rPr>
          <w:rFonts w:ascii="Times New Roman" w:cs="Times New Roman" w:eastAsia="Times New Roman" w:hAnsi="Times New Roman"/>
          <w:sz w:val="20"/>
          <w:szCs w:val="20"/>
          <w:color w:val="000000"/>
        </w:rPr>
        <w:t>.........................................................................................................................................</w:t>
      </w:r>
    </w:p>
    <w:p>
      <w:pPr>
        <w:spacing w:after="0" w:line="32" w:lineRule="exact"/>
        <w:rPr>
          <w:rFonts w:ascii="Times New Roman" w:cs="Times New Roman" w:eastAsia="Times New Roman" w:hAnsi="Times New Roman"/>
          <w:sz w:val="20"/>
          <w:szCs w:val="20"/>
          <w:u w:val="single" w:color="auto"/>
          <w:color w:val="1C2790"/>
        </w:rPr>
      </w:pPr>
    </w:p>
    <w:p>
      <w:pPr>
        <w:ind w:left="40"/>
        <w:spacing w:after="0"/>
        <w:rPr>
          <w:sz w:val="20"/>
          <w:szCs w:val="20"/>
          <w:color w:val="auto"/>
        </w:rPr>
      </w:pPr>
      <w:r>
        <w:rPr>
          <w:rFonts w:ascii="Times New Roman" w:cs="Times New Roman" w:eastAsia="Times New Roman" w:hAnsi="Times New Roman"/>
          <w:sz w:val="19"/>
          <w:szCs w:val="19"/>
          <w:u w:val="single" w:color="auto"/>
          <w:color w:val="1C2790"/>
        </w:rPr>
        <w:t>Item 7A. QUANTITATIVE AND QUALITATIVE DISCLOSURES ABOUT MARKET RISK</w:t>
      </w:r>
      <w:r>
        <w:rPr>
          <w:rFonts w:ascii="Times New Roman" w:cs="Times New Roman" w:eastAsia="Times New Roman" w:hAnsi="Times New Roman"/>
          <w:sz w:val="19"/>
          <w:szCs w:val="19"/>
          <w:color w:val="1C2790"/>
        </w:rPr>
        <w:t xml:space="preserve"> </w:t>
      </w:r>
      <w:r>
        <w:rPr>
          <w:rFonts w:ascii="Times New Roman" w:cs="Times New Roman" w:eastAsia="Times New Roman" w:hAnsi="Times New Roman"/>
          <w:sz w:val="19"/>
          <w:szCs w:val="19"/>
          <w:color w:val="000000"/>
        </w:rPr>
        <w:t>................................</w:t>
      </w:r>
    </w:p>
    <w:p>
      <w:pPr>
        <w:spacing w:after="0" w:line="20" w:lineRule="exact"/>
        <w:rPr>
          <w:rFonts w:ascii="Times New Roman" w:cs="Times New Roman" w:eastAsia="Times New Roman" w:hAnsi="Times New Roman"/>
          <w:sz w:val="20"/>
          <w:szCs w:val="20"/>
          <w:u w:val="single" w:color="auto"/>
          <w:color w:val="1C2790"/>
        </w:rPr>
      </w:pPr>
      <w:r>
        <w:rPr>
          <w:rFonts w:ascii="Times New Roman" w:cs="Times New Roman" w:eastAsia="Times New Roman" w:hAnsi="Times New Roman"/>
          <w:sz w:val="20"/>
          <w:szCs w:val="20"/>
          <w:u w:val="single" w:color="auto"/>
          <w:color w:val="1C2790"/>
        </w:rPr>
        <mc:AlternateContent>
          <mc:Choice Requires="wps">
            <w:drawing>
              <wp:anchor simplePos="0" relativeHeight="251657728" behindDoc="1" locked="0" layoutInCell="0" allowOverlap="1">
                <wp:simplePos x="0" y="0"/>
                <wp:positionH relativeFrom="column">
                  <wp:posOffset>-5715</wp:posOffset>
                </wp:positionH>
                <wp:positionV relativeFrom="paragraph">
                  <wp:posOffset>56515</wp:posOffset>
                </wp:positionV>
                <wp:extent cx="6514465" cy="19939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99390"/>
                        </a:xfrm>
                        <a:prstGeom prst="rect">
                          <a:avLst/>
                        </a:prstGeom>
                        <a:solidFill>
                          <a:srgbClr val="D2EEF5"/>
                        </a:solidFill>
                      </wps:spPr>
                      <wps:bodyPr/>
                    </wps:wsp>
                  </a:graphicData>
                </a:graphic>
              </wp:anchor>
            </w:drawing>
          </mc:Choice>
          <mc:Fallback>
            <w:pict>
              <v:rect id="Shape 32" o:spid="_x0000_s1057" style="position:absolute;margin-left:-0.4499pt;margin-top:4.45pt;width:512.95pt;height:15.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76" w:lineRule="exact"/>
        <w:rPr>
          <w:rFonts w:ascii="Times New Roman" w:cs="Times New Roman" w:eastAsia="Times New Roman" w:hAnsi="Times New Roman"/>
          <w:sz w:val="20"/>
          <w:szCs w:val="20"/>
          <w:u w:val="single" w:color="auto"/>
          <w:color w:val="1C2790"/>
        </w:rPr>
      </w:pPr>
    </w:p>
    <w:p>
      <w:pPr>
        <w:ind w:left="40"/>
        <w:spacing w:after="0"/>
        <w:tabs>
          <w:tab w:leader="none" w:pos="860" w:val="left"/>
        </w:tabs>
        <w:rPr>
          <w:sz w:val="20"/>
          <w:szCs w:val="20"/>
          <w:color w:val="auto"/>
        </w:rPr>
      </w:pPr>
      <w:r>
        <w:rPr>
          <w:rFonts w:ascii="Times New Roman" w:cs="Times New Roman" w:eastAsia="Times New Roman" w:hAnsi="Times New Roman"/>
          <w:sz w:val="20"/>
          <w:szCs w:val="20"/>
          <w:u w:val="single" w:color="auto"/>
          <w:color w:val="1C2790"/>
        </w:rPr>
        <w:t>Item 8.</w:t>
      </w:r>
      <w:r>
        <w:rPr>
          <w:sz w:val="20"/>
          <w:szCs w:val="20"/>
          <w:color w:val="auto"/>
        </w:rPr>
        <w:tab/>
      </w:r>
      <w:r>
        <w:rPr>
          <w:rFonts w:ascii="Times New Roman" w:cs="Times New Roman" w:eastAsia="Times New Roman" w:hAnsi="Times New Roman"/>
          <w:sz w:val="19"/>
          <w:szCs w:val="19"/>
          <w:u w:val="single" w:color="auto"/>
          <w:color w:val="1C2790"/>
          <w:shd w:val="clear" w:color="auto" w:fill="D2EEF5"/>
        </w:rPr>
        <w:t xml:space="preserve">FINANCIAL STATEMENTS AND SUPPLEMENTARY DATA </w:t>
      </w:r>
      <w:r>
        <w:rPr>
          <w:rFonts w:ascii="Times New Roman" w:cs="Times New Roman" w:eastAsia="Times New Roman" w:hAnsi="Times New Roman"/>
          <w:sz w:val="19"/>
          <w:szCs w:val="19"/>
          <w:color w:val="000000"/>
          <w:shd w:val="clear" w:color="auto" w:fill="D2EEF5"/>
        </w:rPr>
        <w:t>................................................................</w:t>
      </w:r>
      <w:r>
        <w:rPr>
          <w:rFonts w:ascii="Times New Roman" w:cs="Times New Roman" w:eastAsia="Times New Roman" w:hAnsi="Times New Roman"/>
          <w:sz w:val="19"/>
          <w:szCs w:val="19"/>
          <w:color w:val="000000"/>
        </w:rPr>
        <w:t>.</w:t>
      </w:r>
    </w:p>
    <w:p>
      <w:pPr>
        <w:spacing w:after="0" w:line="20" w:lineRule="exact"/>
        <w:rPr>
          <w:rFonts w:ascii="Times New Roman" w:cs="Times New Roman" w:eastAsia="Times New Roman" w:hAnsi="Times New Roman"/>
          <w:sz w:val="20"/>
          <w:szCs w:val="20"/>
          <w:u w:val="single" w:color="auto"/>
          <w:color w:val="1C2790"/>
        </w:rPr>
      </w:pPr>
      <w:r>
        <w:rPr>
          <w:rFonts w:ascii="Times New Roman" w:cs="Times New Roman" w:eastAsia="Times New Roman" w:hAnsi="Times New Roman"/>
          <w:sz w:val="20"/>
          <w:szCs w:val="20"/>
          <w:u w:val="single" w:color="auto"/>
          <w:color w:val="1C2790"/>
        </w:rPr>
        <mc:AlternateContent>
          <mc:Choice Requires="wps">
            <w:drawing>
              <wp:anchor simplePos="0" relativeHeight="251657728" behindDoc="1" locked="0" layoutInCell="0" allowOverlap="1">
                <wp:simplePos x="0" y="0"/>
                <wp:positionH relativeFrom="column">
                  <wp:posOffset>26670</wp:posOffset>
                </wp:positionH>
                <wp:positionV relativeFrom="paragraph">
                  <wp:posOffset>-113665</wp:posOffset>
                </wp:positionV>
                <wp:extent cx="466725" cy="12573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6725" cy="125730"/>
                        </a:xfrm>
                        <a:prstGeom prst="rect">
                          <a:avLst/>
                        </a:prstGeom>
                        <a:solidFill>
                          <a:srgbClr val="D2EEF5"/>
                        </a:solidFill>
                      </wps:spPr>
                      <wps:bodyPr/>
                    </wps:wsp>
                  </a:graphicData>
                </a:graphic>
              </wp:anchor>
            </w:drawing>
          </mc:Choice>
          <mc:Fallback>
            <w:pict>
              <v:rect id="Shape 33" o:spid="_x0000_s1058" style="position:absolute;margin-left:2.1pt;margin-top:-8.9499pt;width:36.75pt;height:9.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39" w:lineRule="exact"/>
        <w:rPr>
          <w:rFonts w:ascii="Times New Roman" w:cs="Times New Roman" w:eastAsia="Times New Roman" w:hAnsi="Times New Roman"/>
          <w:sz w:val="20"/>
          <w:szCs w:val="20"/>
          <w:u w:val="single" w:color="auto"/>
          <w:color w:val="1C2790"/>
        </w:rPr>
      </w:pPr>
    </w:p>
    <w:p>
      <w:pPr>
        <w:ind w:left="880"/>
        <w:spacing w:after="0"/>
        <w:rPr>
          <w:sz w:val="20"/>
          <w:szCs w:val="20"/>
          <w:color w:val="auto"/>
        </w:rPr>
      </w:pPr>
      <w:r>
        <w:rPr>
          <w:rFonts w:ascii="Times New Roman" w:cs="Times New Roman" w:eastAsia="Times New Roman" w:hAnsi="Times New Roman"/>
          <w:sz w:val="20"/>
          <w:szCs w:val="20"/>
          <w:u w:val="single" w:color="auto"/>
          <w:color w:val="1C2790"/>
        </w:rPr>
        <w:t>CHANGES IN AND DISAGREEMENTS WITH ACCOUNTANTS ON ACCOUNTING AND</w:t>
      </w:r>
    </w:p>
    <w:p>
      <w:pPr>
        <w:ind w:left="880"/>
        <w:spacing w:after="0"/>
        <w:rPr>
          <w:sz w:val="20"/>
          <w:szCs w:val="20"/>
          <w:color w:val="auto"/>
        </w:rPr>
      </w:pPr>
      <w:r>
        <w:rPr>
          <w:rFonts w:ascii="Times New Roman" w:cs="Times New Roman" w:eastAsia="Times New Roman" w:hAnsi="Times New Roman"/>
          <w:sz w:val="20"/>
          <w:szCs w:val="20"/>
          <w:u w:val="single" w:color="auto"/>
          <w:color w:val="1C2790"/>
        </w:rPr>
        <w:t>FINANCIAL DISCLOSURE</w:t>
      </w:r>
      <w:r>
        <w:rPr>
          <w:rFonts w:ascii="Times New Roman" w:cs="Times New Roman" w:eastAsia="Times New Roman" w:hAnsi="Times New Roman"/>
          <w:sz w:val="20"/>
          <w:szCs w:val="20"/>
          <w:color w:val="1C2790"/>
        </w:rPr>
        <w:t xml:space="preserve"> </w:t>
      </w:r>
      <w:r>
        <w:rPr>
          <w:rFonts w:ascii="Times New Roman" w:cs="Times New Roman" w:eastAsia="Times New Roman" w:hAnsi="Times New Roman"/>
          <w:sz w:val="20"/>
          <w:szCs w:val="20"/>
          <w:color w:val="000000"/>
        </w:rPr>
        <w:t>........................................................................................................................</w:t>
      </w:r>
    </w:p>
    <w:p>
      <w:pPr>
        <w:spacing w:after="0" w:line="20" w:lineRule="exact"/>
        <w:rPr>
          <w:rFonts w:ascii="Times New Roman" w:cs="Times New Roman" w:eastAsia="Times New Roman" w:hAnsi="Times New Roman"/>
          <w:sz w:val="20"/>
          <w:szCs w:val="20"/>
          <w:u w:val="single" w:color="auto"/>
          <w:color w:val="1C2790"/>
        </w:rPr>
      </w:pPr>
      <w:r>
        <w:rPr>
          <w:rFonts w:ascii="Times New Roman" w:cs="Times New Roman" w:eastAsia="Times New Roman" w:hAnsi="Times New Roman"/>
          <w:sz w:val="20"/>
          <w:szCs w:val="20"/>
          <w:u w:val="single" w:color="auto"/>
          <w:color w:val="1C2790"/>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15240</wp:posOffset>
                </wp:positionV>
                <wp:extent cx="6514465" cy="200025"/>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200025"/>
                        </a:xfrm>
                        <a:prstGeom prst="rect">
                          <a:avLst/>
                        </a:prstGeom>
                        <a:solidFill>
                          <a:srgbClr val="D2EEF5"/>
                        </a:solidFill>
                      </wps:spPr>
                      <wps:bodyPr/>
                    </wps:wsp>
                  </a:graphicData>
                </a:graphic>
              </wp:anchor>
            </w:drawing>
          </mc:Choice>
          <mc:Fallback>
            <w:pict>
              <v:rect id="Shape 34" o:spid="_x0000_s1059" style="position:absolute;margin-left:-0.4499pt;margin-top:1.2pt;width:512.95pt;height:15.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11" w:lineRule="exact"/>
        <w:rPr>
          <w:rFonts w:ascii="Times New Roman" w:cs="Times New Roman" w:eastAsia="Times New Roman" w:hAnsi="Times New Roman"/>
          <w:sz w:val="20"/>
          <w:szCs w:val="20"/>
          <w:u w:val="single" w:color="auto"/>
          <w:color w:val="1C2790"/>
        </w:rPr>
      </w:pPr>
    </w:p>
    <w:p>
      <w:pPr>
        <w:ind w:left="40"/>
        <w:spacing w:after="0"/>
        <w:rPr>
          <w:sz w:val="20"/>
          <w:szCs w:val="20"/>
          <w:color w:val="auto"/>
        </w:rPr>
      </w:pPr>
      <w:r>
        <w:rPr>
          <w:rFonts w:ascii="Times New Roman" w:cs="Times New Roman" w:eastAsia="Times New Roman" w:hAnsi="Times New Roman"/>
          <w:sz w:val="20"/>
          <w:szCs w:val="20"/>
          <w:u w:val="single" w:color="auto"/>
          <w:color w:val="1C2790"/>
          <w:shd w:val="clear" w:color="auto" w:fill="D2EEF5"/>
        </w:rPr>
        <w:t>Item 9A. CONTROLS AND PROCEDURES</w:t>
      </w:r>
      <w:r>
        <w:rPr>
          <w:rFonts w:ascii="Times New Roman" w:cs="Times New Roman" w:eastAsia="Times New Roman" w:hAnsi="Times New Roman"/>
          <w:sz w:val="20"/>
          <w:szCs w:val="20"/>
          <w:color w:val="1C2790"/>
          <w:shd w:val="clear" w:color="auto" w:fill="D2EEF5"/>
        </w:rPr>
        <w:t xml:space="preserve"> </w:t>
      </w:r>
      <w:r>
        <w:rPr>
          <w:rFonts w:ascii="Times New Roman" w:cs="Times New Roman" w:eastAsia="Times New Roman" w:hAnsi="Times New Roman"/>
          <w:sz w:val="20"/>
          <w:szCs w:val="20"/>
          <w:color w:val="000000"/>
          <w:shd w:val="clear" w:color="auto" w:fill="D2EEF5"/>
        </w:rPr>
        <w:t>.............................................................................................................</w:t>
      </w:r>
      <w:r>
        <w:rPr>
          <w:rFonts w:ascii="Times New Roman" w:cs="Times New Roman" w:eastAsia="Times New Roman" w:hAnsi="Times New Roman"/>
          <w:sz w:val="20"/>
          <w:szCs w:val="20"/>
          <w:color w:val="000000"/>
        </w:rPr>
        <w:t>.</w:t>
      </w:r>
    </w:p>
    <w:p>
      <w:pPr>
        <w:spacing w:after="0" w:line="86" w:lineRule="exact"/>
        <w:rPr>
          <w:rFonts w:ascii="Times New Roman" w:cs="Times New Roman" w:eastAsia="Times New Roman" w:hAnsi="Times New Roman"/>
          <w:sz w:val="20"/>
          <w:szCs w:val="20"/>
          <w:u w:val="single" w:color="auto"/>
          <w:color w:val="1C2790"/>
        </w:rPr>
      </w:pPr>
    </w:p>
    <w:p>
      <w:pPr>
        <w:ind w:left="40"/>
        <w:spacing w:after="0"/>
        <w:rPr>
          <w:sz w:val="20"/>
          <w:szCs w:val="20"/>
          <w:color w:val="auto"/>
        </w:rPr>
      </w:pPr>
      <w:r>
        <w:rPr>
          <w:rFonts w:ascii="Times New Roman" w:cs="Times New Roman" w:eastAsia="Times New Roman" w:hAnsi="Times New Roman"/>
          <w:sz w:val="20"/>
          <w:szCs w:val="20"/>
          <w:u w:val="single" w:color="auto"/>
          <w:color w:val="1C2790"/>
        </w:rPr>
        <w:t>Item 9B.  OTHER INFORMATION</w:t>
      </w:r>
      <w:r>
        <w:rPr>
          <w:rFonts w:ascii="Times New Roman" w:cs="Times New Roman" w:eastAsia="Times New Roman" w:hAnsi="Times New Roman"/>
          <w:sz w:val="20"/>
          <w:szCs w:val="20"/>
          <w:color w:val="000000"/>
        </w:rPr>
        <w:t>..............................................................................................................................</w:t>
      </w:r>
    </w:p>
    <w:p>
      <w:pPr>
        <w:spacing w:after="0" w:line="70" w:lineRule="exact"/>
        <w:rPr>
          <w:rFonts w:ascii="Times New Roman" w:cs="Times New Roman" w:eastAsia="Times New Roman" w:hAnsi="Times New Roman"/>
          <w:sz w:val="20"/>
          <w:szCs w:val="20"/>
          <w:u w:val="single" w:color="auto"/>
          <w:color w:val="1C2790"/>
        </w:rPr>
      </w:pPr>
    </w:p>
    <w:p>
      <w:pPr>
        <w:ind w:left="40"/>
        <w:spacing w:after="0"/>
        <w:rPr>
          <w:sz w:val="20"/>
          <w:szCs w:val="20"/>
          <w:color w:val="auto"/>
        </w:rPr>
      </w:pPr>
      <w:r>
        <w:rPr>
          <w:rFonts w:ascii="Times New Roman" w:cs="Times New Roman" w:eastAsia="Times New Roman" w:hAnsi="Times New Roman"/>
          <w:sz w:val="19"/>
          <w:szCs w:val="19"/>
          <w:u w:val="single" w:color="auto"/>
          <w:color w:val="1C2790"/>
          <w:shd w:val="clear" w:color="auto" w:fill="D2EEF5"/>
        </w:rPr>
        <w:t>Item 9C.  DISCLOSURE REGARDING FOREIGN JURISDICTIONS THAT PREVENT INSPECTIONS</w:t>
      </w:r>
      <w:r>
        <w:rPr>
          <w:rFonts w:ascii="Times New Roman" w:cs="Times New Roman" w:eastAsia="Times New Roman" w:hAnsi="Times New Roman"/>
          <w:sz w:val="19"/>
          <w:szCs w:val="19"/>
          <w:color w:val="1C2790"/>
          <w:shd w:val="clear" w:color="auto" w:fill="D2EEF5"/>
        </w:rPr>
        <w:t xml:space="preserve"> </w:t>
      </w:r>
      <w:r>
        <w:rPr>
          <w:rFonts w:ascii="Times New Roman" w:cs="Times New Roman" w:eastAsia="Times New Roman" w:hAnsi="Times New Roman"/>
          <w:sz w:val="19"/>
          <w:szCs w:val="19"/>
          <w:color w:val="000000"/>
          <w:shd w:val="clear" w:color="auto" w:fill="D2EEF5"/>
        </w:rPr>
        <w:t>.............</w:t>
      </w:r>
      <w:r>
        <w:rPr>
          <w:rFonts w:ascii="Times New Roman" w:cs="Times New Roman" w:eastAsia="Times New Roman" w:hAnsi="Times New Roman"/>
          <w:sz w:val="19"/>
          <w:szCs w:val="19"/>
          <w:color w:val="000000"/>
        </w:rPr>
        <w:t>.</w:t>
      </w:r>
    </w:p>
    <w:p>
      <w:pPr>
        <w:spacing w:after="0" w:line="20" w:lineRule="exact"/>
        <w:rPr>
          <w:rFonts w:ascii="Times New Roman" w:cs="Times New Roman" w:eastAsia="Times New Roman" w:hAnsi="Times New Roman"/>
          <w:sz w:val="20"/>
          <w:szCs w:val="20"/>
          <w:u w:val="single" w:color="auto"/>
          <w:color w:val="1C2790"/>
        </w:rPr>
      </w:pPr>
      <w:r>
        <w:rPr>
          <w:rFonts w:ascii="Times New Roman" w:cs="Times New Roman" w:eastAsia="Times New Roman" w:hAnsi="Times New Roman"/>
          <w:sz w:val="20"/>
          <w:szCs w:val="20"/>
          <w:u w:val="single" w:color="auto"/>
          <w:color w:val="1C2790"/>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-133350</wp:posOffset>
                </wp:positionV>
                <wp:extent cx="6514465" cy="179705"/>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79705"/>
                        </a:xfrm>
                        <a:prstGeom prst="rect">
                          <a:avLst/>
                        </a:prstGeom>
                        <a:solidFill>
                          <a:srgbClr val="D2EEF5"/>
                        </a:solidFill>
                      </wps:spPr>
                      <wps:bodyPr/>
                    </wps:wsp>
                  </a:graphicData>
                </a:graphic>
              </wp:anchor>
            </w:drawing>
          </mc:Choice>
          <mc:Fallback>
            <w:pict>
              <v:rect id="Shape 35" o:spid="_x0000_s1060" style="position:absolute;margin-left:-0.4499pt;margin-top:-10.4999pt;width:512.95pt;height:14.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247015</wp:posOffset>
                </wp:positionV>
                <wp:extent cx="6514465" cy="19939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99390"/>
                        </a:xfrm>
                        <a:prstGeom prst="rect">
                          <a:avLst/>
                        </a:prstGeom>
                        <a:solidFill>
                          <a:srgbClr val="D2EEF5"/>
                        </a:solidFill>
                      </wps:spPr>
                      <wps:bodyPr/>
                    </wps:wsp>
                  </a:graphicData>
                </a:graphic>
              </wp:anchor>
            </w:drawing>
          </mc:Choice>
          <mc:Fallback>
            <w:pict>
              <v:rect id="Shape 36" o:spid="_x0000_s1061" style="position:absolute;margin-left:-0.4499pt;margin-top:19.45pt;width:512.95pt;height:15.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20" w:lineRule="exact"/>
        <w:rPr>
          <w:rFonts w:ascii="Times New Roman" w:cs="Times New Roman" w:eastAsia="Times New Roman" w:hAnsi="Times New Roman"/>
          <w:sz w:val="20"/>
          <w:szCs w:val="20"/>
          <w:u w:val="single" w:color="auto"/>
          <w:color w:val="1C2790"/>
        </w:rPr>
      </w:pPr>
      <w:r>
        <w:rPr>
          <w:rFonts w:ascii="Times New Roman" w:cs="Times New Roman" w:eastAsia="Times New Roman" w:hAnsi="Times New Roman"/>
          <w:sz w:val="20"/>
          <w:szCs w:val="20"/>
          <w:u w:val="single" w:color="auto"/>
          <w:color w:val="1C2790"/>
        </w:rPr>
        <w:br w:type="column"/>
      </w:r>
    </w:p>
    <w:p>
      <w:pPr>
        <w:spacing w:after="0" w:line="200" w:lineRule="exact"/>
        <w:rPr>
          <w:rFonts w:ascii="Times New Roman" w:cs="Times New Roman" w:eastAsia="Times New Roman" w:hAnsi="Times New Roman"/>
          <w:sz w:val="20"/>
          <w:szCs w:val="20"/>
          <w:u w:val="single" w:color="auto"/>
          <w:color w:val="1C2790"/>
        </w:rPr>
      </w:pPr>
    </w:p>
    <w:p>
      <w:pPr>
        <w:spacing w:after="0" w:line="260" w:lineRule="exact"/>
        <w:rPr>
          <w:rFonts w:ascii="Times New Roman" w:cs="Times New Roman" w:eastAsia="Times New Roman" w:hAnsi="Times New Roman"/>
          <w:sz w:val="20"/>
          <w:szCs w:val="20"/>
          <w:u w:val="single" w:color="auto"/>
          <w:color w:val="1C2790"/>
        </w:rPr>
      </w:pPr>
    </w:p>
    <w:p>
      <w:pPr>
        <w:spacing w:after="0"/>
        <w:rPr>
          <w:sz w:val="20"/>
          <w:szCs w:val="20"/>
          <w:color w:val="auto"/>
        </w:rPr>
      </w:pPr>
      <w:r>
        <w:rPr>
          <w:rFonts w:ascii="Times New Roman" w:cs="Times New Roman" w:eastAsia="Times New Roman" w:hAnsi="Times New Roman"/>
          <w:sz w:val="20"/>
          <w:szCs w:val="20"/>
          <w:u w:val="single" w:color="auto"/>
          <w:color w:val="1C2790"/>
        </w:rPr>
        <w:t>46</w:t>
      </w:r>
    </w:p>
    <w:p>
      <w:pPr>
        <w:spacing w:after="0" w:line="20" w:lineRule="exact"/>
        <w:rPr>
          <w:rFonts w:ascii="Times New Roman" w:cs="Times New Roman" w:eastAsia="Times New Roman" w:hAnsi="Times New Roman"/>
          <w:sz w:val="20"/>
          <w:szCs w:val="20"/>
          <w:u w:val="single" w:color="auto"/>
          <w:color w:val="1C2790"/>
        </w:rPr>
      </w:pPr>
      <w:r>
        <w:rPr>
          <w:rFonts w:ascii="Times New Roman" w:cs="Times New Roman" w:eastAsia="Times New Roman" w:hAnsi="Times New Roman"/>
          <w:sz w:val="20"/>
          <w:szCs w:val="20"/>
          <w:u w:val="single" w:color="auto"/>
          <w:color w:val="1C2790"/>
        </w:rPr>
        <mc:AlternateContent>
          <mc:Choice Requires="wps">
            <w:drawing>
              <wp:anchor simplePos="0" relativeHeight="251657728" behindDoc="1" locked="0" layoutInCell="0" allowOverlap="1">
                <wp:simplePos x="0" y="0"/>
                <wp:positionH relativeFrom="column">
                  <wp:posOffset>-197485</wp:posOffset>
                </wp:positionH>
                <wp:positionV relativeFrom="paragraph">
                  <wp:posOffset>-114300</wp:posOffset>
                </wp:positionV>
                <wp:extent cx="513080" cy="126365"/>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3080" cy="126365"/>
                        </a:xfrm>
                        <a:prstGeom prst="rect">
                          <a:avLst/>
                        </a:prstGeom>
                        <a:solidFill>
                          <a:srgbClr val="D2EEF5"/>
                        </a:solidFill>
                      </wps:spPr>
                      <wps:bodyPr/>
                    </wps:wsp>
                  </a:graphicData>
                </a:graphic>
              </wp:anchor>
            </w:drawing>
          </mc:Choice>
          <mc:Fallback>
            <w:pict>
              <v:rect id="Shape 37" o:spid="_x0000_s1062" style="position:absolute;margin-left:-15.5499pt;margin-top:-9pt;width:40.4pt;height:9.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140" w:lineRule="exact"/>
        <w:rPr>
          <w:rFonts w:ascii="Times New Roman" w:cs="Times New Roman" w:eastAsia="Times New Roman" w:hAnsi="Times New Roman"/>
          <w:sz w:val="20"/>
          <w:szCs w:val="20"/>
          <w:u w:val="single" w:color="auto"/>
          <w:color w:val="1C2790"/>
        </w:rPr>
      </w:pPr>
    </w:p>
    <w:p>
      <w:pPr>
        <w:spacing w:after="0"/>
        <w:rPr>
          <w:sz w:val="20"/>
          <w:szCs w:val="20"/>
          <w:color w:val="auto"/>
        </w:rPr>
      </w:pPr>
      <w:r>
        <w:rPr>
          <w:rFonts w:ascii="Times New Roman" w:cs="Times New Roman" w:eastAsia="Times New Roman" w:hAnsi="Times New Roman"/>
          <w:sz w:val="20"/>
          <w:szCs w:val="20"/>
          <w:u w:val="single" w:color="auto"/>
          <w:color w:val="1C2790"/>
        </w:rPr>
        <w:t>46</w:t>
      </w:r>
    </w:p>
    <w:p>
      <w:pPr>
        <w:spacing w:after="0" w:line="160" w:lineRule="exact"/>
        <w:rPr>
          <w:rFonts w:ascii="Times New Roman" w:cs="Times New Roman" w:eastAsia="Times New Roman" w:hAnsi="Times New Roman"/>
          <w:sz w:val="20"/>
          <w:szCs w:val="20"/>
          <w:u w:val="single" w:color="auto"/>
          <w:color w:val="1C2790"/>
        </w:rPr>
      </w:pPr>
    </w:p>
    <w:p>
      <w:pPr>
        <w:spacing w:after="0"/>
        <w:rPr>
          <w:sz w:val="20"/>
          <w:szCs w:val="20"/>
          <w:color w:val="auto"/>
        </w:rPr>
      </w:pPr>
      <w:r>
        <w:rPr>
          <w:rFonts w:ascii="Times New Roman" w:cs="Times New Roman" w:eastAsia="Times New Roman" w:hAnsi="Times New Roman"/>
          <w:sz w:val="20"/>
          <w:szCs w:val="20"/>
          <w:u w:val="single" w:color="auto"/>
          <w:color w:val="1C2790"/>
        </w:rPr>
        <w:t>47</w:t>
      </w:r>
    </w:p>
    <w:p>
      <w:pPr>
        <w:spacing w:after="0" w:line="20" w:lineRule="exact"/>
        <w:rPr>
          <w:rFonts w:ascii="Times New Roman" w:cs="Times New Roman" w:eastAsia="Times New Roman" w:hAnsi="Times New Roman"/>
          <w:sz w:val="20"/>
          <w:szCs w:val="20"/>
          <w:u w:val="single" w:color="auto"/>
          <w:color w:val="1C2790"/>
        </w:rPr>
      </w:pPr>
      <w:r>
        <w:rPr>
          <w:rFonts w:ascii="Times New Roman" w:cs="Times New Roman" w:eastAsia="Times New Roman" w:hAnsi="Times New Roman"/>
          <w:sz w:val="20"/>
          <w:szCs w:val="20"/>
          <w:u w:val="single" w:color="auto"/>
          <w:color w:val="1C2790"/>
        </w:rPr>
        <mc:AlternateContent>
          <mc:Choice Requires="wps">
            <w:drawing>
              <wp:anchor simplePos="0" relativeHeight="251657728" behindDoc="1" locked="0" layoutInCell="0" allowOverlap="1">
                <wp:simplePos x="0" y="0"/>
                <wp:positionH relativeFrom="column">
                  <wp:posOffset>-197485</wp:posOffset>
                </wp:positionH>
                <wp:positionV relativeFrom="paragraph">
                  <wp:posOffset>-114300</wp:posOffset>
                </wp:positionV>
                <wp:extent cx="513080" cy="126365"/>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3080" cy="126365"/>
                        </a:xfrm>
                        <a:prstGeom prst="rect">
                          <a:avLst/>
                        </a:prstGeom>
                        <a:solidFill>
                          <a:srgbClr val="D2EEF5"/>
                        </a:solidFill>
                      </wps:spPr>
                      <wps:bodyPr/>
                    </wps:wsp>
                  </a:graphicData>
                </a:graphic>
              </wp:anchor>
            </w:drawing>
          </mc:Choice>
          <mc:Fallback>
            <w:pict>
              <v:rect id="Shape 38" o:spid="_x0000_s1063" style="position:absolute;margin-left:-15.5499pt;margin-top:-9pt;width:40.4pt;height:9.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140" w:lineRule="exact"/>
        <w:rPr>
          <w:rFonts w:ascii="Times New Roman" w:cs="Times New Roman" w:eastAsia="Times New Roman" w:hAnsi="Times New Roman"/>
          <w:sz w:val="20"/>
          <w:szCs w:val="20"/>
          <w:u w:val="single" w:color="auto"/>
          <w:color w:val="1C2790"/>
        </w:rPr>
      </w:pPr>
    </w:p>
    <w:p>
      <w:pPr>
        <w:spacing w:after="0"/>
        <w:rPr>
          <w:sz w:val="20"/>
          <w:szCs w:val="20"/>
          <w:color w:val="auto"/>
        </w:rPr>
      </w:pPr>
      <w:r>
        <w:rPr>
          <w:rFonts w:ascii="Times New Roman" w:cs="Times New Roman" w:eastAsia="Times New Roman" w:hAnsi="Times New Roman"/>
          <w:sz w:val="20"/>
          <w:szCs w:val="20"/>
          <w:u w:val="single" w:color="auto"/>
          <w:color w:val="1C2790"/>
        </w:rPr>
        <w:t>57</w:t>
      </w:r>
    </w:p>
    <w:p>
      <w:pPr>
        <w:spacing w:after="0" w:line="84" w:lineRule="exact"/>
        <w:rPr>
          <w:rFonts w:ascii="Times New Roman" w:cs="Times New Roman" w:eastAsia="Times New Roman" w:hAnsi="Times New Roman"/>
          <w:sz w:val="20"/>
          <w:szCs w:val="20"/>
          <w:u w:val="single" w:color="auto"/>
          <w:color w:val="1C2790"/>
        </w:rPr>
      </w:pPr>
    </w:p>
    <w:p>
      <w:pPr>
        <w:spacing w:after="0"/>
        <w:rPr>
          <w:sz w:val="20"/>
          <w:szCs w:val="20"/>
          <w:color w:val="auto"/>
        </w:rPr>
      </w:pPr>
      <w:r>
        <w:rPr>
          <w:rFonts w:ascii="Times New Roman" w:cs="Times New Roman" w:eastAsia="Times New Roman" w:hAnsi="Times New Roman"/>
          <w:sz w:val="20"/>
          <w:szCs w:val="20"/>
          <w:u w:val="single" w:color="auto"/>
          <w:color w:val="1C2790"/>
        </w:rPr>
        <w:t>58</w:t>
      </w:r>
    </w:p>
    <w:p>
      <w:pPr>
        <w:spacing w:after="0" w:line="20" w:lineRule="exact"/>
        <w:rPr>
          <w:rFonts w:ascii="Times New Roman" w:cs="Times New Roman" w:eastAsia="Times New Roman" w:hAnsi="Times New Roman"/>
          <w:sz w:val="20"/>
          <w:szCs w:val="20"/>
          <w:u w:val="single" w:color="auto"/>
          <w:color w:val="1C2790"/>
        </w:rPr>
      </w:pPr>
      <w:r>
        <w:rPr>
          <w:rFonts w:ascii="Times New Roman" w:cs="Times New Roman" w:eastAsia="Times New Roman" w:hAnsi="Times New Roman"/>
          <w:sz w:val="20"/>
          <w:szCs w:val="20"/>
          <w:u w:val="single" w:color="auto"/>
          <w:color w:val="1C2790"/>
        </w:rPr>
        <mc:AlternateContent>
          <mc:Choice Requires="wps">
            <w:drawing>
              <wp:anchor simplePos="0" relativeHeight="251657728" behindDoc="1" locked="0" layoutInCell="0" allowOverlap="1">
                <wp:simplePos x="0" y="0"/>
                <wp:positionH relativeFrom="column">
                  <wp:posOffset>-197485</wp:posOffset>
                </wp:positionH>
                <wp:positionV relativeFrom="paragraph">
                  <wp:posOffset>-113665</wp:posOffset>
                </wp:positionV>
                <wp:extent cx="513080" cy="12573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3080" cy="125730"/>
                        </a:xfrm>
                        <a:prstGeom prst="rect">
                          <a:avLst/>
                        </a:prstGeom>
                        <a:solidFill>
                          <a:srgbClr val="D2EEF5"/>
                        </a:solidFill>
                      </wps:spPr>
                      <wps:bodyPr/>
                    </wps:wsp>
                  </a:graphicData>
                </a:graphic>
              </wp:anchor>
            </w:drawing>
          </mc:Choice>
          <mc:Fallback>
            <w:pict>
              <v:rect id="Shape 39" o:spid="_x0000_s1064" style="position:absolute;margin-left:-15.5499pt;margin-top:-8.9499pt;width:40.4pt;height:9.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140" w:lineRule="exact"/>
        <w:rPr>
          <w:rFonts w:ascii="Times New Roman" w:cs="Times New Roman" w:eastAsia="Times New Roman" w:hAnsi="Times New Roman"/>
          <w:sz w:val="20"/>
          <w:szCs w:val="20"/>
          <w:u w:val="single" w:color="auto"/>
          <w:color w:val="1C2790"/>
        </w:rPr>
      </w:pPr>
    </w:p>
    <w:p>
      <w:pPr>
        <w:spacing w:after="0"/>
        <w:rPr>
          <w:sz w:val="20"/>
          <w:szCs w:val="20"/>
          <w:color w:val="auto"/>
        </w:rPr>
      </w:pPr>
      <w:r>
        <w:rPr>
          <w:rFonts w:ascii="Times New Roman" w:cs="Times New Roman" w:eastAsia="Times New Roman" w:hAnsi="Times New Roman"/>
          <w:sz w:val="20"/>
          <w:szCs w:val="20"/>
          <w:u w:val="single" w:color="auto"/>
          <w:color w:val="1C2790"/>
        </w:rPr>
        <w:t>92</w:t>
      </w:r>
    </w:p>
    <w:p>
      <w:pPr>
        <w:spacing w:after="0" w:line="160" w:lineRule="exact"/>
        <w:rPr>
          <w:rFonts w:ascii="Times New Roman" w:cs="Times New Roman" w:eastAsia="Times New Roman" w:hAnsi="Times New Roman"/>
          <w:sz w:val="20"/>
          <w:szCs w:val="20"/>
          <w:u w:val="single" w:color="auto"/>
          <w:color w:val="1C2790"/>
        </w:rPr>
      </w:pPr>
    </w:p>
    <w:p>
      <w:pPr>
        <w:spacing w:after="0"/>
        <w:rPr>
          <w:sz w:val="20"/>
          <w:szCs w:val="20"/>
          <w:color w:val="auto"/>
        </w:rPr>
      </w:pPr>
      <w:r>
        <w:rPr>
          <w:rFonts w:ascii="Times New Roman" w:cs="Times New Roman" w:eastAsia="Times New Roman" w:hAnsi="Times New Roman"/>
          <w:sz w:val="20"/>
          <w:szCs w:val="20"/>
          <w:u w:val="single" w:color="auto"/>
          <w:color w:val="1C2790"/>
        </w:rPr>
        <w:t>92</w:t>
      </w:r>
    </w:p>
    <w:p>
      <w:pPr>
        <w:spacing w:after="0" w:line="20" w:lineRule="exact"/>
        <w:rPr>
          <w:rFonts w:ascii="Times New Roman" w:cs="Times New Roman" w:eastAsia="Times New Roman" w:hAnsi="Times New Roman"/>
          <w:sz w:val="20"/>
          <w:szCs w:val="20"/>
          <w:u w:val="single" w:color="auto"/>
          <w:color w:val="1C2790"/>
        </w:rPr>
      </w:pPr>
      <w:r>
        <w:rPr>
          <w:rFonts w:ascii="Times New Roman" w:cs="Times New Roman" w:eastAsia="Times New Roman" w:hAnsi="Times New Roman"/>
          <w:sz w:val="20"/>
          <w:szCs w:val="20"/>
          <w:u w:val="single" w:color="auto"/>
          <w:color w:val="1C2790"/>
        </w:rPr>
        <mc:AlternateContent>
          <mc:Choice Requires="wps">
            <w:drawing>
              <wp:anchor simplePos="0" relativeHeight="251657728" behindDoc="1" locked="0" layoutInCell="0" allowOverlap="1">
                <wp:simplePos x="0" y="0"/>
                <wp:positionH relativeFrom="column">
                  <wp:posOffset>-197485</wp:posOffset>
                </wp:positionH>
                <wp:positionV relativeFrom="paragraph">
                  <wp:posOffset>-113665</wp:posOffset>
                </wp:positionV>
                <wp:extent cx="513080" cy="12573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3080" cy="125730"/>
                        </a:xfrm>
                        <a:prstGeom prst="rect">
                          <a:avLst/>
                        </a:prstGeom>
                        <a:solidFill>
                          <a:srgbClr val="D2EEF5"/>
                        </a:solidFill>
                      </wps:spPr>
                      <wps:bodyPr/>
                    </wps:wsp>
                  </a:graphicData>
                </a:graphic>
              </wp:anchor>
            </w:drawing>
          </mc:Choice>
          <mc:Fallback>
            <w:pict>
              <v:rect id="Shape 40" o:spid="_x0000_s1065" style="position:absolute;margin-left:-15.5499pt;margin-top:-8.9499pt;width:40.4pt;height:9.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66" w:lineRule="exact"/>
        <w:rPr>
          <w:rFonts w:ascii="Times New Roman" w:cs="Times New Roman" w:eastAsia="Times New Roman" w:hAnsi="Times New Roman"/>
          <w:sz w:val="20"/>
          <w:szCs w:val="20"/>
          <w:u w:val="single" w:color="auto"/>
          <w:color w:val="1C2790"/>
        </w:rPr>
      </w:pPr>
    </w:p>
    <w:p>
      <w:pPr>
        <w:spacing w:after="0"/>
        <w:rPr>
          <w:sz w:val="20"/>
          <w:szCs w:val="20"/>
          <w:color w:val="auto"/>
        </w:rPr>
      </w:pPr>
      <w:r>
        <w:rPr>
          <w:rFonts w:ascii="Times New Roman" w:cs="Times New Roman" w:eastAsia="Times New Roman" w:hAnsi="Times New Roman"/>
          <w:sz w:val="20"/>
          <w:szCs w:val="20"/>
          <w:u w:val="single" w:color="auto"/>
          <w:color w:val="1C2790"/>
        </w:rPr>
        <w:t>92</w:t>
      </w:r>
    </w:p>
    <w:p>
      <w:pPr>
        <w:spacing w:after="0" w:line="70" w:lineRule="exact"/>
        <w:rPr>
          <w:rFonts w:ascii="Times New Roman" w:cs="Times New Roman" w:eastAsia="Times New Roman" w:hAnsi="Times New Roman"/>
          <w:sz w:val="20"/>
          <w:szCs w:val="20"/>
          <w:u w:val="single" w:color="auto"/>
          <w:color w:val="1C2790"/>
        </w:rPr>
      </w:pPr>
    </w:p>
    <w:p>
      <w:pPr>
        <w:spacing w:after="0"/>
        <w:rPr>
          <w:sz w:val="20"/>
          <w:szCs w:val="20"/>
          <w:color w:val="auto"/>
        </w:rPr>
      </w:pPr>
      <w:r>
        <w:rPr>
          <w:rFonts w:ascii="Times New Roman" w:cs="Times New Roman" w:eastAsia="Times New Roman" w:hAnsi="Times New Roman"/>
          <w:sz w:val="20"/>
          <w:szCs w:val="20"/>
          <w:u w:val="single" w:color="auto"/>
          <w:color w:val="1C2790"/>
        </w:rPr>
        <w:t>92</w:t>
      </w:r>
    </w:p>
    <w:p>
      <w:pPr>
        <w:spacing w:after="0" w:line="20" w:lineRule="exact"/>
        <w:rPr>
          <w:rFonts w:ascii="Times New Roman" w:cs="Times New Roman" w:eastAsia="Times New Roman" w:hAnsi="Times New Roman"/>
          <w:sz w:val="20"/>
          <w:szCs w:val="20"/>
          <w:u w:val="single" w:color="auto"/>
          <w:color w:val="1C2790"/>
        </w:rPr>
      </w:pPr>
      <w:r>
        <w:rPr>
          <w:rFonts w:ascii="Times New Roman" w:cs="Times New Roman" w:eastAsia="Times New Roman" w:hAnsi="Times New Roman"/>
          <w:sz w:val="20"/>
          <w:szCs w:val="20"/>
          <w:u w:val="single" w:color="auto"/>
          <w:color w:val="1C2790"/>
        </w:rPr>
        <mc:AlternateContent>
          <mc:Choice Requires="wps">
            <w:drawing>
              <wp:anchor simplePos="0" relativeHeight="251657728" behindDoc="1" locked="0" layoutInCell="0" allowOverlap="1">
                <wp:simplePos x="0" y="0"/>
                <wp:positionH relativeFrom="column">
                  <wp:posOffset>-197485</wp:posOffset>
                </wp:positionH>
                <wp:positionV relativeFrom="paragraph">
                  <wp:posOffset>-114300</wp:posOffset>
                </wp:positionV>
                <wp:extent cx="513080" cy="126365"/>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3080" cy="126365"/>
                        </a:xfrm>
                        <a:prstGeom prst="rect">
                          <a:avLst/>
                        </a:prstGeom>
                        <a:solidFill>
                          <a:srgbClr val="D2EEF5"/>
                        </a:solidFill>
                      </wps:spPr>
                      <wps:bodyPr/>
                    </wps:wsp>
                  </a:graphicData>
                </a:graphic>
              </wp:anchor>
            </w:drawing>
          </mc:Choice>
          <mc:Fallback>
            <w:pict>
              <v:rect id="Shape 41" o:spid="_x0000_s1066" style="position:absolute;margin-left:-15.5499pt;margin-top:-9pt;width:40.4pt;height:9.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200" w:lineRule="exact"/>
        <w:rPr>
          <w:rFonts w:ascii="Times New Roman" w:cs="Times New Roman" w:eastAsia="Times New Roman" w:hAnsi="Times New Roman"/>
          <w:sz w:val="20"/>
          <w:szCs w:val="20"/>
          <w:u w:val="single" w:color="auto"/>
          <w:color w:val="1C2790"/>
        </w:rPr>
      </w:pPr>
    </w:p>
    <w:p>
      <w:pPr>
        <w:sectPr>
          <w:pgSz w:w="12240" w:h="15840" w:orient="portrait"/>
          <w:cols w:equalWidth="0" w:num="2">
            <w:col w:w="9340" w:space="360"/>
            <w:col w:w="280"/>
          </w:cols>
          <w:pgMar w:left="1000" w:top="430" w:right="1260" w:bottom="0" w:gutter="0" w:footer="0" w:header="0"/>
          <w:type w:val="continuous"/>
        </w:sectPr>
      </w:pPr>
    </w:p>
    <w:p>
      <w:pPr>
        <w:spacing w:after="0" w:line="180" w:lineRule="exact"/>
        <w:rPr>
          <w:rFonts w:ascii="Times New Roman" w:cs="Times New Roman" w:eastAsia="Times New Roman" w:hAnsi="Times New Roman"/>
          <w:sz w:val="20"/>
          <w:szCs w:val="20"/>
          <w:u w:val="single" w:color="auto"/>
          <w:color w:val="1C2790"/>
        </w:rPr>
      </w:pPr>
    </w:p>
    <w:p>
      <w:pPr>
        <w:jc w:val="center"/>
        <w:ind w:right="-179"/>
        <w:spacing w:after="0"/>
        <w:rPr>
          <w:sz w:val="20"/>
          <w:szCs w:val="20"/>
          <w:color w:val="auto"/>
        </w:rPr>
      </w:pPr>
      <w:r>
        <w:rPr>
          <w:rFonts w:ascii="Times New Roman" w:cs="Times New Roman" w:eastAsia="Times New Roman" w:hAnsi="Times New Roman"/>
          <w:sz w:val="19"/>
          <w:szCs w:val="19"/>
          <w:b w:val="1"/>
          <w:bCs w:val="1"/>
          <w:color w:val="auto"/>
        </w:rPr>
        <w:t>PART III</w:t>
      </w:r>
    </w:p>
    <w:p>
      <w:pPr>
        <w:spacing w:after="0" w:line="20" w:lineRule="exact"/>
        <w:rPr>
          <w:rFonts w:ascii="Times New Roman" w:cs="Times New Roman" w:eastAsia="Times New Roman" w:hAnsi="Times New Roman"/>
          <w:sz w:val="20"/>
          <w:szCs w:val="20"/>
          <w:u w:val="single" w:color="auto"/>
          <w:color w:val="1C2790"/>
        </w:rPr>
      </w:pPr>
      <w:r>
        <w:rPr>
          <w:rFonts w:ascii="Times New Roman" w:cs="Times New Roman" w:eastAsia="Times New Roman" w:hAnsi="Times New Roman"/>
          <w:sz w:val="20"/>
          <w:szCs w:val="20"/>
          <w:u w:val="single" w:color="auto"/>
          <w:color w:val="1C2790"/>
        </w:rPr>
        <mc:AlternateContent>
          <mc:Choice Requires="wps">
            <w:drawing>
              <wp:anchor simplePos="0" relativeHeight="251657728" behindDoc="1" locked="0" layoutInCell="0" allowOverlap="1">
                <wp:simplePos x="0" y="0"/>
                <wp:positionH relativeFrom="column">
                  <wp:posOffset>560070</wp:posOffset>
                </wp:positionH>
                <wp:positionV relativeFrom="paragraph">
                  <wp:posOffset>-103505</wp:posOffset>
                </wp:positionV>
                <wp:extent cx="5333365" cy="12573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33365" cy="125730"/>
                        </a:xfrm>
                        <a:prstGeom prst="rect">
                          <a:avLst/>
                        </a:prstGeom>
                        <a:solidFill>
                          <a:srgbClr val="D2EEF5"/>
                        </a:solidFill>
                      </wps:spPr>
                      <wps:bodyPr/>
                    </wps:wsp>
                  </a:graphicData>
                </a:graphic>
              </wp:anchor>
            </w:drawing>
          </mc:Choice>
          <mc:Fallback>
            <w:pict>
              <v:rect id="Shape 42" o:spid="_x0000_s1067" style="position:absolute;margin-left:44.1pt;margin-top:-8.1499pt;width:419.95pt;height:9.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259080</wp:posOffset>
                </wp:positionV>
                <wp:extent cx="6514465" cy="200025"/>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200025"/>
                        </a:xfrm>
                        <a:prstGeom prst="rect">
                          <a:avLst/>
                        </a:prstGeom>
                        <a:solidFill>
                          <a:srgbClr val="D2EEF5"/>
                        </a:solidFill>
                      </wps:spPr>
                      <wps:bodyPr/>
                    </wps:wsp>
                  </a:graphicData>
                </a:graphic>
              </wp:anchor>
            </w:drawing>
          </mc:Choice>
          <mc:Fallback>
            <w:pict>
              <v:rect id="Shape 43" o:spid="_x0000_s1068" style="position:absolute;margin-left:-0.4499pt;margin-top:20.4pt;width:512.95pt;height:15.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ectPr>
          <w:pgSz w:w="12240" w:h="15840" w:orient="portrait"/>
          <w:cols w:equalWidth="0" w:num="1">
            <w:col w:w="9980"/>
          </w:cols>
          <w:pgMar w:left="1000" w:top="430" w:right="1260" w:bottom="0" w:gutter="0" w:footer="0" w:header="0"/>
          <w:type w:val="continuous"/>
        </w:sectPr>
      </w:pPr>
    </w:p>
    <w:p>
      <w:pPr>
        <w:spacing w:after="0" w:line="200" w:lineRule="exact"/>
        <w:rPr>
          <w:rFonts w:ascii="Times New Roman" w:cs="Times New Roman" w:eastAsia="Times New Roman" w:hAnsi="Times New Roman"/>
          <w:sz w:val="20"/>
          <w:szCs w:val="20"/>
          <w:u w:val="single" w:color="auto"/>
          <w:color w:val="1C2790"/>
        </w:rPr>
      </w:pPr>
    </w:p>
    <w:p>
      <w:pPr>
        <w:spacing w:after="0" w:line="216" w:lineRule="exact"/>
        <w:rPr>
          <w:rFonts w:ascii="Times New Roman" w:cs="Times New Roman" w:eastAsia="Times New Roman" w:hAnsi="Times New Roman"/>
          <w:sz w:val="20"/>
          <w:szCs w:val="20"/>
          <w:u w:val="single" w:color="auto"/>
          <w:color w:val="1C2790"/>
        </w:rPr>
      </w:pPr>
    </w:p>
    <w:p>
      <w:pPr>
        <w:ind w:left="40"/>
        <w:spacing w:after="0"/>
        <w:tabs>
          <w:tab w:leader="none" w:pos="860" w:val="left"/>
        </w:tabs>
        <w:rPr>
          <w:sz w:val="20"/>
          <w:szCs w:val="20"/>
          <w:color w:val="auto"/>
        </w:rPr>
      </w:pPr>
      <w:r>
        <w:rPr>
          <w:rFonts w:ascii="Times New Roman" w:cs="Times New Roman" w:eastAsia="Times New Roman" w:hAnsi="Times New Roman"/>
          <w:sz w:val="20"/>
          <w:szCs w:val="20"/>
          <w:u w:val="single" w:color="auto"/>
          <w:color w:val="1C2790"/>
          <w:shd w:val="clear" w:color="auto" w:fill="D2EEF5"/>
        </w:rPr>
        <w:t>Item 10.</w:t>
      </w:r>
      <w:r>
        <w:rPr>
          <w:sz w:val="20"/>
          <w:szCs w:val="20"/>
          <w:color w:val="auto"/>
        </w:rPr>
        <w:tab/>
      </w:r>
      <w:r>
        <w:rPr>
          <w:rFonts w:ascii="Times New Roman" w:cs="Times New Roman" w:eastAsia="Times New Roman" w:hAnsi="Times New Roman"/>
          <w:sz w:val="19"/>
          <w:szCs w:val="19"/>
          <w:u w:val="single" w:color="auto"/>
          <w:color w:val="1C2790"/>
          <w:shd w:val="clear" w:color="auto" w:fill="D2EEF5"/>
        </w:rPr>
        <w:t>DIRECTORS, EXECUTIVE OFFICERS AND CORPORATE GOVERNANCE</w:t>
      </w:r>
      <w:r>
        <w:rPr>
          <w:rFonts w:ascii="Times New Roman" w:cs="Times New Roman" w:eastAsia="Times New Roman" w:hAnsi="Times New Roman"/>
          <w:sz w:val="19"/>
          <w:szCs w:val="19"/>
          <w:color w:val="000000"/>
          <w:shd w:val="clear" w:color="auto" w:fill="D2EEF5"/>
        </w:rPr>
        <w:t>.......................................</w:t>
      </w:r>
      <w:r>
        <w:rPr>
          <w:rFonts w:ascii="Times New Roman" w:cs="Times New Roman" w:eastAsia="Times New Roman" w:hAnsi="Times New Roman"/>
          <w:sz w:val="19"/>
          <w:szCs w:val="19"/>
          <w:color w:val="000000"/>
        </w:rPr>
        <w:t>.</w:t>
      </w:r>
    </w:p>
    <w:p>
      <w:pPr>
        <w:spacing w:after="0" w:line="86" w:lineRule="exact"/>
        <w:rPr>
          <w:rFonts w:ascii="Times New Roman" w:cs="Times New Roman" w:eastAsia="Times New Roman" w:hAnsi="Times New Roman"/>
          <w:sz w:val="20"/>
          <w:szCs w:val="20"/>
          <w:u w:val="single" w:color="auto"/>
          <w:color w:val="1C2790"/>
        </w:rPr>
      </w:pPr>
    </w:p>
    <w:p>
      <w:pPr>
        <w:ind w:left="40"/>
        <w:spacing w:after="0"/>
        <w:tabs>
          <w:tab w:leader="none" w:pos="860" w:val="left"/>
        </w:tabs>
        <w:rPr>
          <w:sz w:val="20"/>
          <w:szCs w:val="20"/>
          <w:color w:val="auto"/>
        </w:rPr>
      </w:pPr>
      <w:r>
        <w:rPr>
          <w:rFonts w:ascii="Times New Roman" w:cs="Times New Roman" w:eastAsia="Times New Roman" w:hAnsi="Times New Roman"/>
          <w:sz w:val="20"/>
          <w:szCs w:val="20"/>
          <w:u w:val="single" w:color="auto"/>
          <w:color w:val="1C2790"/>
        </w:rPr>
        <w:t>Item 11.</w:t>
      </w:r>
      <w:r>
        <w:rPr>
          <w:sz w:val="20"/>
          <w:szCs w:val="20"/>
          <w:color w:val="auto"/>
        </w:rPr>
        <w:tab/>
      </w:r>
      <w:r>
        <w:rPr>
          <w:rFonts w:ascii="Times New Roman" w:cs="Times New Roman" w:eastAsia="Times New Roman" w:hAnsi="Times New Roman"/>
          <w:sz w:val="20"/>
          <w:szCs w:val="20"/>
          <w:u w:val="single" w:color="auto"/>
          <w:color w:val="1C2790"/>
        </w:rPr>
        <w:t xml:space="preserve">EXECUTIVE COMPENSATION </w:t>
      </w:r>
      <w:r>
        <w:rPr>
          <w:rFonts w:ascii="Times New Roman" w:cs="Times New Roman" w:eastAsia="Times New Roman" w:hAnsi="Times New Roman"/>
          <w:sz w:val="20"/>
          <w:szCs w:val="20"/>
          <w:color w:val="000000"/>
        </w:rPr>
        <w:t>.................................................................................................................</w:t>
      </w:r>
    </w:p>
    <w:p>
      <w:pPr>
        <w:ind w:left="40"/>
        <w:spacing w:after="0"/>
        <w:tabs>
          <w:tab w:leader="none" w:pos="860" w:val="left"/>
        </w:tabs>
        <w:rPr>
          <w:sz w:val="20"/>
          <w:szCs w:val="20"/>
          <w:color w:val="auto"/>
        </w:rPr>
      </w:pPr>
      <w:r>
        <w:rPr>
          <w:rFonts w:ascii="Times New Roman" w:cs="Times New Roman" w:eastAsia="Times New Roman" w:hAnsi="Times New Roman"/>
          <w:sz w:val="33"/>
          <w:szCs w:val="33"/>
          <w:u w:val="single" w:color="auto"/>
          <w:color w:val="1C2790"/>
          <w:vertAlign w:val="subscript"/>
          <w:shd w:val="clear" w:color="auto" w:fill="D2EEF5"/>
        </w:rPr>
        <w:t>Item 12.</w:t>
      </w:r>
      <w:r>
        <w:rPr>
          <w:sz w:val="20"/>
          <w:szCs w:val="20"/>
          <w:color w:val="auto"/>
        </w:rPr>
        <w:tab/>
      </w:r>
      <w:r>
        <w:rPr>
          <w:rFonts w:ascii="Times New Roman" w:cs="Times New Roman" w:eastAsia="Times New Roman" w:hAnsi="Times New Roman"/>
          <w:sz w:val="19"/>
          <w:szCs w:val="19"/>
          <w:u w:val="single" w:color="auto"/>
          <w:color w:val="1C2790"/>
        </w:rPr>
        <w:t>SECURITY OWNERSHIP OF CERTAIN BENEFICIAL OWNERS AND MANAGEMENT AND</w:t>
      </w:r>
    </w:p>
    <w:p>
      <w:pPr>
        <w:spacing w:after="0" w:line="20" w:lineRule="exact"/>
        <w:rPr>
          <w:rFonts w:ascii="Times New Roman" w:cs="Times New Roman" w:eastAsia="Times New Roman" w:hAnsi="Times New Roman"/>
          <w:sz w:val="20"/>
          <w:szCs w:val="20"/>
          <w:u w:val="single" w:color="auto"/>
          <w:color w:val="1C2790"/>
        </w:rPr>
      </w:pPr>
      <w:r>
        <w:rPr>
          <w:rFonts w:ascii="Times New Roman" w:cs="Times New Roman" w:eastAsia="Times New Roman" w:hAnsi="Times New Roman"/>
          <w:sz w:val="20"/>
          <w:szCs w:val="20"/>
          <w:u w:val="single" w:color="auto"/>
          <w:color w:val="1C2790"/>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-132080</wp:posOffset>
                </wp:positionV>
                <wp:extent cx="6514465" cy="29464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294640"/>
                        </a:xfrm>
                        <a:prstGeom prst="rect">
                          <a:avLst/>
                        </a:prstGeom>
                        <a:solidFill>
                          <a:srgbClr val="D2EEF5"/>
                        </a:solidFill>
                      </wps:spPr>
                      <wps:bodyPr/>
                    </wps:wsp>
                  </a:graphicData>
                </a:graphic>
              </wp:anchor>
            </w:drawing>
          </mc:Choice>
          <mc:Fallback>
            <w:pict>
              <v:rect id="Shape 44" o:spid="_x0000_s1069" style="position:absolute;margin-left:-0.4499pt;margin-top:-10.3999pt;width:512.95pt;height:23.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560070</wp:posOffset>
                </wp:positionH>
                <wp:positionV relativeFrom="paragraph">
                  <wp:posOffset>-111760</wp:posOffset>
                </wp:positionV>
                <wp:extent cx="5333365" cy="253365"/>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33365" cy="253365"/>
                        </a:xfrm>
                        <a:prstGeom prst="rect">
                          <a:avLst/>
                        </a:prstGeom>
                        <a:solidFill>
                          <a:srgbClr val="D2EEF5"/>
                        </a:solidFill>
                      </wps:spPr>
                      <wps:bodyPr/>
                    </wps:wsp>
                  </a:graphicData>
                </a:graphic>
              </wp:anchor>
            </w:drawing>
          </mc:Choice>
          <mc:Fallback>
            <w:pict>
              <v:rect id="Shape 45" o:spid="_x0000_s1070" style="position:absolute;margin-left:44.1pt;margin-top:-8.7999pt;width:419.95pt;height:19.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ind w:left="880"/>
        <w:spacing w:after="0"/>
        <w:rPr>
          <w:sz w:val="20"/>
          <w:szCs w:val="20"/>
          <w:color w:val="auto"/>
        </w:rPr>
      </w:pPr>
      <w:r>
        <w:rPr>
          <w:rFonts w:ascii="Times New Roman" w:cs="Times New Roman" w:eastAsia="Times New Roman" w:hAnsi="Times New Roman"/>
          <w:sz w:val="19"/>
          <w:szCs w:val="19"/>
          <w:u w:val="single" w:color="auto"/>
          <w:color w:val="1C2790"/>
        </w:rPr>
        <w:t>RELATED STOCKHOLDER MATTERS</w:t>
      </w:r>
      <w:r>
        <w:rPr>
          <w:rFonts w:ascii="Times New Roman" w:cs="Times New Roman" w:eastAsia="Times New Roman" w:hAnsi="Times New Roman"/>
          <w:sz w:val="19"/>
          <w:szCs w:val="19"/>
          <w:color w:val="1C2790"/>
        </w:rPr>
        <w:t xml:space="preserve"> </w:t>
      </w:r>
      <w:r>
        <w:rPr>
          <w:rFonts w:ascii="Times New Roman" w:cs="Times New Roman" w:eastAsia="Times New Roman" w:hAnsi="Times New Roman"/>
          <w:sz w:val="19"/>
          <w:szCs w:val="19"/>
          <w:color w:val="000000"/>
        </w:rPr>
        <w:t>....................................................................................................</w:t>
      </w:r>
    </w:p>
    <w:p>
      <w:pPr>
        <w:ind w:left="40"/>
        <w:spacing w:after="0"/>
        <w:tabs>
          <w:tab w:leader="none" w:pos="860" w:val="left"/>
        </w:tabs>
        <w:rPr>
          <w:sz w:val="20"/>
          <w:szCs w:val="20"/>
          <w:color w:val="auto"/>
        </w:rPr>
      </w:pPr>
      <w:r>
        <w:rPr>
          <w:rFonts w:ascii="Times New Roman" w:cs="Times New Roman" w:eastAsia="Times New Roman" w:hAnsi="Times New Roman"/>
          <w:sz w:val="28"/>
          <w:szCs w:val="28"/>
          <w:u w:val="single" w:color="auto"/>
          <w:color w:val="1C2790"/>
          <w:vertAlign w:val="subscript"/>
        </w:rPr>
        <w:t>Item 13.</w:t>
      </w:r>
      <w:r>
        <w:rPr>
          <w:sz w:val="20"/>
          <w:szCs w:val="20"/>
          <w:color w:val="auto"/>
        </w:rPr>
        <w:tab/>
      </w:r>
      <w:r>
        <w:rPr>
          <w:rFonts w:ascii="Times New Roman" w:cs="Times New Roman" w:eastAsia="Times New Roman" w:hAnsi="Times New Roman"/>
          <w:sz w:val="19"/>
          <w:szCs w:val="19"/>
          <w:u w:val="single" w:color="auto"/>
          <w:color w:val="1C2790"/>
        </w:rPr>
        <w:t>CERTAIN RELATIONSHIPS AND RELATED TRANSACTIONS, AND DIRECTOR</w:t>
      </w:r>
    </w:p>
    <w:p>
      <w:pPr>
        <w:ind w:left="880"/>
        <w:spacing w:after="0"/>
        <w:rPr>
          <w:sz w:val="20"/>
          <w:szCs w:val="20"/>
          <w:color w:val="auto"/>
        </w:rPr>
      </w:pPr>
      <w:r>
        <w:rPr>
          <w:rFonts w:ascii="Times New Roman" w:cs="Times New Roman" w:eastAsia="Times New Roman" w:hAnsi="Times New Roman"/>
          <w:sz w:val="20"/>
          <w:szCs w:val="20"/>
          <w:u w:val="single" w:color="auto"/>
          <w:color w:val="1C2790"/>
        </w:rPr>
        <w:t>INDEPENDENCE</w:t>
      </w:r>
      <w:r>
        <w:rPr>
          <w:rFonts w:ascii="Times New Roman" w:cs="Times New Roman" w:eastAsia="Times New Roman" w:hAnsi="Times New Roman"/>
          <w:sz w:val="20"/>
          <w:szCs w:val="20"/>
          <w:color w:val="1C2790"/>
        </w:rPr>
        <w:t xml:space="preserve"> </w:t>
      </w:r>
      <w:r>
        <w:rPr>
          <w:rFonts w:ascii="Times New Roman" w:cs="Times New Roman" w:eastAsia="Times New Roman" w:hAnsi="Times New Roman"/>
          <w:sz w:val="20"/>
          <w:szCs w:val="20"/>
          <w:color w:val="000000"/>
        </w:rPr>
        <w:t>.........................................................................................................................................</w:t>
      </w:r>
    </w:p>
    <w:p>
      <w:pPr>
        <w:spacing w:after="0" w:line="20" w:lineRule="exact"/>
        <w:rPr>
          <w:rFonts w:ascii="Times New Roman" w:cs="Times New Roman" w:eastAsia="Times New Roman" w:hAnsi="Times New Roman"/>
          <w:sz w:val="20"/>
          <w:szCs w:val="20"/>
          <w:u w:val="single" w:color="auto"/>
          <w:color w:val="1C2790"/>
        </w:rPr>
      </w:pPr>
      <w:r>
        <w:rPr>
          <w:rFonts w:ascii="Times New Roman" w:cs="Times New Roman" w:eastAsia="Times New Roman" w:hAnsi="Times New Roman"/>
          <w:sz w:val="20"/>
          <w:szCs w:val="20"/>
          <w:u w:val="single" w:color="auto"/>
          <w:color w:val="1C2790"/>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15240</wp:posOffset>
                </wp:positionV>
                <wp:extent cx="6514465" cy="200025"/>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200025"/>
                        </a:xfrm>
                        <a:prstGeom prst="rect">
                          <a:avLst/>
                        </a:prstGeom>
                        <a:solidFill>
                          <a:srgbClr val="D2EEF5"/>
                        </a:solidFill>
                      </wps:spPr>
                      <wps:bodyPr/>
                    </wps:wsp>
                  </a:graphicData>
                </a:graphic>
              </wp:anchor>
            </w:drawing>
          </mc:Choice>
          <mc:Fallback>
            <w:pict>
              <v:rect id="Shape 46" o:spid="_x0000_s1071" style="position:absolute;margin-left:-0.4499pt;margin-top:1.2pt;width:512.95pt;height:15.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11" w:lineRule="exact"/>
        <w:rPr>
          <w:rFonts w:ascii="Times New Roman" w:cs="Times New Roman" w:eastAsia="Times New Roman" w:hAnsi="Times New Roman"/>
          <w:sz w:val="20"/>
          <w:szCs w:val="20"/>
          <w:u w:val="single" w:color="auto"/>
          <w:color w:val="1C2790"/>
        </w:rPr>
      </w:pPr>
    </w:p>
    <w:p>
      <w:pPr>
        <w:ind w:left="40"/>
        <w:spacing w:after="0"/>
        <w:tabs>
          <w:tab w:leader="none" w:pos="860" w:val="left"/>
        </w:tabs>
        <w:rPr>
          <w:sz w:val="20"/>
          <w:szCs w:val="20"/>
          <w:color w:val="auto"/>
        </w:rPr>
      </w:pPr>
      <w:r>
        <w:rPr>
          <w:rFonts w:ascii="Times New Roman" w:cs="Times New Roman" w:eastAsia="Times New Roman" w:hAnsi="Times New Roman"/>
          <w:sz w:val="20"/>
          <w:szCs w:val="20"/>
          <w:u w:val="single" w:color="auto"/>
          <w:color w:val="1C2790"/>
          <w:shd w:val="clear" w:color="auto" w:fill="D2EEF5"/>
        </w:rPr>
        <w:t>Item 14.</w:t>
      </w:r>
      <w:r>
        <w:rPr>
          <w:sz w:val="20"/>
          <w:szCs w:val="20"/>
          <w:color w:val="auto"/>
        </w:rPr>
        <w:tab/>
      </w:r>
      <w:r>
        <w:rPr>
          <w:rFonts w:ascii="Times New Roman" w:cs="Times New Roman" w:eastAsia="Times New Roman" w:hAnsi="Times New Roman"/>
          <w:sz w:val="19"/>
          <w:szCs w:val="19"/>
          <w:u w:val="single" w:color="auto"/>
          <w:color w:val="1C2790"/>
          <w:shd w:val="clear" w:color="auto" w:fill="D2EEF5"/>
        </w:rPr>
        <w:t xml:space="preserve">PRINCIPAL ACCOUNTING FEES AND SERVICES </w:t>
      </w:r>
      <w:r>
        <w:rPr>
          <w:rFonts w:ascii="Times New Roman" w:cs="Times New Roman" w:eastAsia="Times New Roman" w:hAnsi="Times New Roman"/>
          <w:sz w:val="19"/>
          <w:szCs w:val="19"/>
          <w:color w:val="000000"/>
          <w:shd w:val="clear" w:color="auto" w:fill="D2EEF5"/>
        </w:rPr>
        <w:t>................................................................................</w:t>
      </w:r>
      <w:r>
        <w:rPr>
          <w:rFonts w:ascii="Times New Roman" w:cs="Times New Roman" w:eastAsia="Times New Roman" w:hAnsi="Times New Roman"/>
          <w:sz w:val="19"/>
          <w:szCs w:val="19"/>
          <w:color w:val="000000"/>
        </w:rPr>
        <w:t>.</w:t>
      </w:r>
    </w:p>
    <w:p>
      <w:pPr>
        <w:spacing w:after="0" w:line="20" w:lineRule="exact"/>
        <w:rPr>
          <w:rFonts w:ascii="Times New Roman" w:cs="Times New Roman" w:eastAsia="Times New Roman" w:hAnsi="Times New Roman"/>
          <w:sz w:val="20"/>
          <w:szCs w:val="20"/>
          <w:u w:val="single" w:color="auto"/>
          <w:color w:val="1C2790"/>
        </w:rPr>
      </w:pPr>
      <w:r>
        <w:rPr>
          <w:rFonts w:ascii="Times New Roman" w:cs="Times New Roman" w:eastAsia="Times New Roman" w:hAnsi="Times New Roman"/>
          <w:sz w:val="20"/>
          <w:szCs w:val="20"/>
          <w:u w:val="single" w:color="auto"/>
          <w:color w:val="1C2790"/>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249555</wp:posOffset>
                </wp:positionV>
                <wp:extent cx="6514465" cy="19939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99390"/>
                        </a:xfrm>
                        <a:prstGeom prst="rect">
                          <a:avLst/>
                        </a:prstGeom>
                        <a:solidFill>
                          <a:srgbClr val="D2EEF5"/>
                        </a:solidFill>
                      </wps:spPr>
                      <wps:bodyPr/>
                    </wps:wsp>
                  </a:graphicData>
                </a:graphic>
              </wp:anchor>
            </w:drawing>
          </mc:Choice>
          <mc:Fallback>
            <w:pict>
              <v:rect id="Shape 47" o:spid="_x0000_s1072" style="position:absolute;margin-left:-0.4499pt;margin-top:19.65pt;width:512.95pt;height:15.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376" w:lineRule="exact"/>
        <w:rPr>
          <w:rFonts w:ascii="Times New Roman" w:cs="Times New Roman" w:eastAsia="Times New Roman" w:hAnsi="Times New Roman"/>
          <w:sz w:val="20"/>
          <w:szCs w:val="20"/>
          <w:u w:val="single" w:color="auto"/>
          <w:color w:val="1C2790"/>
        </w:rPr>
      </w:pPr>
    </w:p>
    <w:p>
      <w:pPr>
        <w:ind w:left="4680"/>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0" w:lineRule="exact"/>
        <w:rPr>
          <w:rFonts w:ascii="Times New Roman" w:cs="Times New Roman" w:eastAsia="Times New Roman" w:hAnsi="Times New Roman"/>
          <w:sz w:val="20"/>
          <w:szCs w:val="20"/>
          <w:u w:val="single" w:color="auto"/>
          <w:color w:val="1C2790"/>
        </w:rPr>
      </w:pPr>
      <w:r>
        <w:rPr>
          <w:rFonts w:ascii="Times New Roman" w:cs="Times New Roman" w:eastAsia="Times New Roman" w:hAnsi="Times New Roman"/>
          <w:sz w:val="20"/>
          <w:szCs w:val="20"/>
          <w:u w:val="single" w:color="auto"/>
          <w:color w:val="1C2790"/>
        </w:rPr>
        <mc:AlternateContent>
          <mc:Choice Requires="wps">
            <w:drawing>
              <wp:anchor simplePos="0" relativeHeight="251657728" behindDoc="1" locked="0" layoutInCell="0" allowOverlap="1">
                <wp:simplePos x="0" y="0"/>
                <wp:positionH relativeFrom="column">
                  <wp:posOffset>560070</wp:posOffset>
                </wp:positionH>
                <wp:positionV relativeFrom="paragraph">
                  <wp:posOffset>-111125</wp:posOffset>
                </wp:positionV>
                <wp:extent cx="5333365" cy="12573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33365" cy="125730"/>
                        </a:xfrm>
                        <a:prstGeom prst="rect">
                          <a:avLst/>
                        </a:prstGeom>
                        <a:solidFill>
                          <a:srgbClr val="D2EEF5"/>
                        </a:solidFill>
                      </wps:spPr>
                      <wps:bodyPr/>
                    </wps:wsp>
                  </a:graphicData>
                </a:graphic>
              </wp:anchor>
            </w:drawing>
          </mc:Choice>
          <mc:Fallback>
            <w:pict>
              <v:rect id="Shape 48" o:spid="_x0000_s1073" style="position:absolute;margin-left:44.1pt;margin-top:-8.7499pt;width:419.95pt;height:9.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252095</wp:posOffset>
                </wp:positionV>
                <wp:extent cx="6514465" cy="19939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99390"/>
                        </a:xfrm>
                        <a:prstGeom prst="rect">
                          <a:avLst/>
                        </a:prstGeom>
                        <a:solidFill>
                          <a:srgbClr val="D2EEF5"/>
                        </a:solidFill>
                      </wps:spPr>
                      <wps:bodyPr/>
                    </wps:wsp>
                  </a:graphicData>
                </a:graphic>
              </wp:anchor>
            </w:drawing>
          </mc:Choice>
          <mc:Fallback>
            <w:pict>
              <v:rect id="Shape 49" o:spid="_x0000_s1074" style="position:absolute;margin-left:-0.4499pt;margin-top:19.85pt;width:512.95pt;height:15.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20" w:lineRule="exact"/>
        <w:rPr>
          <w:rFonts w:ascii="Times New Roman" w:cs="Times New Roman" w:eastAsia="Times New Roman" w:hAnsi="Times New Roman"/>
          <w:sz w:val="20"/>
          <w:szCs w:val="20"/>
          <w:u w:val="single" w:color="auto"/>
          <w:color w:val="1C2790"/>
        </w:rPr>
      </w:pPr>
      <w:r>
        <w:rPr>
          <w:rFonts w:ascii="Times New Roman" w:cs="Times New Roman" w:eastAsia="Times New Roman" w:hAnsi="Times New Roman"/>
          <w:sz w:val="20"/>
          <w:szCs w:val="20"/>
          <w:u w:val="single" w:color="auto"/>
          <w:color w:val="1C2790"/>
        </w:rPr>
        <w:br w:type="column"/>
      </w:r>
    </w:p>
    <w:p>
      <w:pPr>
        <w:spacing w:after="0" w:line="396" w:lineRule="exact"/>
        <w:rPr>
          <w:rFonts w:ascii="Times New Roman" w:cs="Times New Roman" w:eastAsia="Times New Roman" w:hAnsi="Times New Roman"/>
          <w:sz w:val="20"/>
          <w:szCs w:val="20"/>
          <w:u w:val="single" w:color="auto"/>
          <w:color w:val="1C2790"/>
        </w:rPr>
      </w:pPr>
    </w:p>
    <w:p>
      <w:pPr>
        <w:spacing w:after="0"/>
        <w:rPr>
          <w:sz w:val="20"/>
          <w:szCs w:val="20"/>
          <w:color w:val="auto"/>
        </w:rPr>
      </w:pPr>
      <w:r>
        <w:rPr>
          <w:rFonts w:ascii="Times New Roman" w:cs="Times New Roman" w:eastAsia="Times New Roman" w:hAnsi="Times New Roman"/>
          <w:sz w:val="20"/>
          <w:szCs w:val="20"/>
          <w:u w:val="single" w:color="auto"/>
          <w:color w:val="1C2790"/>
        </w:rPr>
        <w:t>93</w:t>
      </w:r>
    </w:p>
    <w:p>
      <w:pPr>
        <w:spacing w:after="0" w:line="20" w:lineRule="exact"/>
        <w:rPr>
          <w:rFonts w:ascii="Times New Roman" w:cs="Times New Roman" w:eastAsia="Times New Roman" w:hAnsi="Times New Roman"/>
          <w:sz w:val="20"/>
          <w:szCs w:val="20"/>
          <w:u w:val="single" w:color="auto"/>
          <w:color w:val="1C2790"/>
        </w:rPr>
      </w:pPr>
      <w:r>
        <w:rPr>
          <w:rFonts w:ascii="Times New Roman" w:cs="Times New Roman" w:eastAsia="Times New Roman" w:hAnsi="Times New Roman"/>
          <w:sz w:val="20"/>
          <w:szCs w:val="20"/>
          <w:u w:val="single" w:color="auto"/>
          <w:color w:val="1C2790"/>
        </w:rPr>
        <mc:AlternateContent>
          <mc:Choice Requires="wps">
            <w:drawing>
              <wp:anchor simplePos="0" relativeHeight="251657728" behindDoc="1" locked="0" layoutInCell="0" allowOverlap="1">
                <wp:simplePos x="0" y="0"/>
                <wp:positionH relativeFrom="column">
                  <wp:posOffset>-197485</wp:posOffset>
                </wp:positionH>
                <wp:positionV relativeFrom="paragraph">
                  <wp:posOffset>-113665</wp:posOffset>
                </wp:positionV>
                <wp:extent cx="513080" cy="12573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3080" cy="125730"/>
                        </a:xfrm>
                        <a:prstGeom prst="rect">
                          <a:avLst/>
                        </a:prstGeom>
                        <a:solidFill>
                          <a:srgbClr val="D2EEF5"/>
                        </a:solidFill>
                      </wps:spPr>
                      <wps:bodyPr/>
                    </wps:wsp>
                  </a:graphicData>
                </a:graphic>
              </wp:anchor>
            </w:drawing>
          </mc:Choice>
          <mc:Fallback>
            <w:pict>
              <v:rect id="Shape 50" o:spid="_x0000_s1075" style="position:absolute;margin-left:-15.5499pt;margin-top:-8.9499pt;width:40.4pt;height:9.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66" w:lineRule="exact"/>
        <w:rPr>
          <w:rFonts w:ascii="Times New Roman" w:cs="Times New Roman" w:eastAsia="Times New Roman" w:hAnsi="Times New Roman"/>
          <w:sz w:val="20"/>
          <w:szCs w:val="20"/>
          <w:u w:val="single" w:color="auto"/>
          <w:color w:val="1C2790"/>
        </w:rPr>
      </w:pPr>
    </w:p>
    <w:p>
      <w:pPr>
        <w:spacing w:after="0"/>
        <w:rPr>
          <w:sz w:val="20"/>
          <w:szCs w:val="20"/>
          <w:color w:val="auto"/>
        </w:rPr>
      </w:pPr>
      <w:r>
        <w:rPr>
          <w:rFonts w:ascii="Times New Roman" w:cs="Times New Roman" w:eastAsia="Times New Roman" w:hAnsi="Times New Roman"/>
          <w:sz w:val="20"/>
          <w:szCs w:val="20"/>
          <w:u w:val="single" w:color="auto"/>
          <w:color w:val="1C2790"/>
        </w:rPr>
        <w:t>95</w:t>
      </w:r>
    </w:p>
    <w:p>
      <w:pPr>
        <w:spacing w:after="0" w:line="160" w:lineRule="exact"/>
        <w:rPr>
          <w:rFonts w:ascii="Times New Roman" w:cs="Times New Roman" w:eastAsia="Times New Roman" w:hAnsi="Times New Roman"/>
          <w:sz w:val="20"/>
          <w:szCs w:val="20"/>
          <w:u w:val="single" w:color="auto"/>
          <w:color w:val="1C2790"/>
        </w:rPr>
      </w:pPr>
    </w:p>
    <w:p>
      <w:pPr>
        <w:spacing w:after="0"/>
        <w:rPr>
          <w:sz w:val="20"/>
          <w:szCs w:val="20"/>
          <w:color w:val="auto"/>
        </w:rPr>
      </w:pPr>
      <w:r>
        <w:rPr>
          <w:rFonts w:ascii="Times New Roman" w:cs="Times New Roman" w:eastAsia="Times New Roman" w:hAnsi="Times New Roman"/>
          <w:sz w:val="20"/>
          <w:szCs w:val="20"/>
          <w:u w:val="single" w:color="auto"/>
          <w:color w:val="1C2790"/>
        </w:rPr>
        <w:t>95</w:t>
      </w:r>
    </w:p>
    <w:p>
      <w:pPr>
        <w:spacing w:after="0" w:line="20" w:lineRule="exact"/>
        <w:rPr>
          <w:rFonts w:ascii="Times New Roman" w:cs="Times New Roman" w:eastAsia="Times New Roman" w:hAnsi="Times New Roman"/>
          <w:sz w:val="20"/>
          <w:szCs w:val="20"/>
          <w:u w:val="single" w:color="auto"/>
          <w:color w:val="1C2790"/>
        </w:rPr>
      </w:pPr>
      <w:r>
        <w:rPr>
          <w:rFonts w:ascii="Times New Roman" w:cs="Times New Roman" w:eastAsia="Times New Roman" w:hAnsi="Times New Roman"/>
          <w:sz w:val="20"/>
          <w:szCs w:val="20"/>
          <w:u w:val="single" w:color="auto"/>
          <w:color w:val="1C2790"/>
        </w:rPr>
        <mc:AlternateContent>
          <mc:Choice Requires="wps">
            <w:drawing>
              <wp:anchor simplePos="0" relativeHeight="251657728" behindDoc="1" locked="0" layoutInCell="0" allowOverlap="1">
                <wp:simplePos x="0" y="0"/>
                <wp:positionH relativeFrom="column">
                  <wp:posOffset>-197485</wp:posOffset>
                </wp:positionH>
                <wp:positionV relativeFrom="paragraph">
                  <wp:posOffset>-114300</wp:posOffset>
                </wp:positionV>
                <wp:extent cx="513080" cy="126365"/>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3080" cy="126365"/>
                        </a:xfrm>
                        <a:prstGeom prst="rect">
                          <a:avLst/>
                        </a:prstGeom>
                        <a:solidFill>
                          <a:srgbClr val="D2EEF5"/>
                        </a:solidFill>
                      </wps:spPr>
                      <wps:bodyPr/>
                    </wps:wsp>
                  </a:graphicData>
                </a:graphic>
              </wp:anchor>
            </w:drawing>
          </mc:Choice>
          <mc:Fallback>
            <w:pict>
              <v:rect id="Shape 51" o:spid="_x0000_s1076" style="position:absolute;margin-left:-15.5499pt;margin-top:-9pt;width:40.4pt;height:9.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214" w:lineRule="exact"/>
        <w:rPr>
          <w:rFonts w:ascii="Times New Roman" w:cs="Times New Roman" w:eastAsia="Times New Roman" w:hAnsi="Times New Roman"/>
          <w:sz w:val="20"/>
          <w:szCs w:val="20"/>
          <w:u w:val="single" w:color="auto"/>
          <w:color w:val="1C2790"/>
        </w:rPr>
      </w:pPr>
    </w:p>
    <w:p>
      <w:pPr>
        <w:spacing w:after="0"/>
        <w:rPr>
          <w:sz w:val="20"/>
          <w:szCs w:val="20"/>
          <w:color w:val="auto"/>
        </w:rPr>
      </w:pPr>
      <w:r>
        <w:rPr>
          <w:rFonts w:ascii="Times New Roman" w:cs="Times New Roman" w:eastAsia="Times New Roman" w:hAnsi="Times New Roman"/>
          <w:sz w:val="20"/>
          <w:szCs w:val="20"/>
          <w:u w:val="single" w:color="auto"/>
          <w:color w:val="1C2790"/>
        </w:rPr>
        <w:t>95</w:t>
      </w:r>
    </w:p>
    <w:p>
      <w:pPr>
        <w:spacing w:after="0" w:line="160" w:lineRule="exact"/>
        <w:rPr>
          <w:rFonts w:ascii="Times New Roman" w:cs="Times New Roman" w:eastAsia="Times New Roman" w:hAnsi="Times New Roman"/>
          <w:sz w:val="20"/>
          <w:szCs w:val="20"/>
          <w:u w:val="single" w:color="auto"/>
          <w:color w:val="1C2790"/>
        </w:rPr>
      </w:pPr>
    </w:p>
    <w:p>
      <w:pPr>
        <w:spacing w:after="0"/>
        <w:rPr>
          <w:sz w:val="20"/>
          <w:szCs w:val="20"/>
          <w:color w:val="auto"/>
        </w:rPr>
      </w:pPr>
      <w:r>
        <w:rPr>
          <w:rFonts w:ascii="Times New Roman" w:cs="Times New Roman" w:eastAsia="Times New Roman" w:hAnsi="Times New Roman"/>
          <w:sz w:val="20"/>
          <w:szCs w:val="20"/>
          <w:u w:val="single" w:color="auto"/>
          <w:color w:val="1C2790"/>
        </w:rPr>
        <w:t>95</w:t>
      </w:r>
    </w:p>
    <w:p>
      <w:pPr>
        <w:spacing w:after="0" w:line="20" w:lineRule="exact"/>
        <w:rPr>
          <w:rFonts w:ascii="Times New Roman" w:cs="Times New Roman" w:eastAsia="Times New Roman" w:hAnsi="Times New Roman"/>
          <w:sz w:val="20"/>
          <w:szCs w:val="20"/>
          <w:u w:val="single" w:color="auto"/>
          <w:color w:val="1C2790"/>
        </w:rPr>
      </w:pPr>
      <w:r>
        <w:rPr>
          <w:rFonts w:ascii="Times New Roman" w:cs="Times New Roman" w:eastAsia="Times New Roman" w:hAnsi="Times New Roman"/>
          <w:sz w:val="20"/>
          <w:szCs w:val="20"/>
          <w:u w:val="single" w:color="auto"/>
          <w:color w:val="1C2790"/>
        </w:rPr>
        <mc:AlternateContent>
          <mc:Choice Requires="wps">
            <w:drawing>
              <wp:anchor simplePos="0" relativeHeight="251657728" behindDoc="1" locked="0" layoutInCell="0" allowOverlap="1">
                <wp:simplePos x="0" y="0"/>
                <wp:positionH relativeFrom="column">
                  <wp:posOffset>-197485</wp:posOffset>
                </wp:positionH>
                <wp:positionV relativeFrom="paragraph">
                  <wp:posOffset>-113665</wp:posOffset>
                </wp:positionV>
                <wp:extent cx="513080" cy="12573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3080" cy="125730"/>
                        </a:xfrm>
                        <a:prstGeom prst="rect">
                          <a:avLst/>
                        </a:prstGeom>
                        <a:solidFill>
                          <a:srgbClr val="D2EEF5"/>
                        </a:solidFill>
                      </wps:spPr>
                      <wps:bodyPr/>
                    </wps:wsp>
                  </a:graphicData>
                </a:graphic>
              </wp:anchor>
            </w:drawing>
          </mc:Choice>
          <mc:Fallback>
            <w:pict>
              <v:rect id="Shape 52" o:spid="_x0000_s1077" style="position:absolute;margin-left:-15.5499pt;margin-top:-8.9499pt;width:40.4pt;height:9.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825" w:lineRule="exact"/>
        <w:rPr>
          <w:rFonts w:ascii="Times New Roman" w:cs="Times New Roman" w:eastAsia="Times New Roman" w:hAnsi="Times New Roman"/>
          <w:sz w:val="20"/>
          <w:szCs w:val="20"/>
          <w:u w:val="single" w:color="auto"/>
          <w:color w:val="1C2790"/>
        </w:rPr>
      </w:pPr>
    </w:p>
    <w:p>
      <w:pPr>
        <w:sectPr>
          <w:pgSz w:w="12240" w:h="15840" w:orient="portrait"/>
          <w:cols w:equalWidth="0" w:num="2">
            <w:col w:w="9340" w:space="360"/>
            <w:col w:w="280"/>
          </w:cols>
          <w:pgMar w:left="1000" w:top="430" w:right="1260" w:bottom="0" w:gutter="0" w:footer="0" w:header="0"/>
          <w:type w:val="continuous"/>
        </w:sectPr>
      </w:pPr>
    </w:p>
    <w:p>
      <w:pPr>
        <w:spacing w:after="0" w:line="204" w:lineRule="exact"/>
        <w:rPr>
          <w:rFonts w:ascii="Times New Roman" w:cs="Times New Roman" w:eastAsia="Times New Roman" w:hAnsi="Times New Roman"/>
          <w:sz w:val="20"/>
          <w:szCs w:val="20"/>
          <w:u w:val="single" w:color="auto"/>
          <w:color w:val="1C2790"/>
        </w:rPr>
      </w:pPr>
    </w:p>
    <w:p>
      <w:pPr>
        <w:ind w:left="40"/>
        <w:spacing w:after="0"/>
        <w:tabs>
          <w:tab w:leader="none" w:pos="860" w:val="left"/>
          <w:tab w:leader="dot" w:pos="9260" w:val="left"/>
          <w:tab w:leader="dot" w:pos="9680" w:val="left"/>
        </w:tabs>
        <w:rPr>
          <w:sz w:val="20"/>
          <w:szCs w:val="20"/>
          <w:color w:val="auto"/>
        </w:rPr>
      </w:pPr>
      <w:r>
        <w:rPr>
          <w:rFonts w:ascii="Times New Roman" w:cs="Times New Roman" w:eastAsia="Times New Roman" w:hAnsi="Times New Roman"/>
          <w:sz w:val="20"/>
          <w:szCs w:val="20"/>
          <w:u w:val="single" w:color="auto"/>
          <w:color w:val="1C2790"/>
          <w:shd w:val="clear" w:color="auto" w:fill="D2EEF5"/>
        </w:rPr>
        <w:t>Item 15.</w:t>
      </w:r>
      <w:r>
        <w:rPr>
          <w:sz w:val="20"/>
          <w:szCs w:val="20"/>
          <w:color w:val="auto"/>
        </w:rPr>
        <w:tab/>
      </w:r>
      <w:r>
        <w:rPr>
          <w:rFonts w:ascii="Times New Roman" w:cs="Times New Roman" w:eastAsia="Times New Roman" w:hAnsi="Times New Roman"/>
          <w:sz w:val="20"/>
          <w:szCs w:val="20"/>
          <w:u w:val="single" w:color="auto"/>
          <w:color w:val="1C2790"/>
          <w:shd w:val="clear" w:color="auto" w:fill="D2EEF5"/>
        </w:rPr>
        <w:t>EXHIBITS, FINANCIAL STATEMENT SCHEDULES</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u w:val="single" w:color="auto"/>
          <w:color w:val="1C2790"/>
        </w:rPr>
        <w:t>96</w:t>
      </w:r>
    </w:p>
    <w:p>
      <w:pPr>
        <w:spacing w:after="0" w:line="20" w:lineRule="exact"/>
        <w:rPr>
          <w:rFonts w:ascii="Times New Roman" w:cs="Times New Roman" w:eastAsia="Times New Roman" w:hAnsi="Times New Roman"/>
          <w:sz w:val="20"/>
          <w:szCs w:val="20"/>
          <w:u w:val="single" w:color="auto"/>
          <w:color w:val="1C2790"/>
        </w:rPr>
      </w:pPr>
      <w:r>
        <w:rPr>
          <w:rFonts w:ascii="Times New Roman" w:cs="Times New Roman" w:eastAsia="Times New Roman" w:hAnsi="Times New Roman"/>
          <w:sz w:val="20"/>
          <w:szCs w:val="20"/>
          <w:u w:val="single" w:color="auto"/>
          <w:color w:val="1C2790"/>
        </w:rPr>
        <mc:AlternateContent>
          <mc:Choice Requires="wps">
            <w:drawing>
              <wp:anchor simplePos="0" relativeHeight="251657728" behindDoc="1" locked="0" layoutInCell="0" allowOverlap="1">
                <wp:simplePos x="0" y="0"/>
                <wp:positionH relativeFrom="column">
                  <wp:posOffset>5961380</wp:posOffset>
                </wp:positionH>
                <wp:positionV relativeFrom="paragraph">
                  <wp:posOffset>-113665</wp:posOffset>
                </wp:positionV>
                <wp:extent cx="513715" cy="12573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3715" cy="125730"/>
                        </a:xfrm>
                        <a:prstGeom prst="rect">
                          <a:avLst/>
                        </a:prstGeom>
                        <a:solidFill>
                          <a:srgbClr val="D2EEF5"/>
                        </a:solidFill>
                      </wps:spPr>
                      <wps:bodyPr/>
                    </wps:wsp>
                  </a:graphicData>
                </a:graphic>
              </wp:anchor>
            </w:drawing>
          </mc:Choice>
          <mc:Fallback>
            <w:pict>
              <v:rect id="Shape 53" o:spid="_x0000_s1078" style="position:absolute;margin-left:469.4pt;margin-top:-8.9499pt;width:40.45pt;height:9.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66" w:lineRule="exact"/>
        <w:rPr>
          <w:rFonts w:ascii="Times New Roman" w:cs="Times New Roman" w:eastAsia="Times New Roman" w:hAnsi="Times New Roman"/>
          <w:sz w:val="20"/>
          <w:szCs w:val="20"/>
          <w:u w:val="single" w:color="auto"/>
          <w:color w:val="1C2790"/>
        </w:rPr>
      </w:pPr>
    </w:p>
    <w:p>
      <w:pPr>
        <w:ind w:left="40"/>
        <w:spacing w:after="0"/>
        <w:tabs>
          <w:tab w:leader="none" w:pos="860" w:val="left"/>
          <w:tab w:leader="dot" w:pos="9680" w:val="left"/>
        </w:tabs>
        <w:rPr>
          <w:sz w:val="20"/>
          <w:szCs w:val="20"/>
          <w:color w:val="auto"/>
        </w:rPr>
      </w:pPr>
      <w:r>
        <w:rPr>
          <w:rFonts w:ascii="Times New Roman" w:cs="Times New Roman" w:eastAsia="Times New Roman" w:hAnsi="Times New Roman"/>
          <w:sz w:val="20"/>
          <w:szCs w:val="20"/>
          <w:u w:val="single" w:color="auto"/>
          <w:color w:val="1C2790"/>
        </w:rPr>
        <w:t>Item 16.</w:t>
      </w:r>
      <w:r>
        <w:rPr>
          <w:sz w:val="20"/>
          <w:szCs w:val="20"/>
          <w:color w:val="auto"/>
        </w:rPr>
        <w:tab/>
      </w:r>
      <w:r>
        <w:rPr>
          <w:rFonts w:ascii="Times New Roman" w:cs="Times New Roman" w:eastAsia="Times New Roman" w:hAnsi="Times New Roman"/>
          <w:sz w:val="20"/>
          <w:szCs w:val="20"/>
          <w:u w:val="single" w:color="auto"/>
          <w:color w:val="1C2790"/>
        </w:rPr>
        <w:t>FORM 10-K SUMMARY</w:t>
      </w:r>
      <w:r>
        <w:rPr>
          <w:sz w:val="20"/>
          <w:szCs w:val="20"/>
          <w:color w:val="auto"/>
        </w:rPr>
        <w:tab/>
      </w:r>
      <w:r>
        <w:rPr>
          <w:rFonts w:ascii="Times New Roman" w:cs="Times New Roman" w:eastAsia="Times New Roman" w:hAnsi="Times New Roman"/>
          <w:sz w:val="20"/>
          <w:szCs w:val="20"/>
          <w:u w:val="single" w:color="auto"/>
          <w:color w:val="1C2790"/>
        </w:rPr>
        <w:t>99</w:t>
      </w:r>
    </w:p>
    <w:p>
      <w:pPr>
        <w:sectPr>
          <w:pgSz w:w="12240" w:h="15840" w:orient="portrait"/>
          <w:cols w:equalWidth="0" w:num="1">
            <w:col w:w="9980"/>
          </w:cols>
          <w:pgMar w:left="1000" w:top="430" w:right="1260" w:bottom="0" w:gutter="0" w:footer="0" w:header="0"/>
          <w:type w:val="continuous"/>
        </w:sectPr>
      </w:pPr>
    </w:p>
    <w:p>
      <w:pPr>
        <w:spacing w:after="0" w:line="200" w:lineRule="exact"/>
        <w:rPr>
          <w:rFonts w:ascii="Times New Roman" w:cs="Times New Roman" w:eastAsia="Times New Roman" w:hAnsi="Times New Roman"/>
          <w:sz w:val="20"/>
          <w:szCs w:val="20"/>
          <w:u w:val="single" w:color="auto"/>
          <w:color w:val="1C2790"/>
        </w:rPr>
      </w:pPr>
    </w:p>
    <w:p>
      <w:pPr>
        <w:spacing w:after="0" w:line="200" w:lineRule="exact"/>
        <w:rPr>
          <w:rFonts w:ascii="Times New Roman" w:cs="Times New Roman" w:eastAsia="Times New Roman" w:hAnsi="Times New Roman"/>
          <w:sz w:val="20"/>
          <w:szCs w:val="20"/>
          <w:u w:val="single" w:color="auto"/>
          <w:color w:val="1C2790"/>
        </w:rPr>
      </w:pPr>
    </w:p>
    <w:p>
      <w:pPr>
        <w:spacing w:after="0" w:line="200" w:lineRule="exact"/>
        <w:rPr>
          <w:rFonts w:ascii="Times New Roman" w:cs="Times New Roman" w:eastAsia="Times New Roman" w:hAnsi="Times New Roman"/>
          <w:sz w:val="20"/>
          <w:szCs w:val="20"/>
          <w:u w:val="single" w:color="auto"/>
          <w:color w:val="1C2790"/>
        </w:rPr>
      </w:pPr>
    </w:p>
    <w:p>
      <w:pPr>
        <w:spacing w:after="0" w:line="200" w:lineRule="exact"/>
        <w:rPr>
          <w:rFonts w:ascii="Times New Roman" w:cs="Times New Roman" w:eastAsia="Times New Roman" w:hAnsi="Times New Roman"/>
          <w:sz w:val="20"/>
          <w:szCs w:val="20"/>
          <w:u w:val="single" w:color="auto"/>
          <w:color w:val="1C2790"/>
        </w:rPr>
      </w:pPr>
    </w:p>
    <w:p>
      <w:pPr>
        <w:spacing w:after="0" w:line="200" w:lineRule="exact"/>
        <w:rPr>
          <w:rFonts w:ascii="Times New Roman" w:cs="Times New Roman" w:eastAsia="Times New Roman" w:hAnsi="Times New Roman"/>
          <w:sz w:val="20"/>
          <w:szCs w:val="20"/>
          <w:u w:val="single" w:color="auto"/>
          <w:color w:val="1C2790"/>
        </w:rPr>
      </w:pPr>
    </w:p>
    <w:p>
      <w:pPr>
        <w:spacing w:after="0" w:line="200" w:lineRule="exact"/>
        <w:rPr>
          <w:rFonts w:ascii="Times New Roman" w:cs="Times New Roman" w:eastAsia="Times New Roman" w:hAnsi="Times New Roman"/>
          <w:sz w:val="20"/>
          <w:szCs w:val="20"/>
          <w:u w:val="single" w:color="auto"/>
          <w:color w:val="1C2790"/>
        </w:rPr>
      </w:pPr>
    </w:p>
    <w:p>
      <w:pPr>
        <w:spacing w:after="0" w:line="200" w:lineRule="exact"/>
        <w:rPr>
          <w:rFonts w:ascii="Times New Roman" w:cs="Times New Roman" w:eastAsia="Times New Roman" w:hAnsi="Times New Roman"/>
          <w:sz w:val="20"/>
          <w:szCs w:val="20"/>
          <w:u w:val="single" w:color="auto"/>
          <w:color w:val="1C2790"/>
        </w:rPr>
      </w:pPr>
    </w:p>
    <w:p>
      <w:pPr>
        <w:spacing w:after="0" w:line="200" w:lineRule="exact"/>
        <w:rPr>
          <w:rFonts w:ascii="Times New Roman" w:cs="Times New Roman" w:eastAsia="Times New Roman" w:hAnsi="Times New Roman"/>
          <w:sz w:val="20"/>
          <w:szCs w:val="20"/>
          <w:u w:val="single" w:color="auto"/>
          <w:color w:val="1C2790"/>
        </w:rPr>
      </w:pPr>
    </w:p>
    <w:p>
      <w:pPr>
        <w:spacing w:after="0" w:line="200" w:lineRule="exact"/>
        <w:rPr>
          <w:rFonts w:ascii="Times New Roman" w:cs="Times New Roman" w:eastAsia="Times New Roman" w:hAnsi="Times New Roman"/>
          <w:sz w:val="20"/>
          <w:szCs w:val="20"/>
          <w:u w:val="single" w:color="auto"/>
          <w:color w:val="1C2790"/>
        </w:rPr>
      </w:pPr>
    </w:p>
    <w:p>
      <w:pPr>
        <w:spacing w:after="0" w:line="201" w:lineRule="exact"/>
        <w:rPr>
          <w:rFonts w:ascii="Times New Roman" w:cs="Times New Roman" w:eastAsia="Times New Roman" w:hAnsi="Times New Roman"/>
          <w:sz w:val="20"/>
          <w:szCs w:val="20"/>
          <w:u w:val="single" w:color="auto"/>
          <w:color w:val="1C2790"/>
        </w:rPr>
      </w:pPr>
    </w:p>
    <w:p>
      <w:pPr>
        <w:ind w:left="5300"/>
        <w:spacing w:after="0"/>
        <w:rPr>
          <w:sz w:val="20"/>
          <w:szCs w:val="20"/>
          <w:color w:val="auto"/>
        </w:rPr>
      </w:pPr>
      <w:r>
        <w:rPr>
          <w:rFonts w:ascii="Times New Roman" w:cs="Times New Roman" w:eastAsia="Times New Roman" w:hAnsi="Times New Roman"/>
          <w:sz w:val="20"/>
          <w:szCs w:val="20"/>
          <w:color w:val="auto"/>
        </w:rPr>
        <w:t>i</w:t>
      </w:r>
    </w:p>
    <w:p>
      <w:pPr>
        <w:sectPr>
          <w:pgSz w:w="12240" w:h="15840" w:orient="portrait"/>
          <w:cols w:equalWidth="0" w:num="1">
            <w:col w:w="9980"/>
          </w:cols>
          <w:pgMar w:left="1000" w:top="430" w:right="126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SPECIAL NOTE REGARDING FORWARD-LOOKING STATEMENTS</w:t>
      </w:r>
    </w:p>
    <w:p>
      <w:pPr>
        <w:spacing w:after="0" w:line="210" w:lineRule="exact"/>
        <w:rPr>
          <w:sz w:val="20"/>
          <w:szCs w:val="20"/>
          <w:color w:val="auto"/>
        </w:rPr>
      </w:pPr>
    </w:p>
    <w:p>
      <w:pPr>
        <w:jc w:val="both"/>
        <w:ind w:firstLine="720"/>
        <w:spacing w:after="0" w:line="262" w:lineRule="auto"/>
        <w:rPr>
          <w:sz w:val="20"/>
          <w:szCs w:val="20"/>
          <w:color w:val="auto"/>
        </w:rPr>
      </w:pPr>
      <w:r>
        <w:rPr>
          <w:rFonts w:ascii="Times New Roman" w:cs="Times New Roman" w:eastAsia="Times New Roman" w:hAnsi="Times New Roman"/>
          <w:sz w:val="20"/>
          <w:szCs w:val="20"/>
          <w:color w:val="auto"/>
        </w:rPr>
        <w:t>This Annual Report on Form 10-K contains forward-looking statements within the meaning of the Private Securities Litigation Reform Act of 1995. All statements contained in this Annual Report on Form 10-K other than statements of historical fact, including statements concerning our business strategy and plans, future operating results and financial position, as well as our objectives and expectations for our future operations, are forward-looking statements.</w:t>
      </w:r>
    </w:p>
    <w:p>
      <w:pPr>
        <w:spacing w:after="0" w:line="155" w:lineRule="exact"/>
        <w:rPr>
          <w:sz w:val="20"/>
          <w:szCs w:val="20"/>
          <w:color w:val="auto"/>
        </w:rPr>
      </w:pPr>
    </w:p>
    <w:p>
      <w:pPr>
        <w:jc w:val="both"/>
        <w:ind w:firstLine="720"/>
        <w:spacing w:after="0" w:line="263" w:lineRule="auto"/>
        <w:rPr>
          <w:sz w:val="20"/>
          <w:szCs w:val="20"/>
          <w:color w:val="auto"/>
        </w:rPr>
      </w:pPr>
      <w:r>
        <w:rPr>
          <w:rFonts w:ascii="Times New Roman" w:cs="Times New Roman" w:eastAsia="Times New Roman" w:hAnsi="Times New Roman"/>
          <w:sz w:val="20"/>
          <w:szCs w:val="20"/>
          <w:color w:val="auto"/>
        </w:rPr>
        <w:t>In some cases, you can identify forward-looking statements by such terminology as “believe,” “may,” “will,” “potentially,” “estimate,” “continue,” “anticipate,” “intend,” “could,” “would,” “project,” “plan,” “expect” and similar expressions that convey uncertainty of future events or outcomes, although not all forward-looking statements contain these words. Forward-looking statements include, but are not limited to, statements about:</w:t>
      </w:r>
    </w:p>
    <w:p>
      <w:pPr>
        <w:spacing w:after="0" w:line="137" w:lineRule="exact"/>
        <w:rPr>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continue as a going concern;</w:t>
      </w:r>
    </w:p>
    <w:p>
      <w:pPr>
        <w:spacing w:after="0" w:line="149"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current level of indebtedness;</w:t>
      </w:r>
    </w:p>
    <w:p>
      <w:pPr>
        <w:spacing w:after="0" w:line="150" w:lineRule="exact"/>
        <w:rPr>
          <w:rFonts w:ascii="Times New Roman" w:cs="Times New Roman" w:eastAsia="Times New Roman" w:hAnsi="Times New Roman"/>
          <w:sz w:val="20"/>
          <w:szCs w:val="20"/>
          <w:color w:val="auto"/>
        </w:rPr>
      </w:pPr>
    </w:p>
    <w:p>
      <w:pPr>
        <w:ind w:left="720" w:hanging="370"/>
        <w:spacing w:after="0" w:line="233"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industry conditions, including oversupply and decreasing prices of our customers' products which, in turn, have materially adversely impacted our sales and other results of operations and which may continue to do so in the future;</w:t>
      </w:r>
    </w:p>
    <w:p>
      <w:pPr>
        <w:spacing w:after="0" w:line="113"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tariffs or interruptions to global trade;</w:t>
      </w:r>
    </w:p>
    <w:p>
      <w:pPr>
        <w:spacing w:after="0" w:line="149" w:lineRule="exact"/>
        <w:rPr>
          <w:rFonts w:ascii="Times New Roman" w:cs="Times New Roman" w:eastAsia="Times New Roman" w:hAnsi="Times New Roman"/>
          <w:sz w:val="20"/>
          <w:szCs w:val="20"/>
          <w:color w:val="auto"/>
        </w:rPr>
      </w:pPr>
    </w:p>
    <w:p>
      <w:pPr>
        <w:ind w:left="720" w:hanging="370"/>
        <w:spacing w:after="0" w:line="233"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potential for future charges associated with the impairment of our long-lived assets, inventory allowances and purchase commitment losses, and accounts receivable reserves;</w:t>
      </w:r>
    </w:p>
    <w:p>
      <w:pPr>
        <w:spacing w:after="0" w:line="113"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liquidity;</w:t>
      </w:r>
    </w:p>
    <w:p>
      <w:pPr>
        <w:spacing w:after="0" w:line="150" w:lineRule="exact"/>
        <w:rPr>
          <w:rFonts w:ascii="Times New Roman" w:cs="Times New Roman" w:eastAsia="Times New Roman" w:hAnsi="Times New Roman"/>
          <w:sz w:val="20"/>
          <w:szCs w:val="20"/>
          <w:color w:val="auto"/>
        </w:rPr>
      </w:pPr>
    </w:p>
    <w:p>
      <w:pPr>
        <w:ind w:left="720" w:hanging="370"/>
        <w:spacing w:after="0" w:line="233"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and intent to access bankruptcy courts, receivership or similar processes, or otherwise wind-up our business and liquidate;</w:t>
      </w:r>
    </w:p>
    <w:p>
      <w:pPr>
        <w:spacing w:after="0" w:line="112"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meet the continued listing standards of The Nasdaq Capital Market ("Nasdaq");</w:t>
      </w:r>
    </w:p>
    <w:p>
      <w:pPr>
        <w:spacing w:after="0" w:line="1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anticipated impact of our restructuring activities on our expenses and cash expenditures;</w:t>
      </w:r>
    </w:p>
    <w:p>
      <w:pPr>
        <w:spacing w:after="0" w:line="1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dilution that may result from equity financings while our stock prices are depressed;</w:t>
      </w:r>
    </w:p>
    <w:p>
      <w:pPr>
        <w:spacing w:after="0" w:line="149"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conditions impacting our customers, including related crop prices and other factors impacting growers;</w:t>
      </w:r>
    </w:p>
    <w:p>
      <w:pPr>
        <w:spacing w:after="0" w:line="150" w:lineRule="exact"/>
        <w:rPr>
          <w:rFonts w:ascii="Times New Roman" w:cs="Times New Roman" w:eastAsia="Times New Roman" w:hAnsi="Times New Roman"/>
          <w:sz w:val="20"/>
          <w:szCs w:val="20"/>
          <w:color w:val="auto"/>
        </w:rPr>
      </w:pPr>
    </w:p>
    <w:p>
      <w:pPr>
        <w:ind w:left="720" w:hanging="370"/>
        <w:spacing w:after="0" w:line="233"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adverse effects of public health epidemics, including the COVID-19 pandemic, on our business, results of operations and financial condition;</w:t>
      </w:r>
    </w:p>
    <w:p>
      <w:pPr>
        <w:spacing w:after="0" w:line="113"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interruptions in our supply chain;</w:t>
      </w:r>
    </w:p>
    <w:p>
      <w:pPr>
        <w:spacing w:after="0" w:line="149" w:lineRule="exact"/>
        <w:rPr>
          <w:rFonts w:ascii="Times New Roman" w:cs="Times New Roman" w:eastAsia="Times New Roman" w:hAnsi="Times New Roman"/>
          <w:sz w:val="20"/>
          <w:szCs w:val="20"/>
          <w:color w:val="auto"/>
        </w:rPr>
      </w:pPr>
    </w:p>
    <w:p>
      <w:pPr>
        <w:ind w:left="720" w:right="20" w:hanging="370"/>
        <w:spacing w:after="0" w:line="233"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federal and state legislation and regulations pertaining to agricultural products and the use and cultivation of cannabis in the United States and Canada;</w:t>
      </w:r>
    </w:p>
    <w:p>
      <w:pPr>
        <w:spacing w:after="0" w:line="113"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public perceptions and acceptance of cannabis use;</w:t>
      </w:r>
    </w:p>
    <w:p>
      <w:pPr>
        <w:spacing w:after="0" w:line="1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the price of various crops and other factors affecting growers;</w:t>
      </w:r>
    </w:p>
    <w:p>
      <w:pPr>
        <w:spacing w:after="0" w:line="149"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results of and expectations regarding our acquisitions, dispositions and strategic alliances;</w:t>
      </w:r>
    </w:p>
    <w:p>
      <w:pPr>
        <w:spacing w:after="0" w:line="150" w:lineRule="exact"/>
        <w:rPr>
          <w:rFonts w:ascii="Times New Roman" w:cs="Times New Roman" w:eastAsia="Times New Roman" w:hAnsi="Times New Roman"/>
          <w:sz w:val="20"/>
          <w:szCs w:val="20"/>
          <w:color w:val="auto"/>
        </w:rPr>
      </w:pPr>
    </w:p>
    <w:p>
      <w:pPr>
        <w:ind w:left="720" w:hanging="370"/>
        <w:spacing w:after="0" w:line="233"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long-term non-cancellable leases under which many of our facilities operate, and our ability to renew or terminate our leases;</w:t>
      </w:r>
    </w:p>
    <w:p>
      <w:pPr>
        <w:spacing w:after="0" w:line="113"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reliance on, and relationships with, a limited base of key suppliers for certain products;</w:t>
      </w:r>
    </w:p>
    <w:p>
      <w:pPr>
        <w:spacing w:after="0" w:line="149"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keep pace with technological advances;</w:t>
      </w:r>
    </w:p>
    <w:p>
      <w:pPr>
        <w:spacing w:after="0" w:line="1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execute our e-commerce business;</w:t>
      </w:r>
    </w:p>
    <w:p>
      <w:pPr>
        <w:spacing w:after="0" w:line="1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of being a public company;</w:t>
      </w:r>
    </w:p>
    <w:p>
      <w:pPr>
        <w:spacing w:after="0" w:line="149" w:lineRule="exact"/>
        <w:rPr>
          <w:rFonts w:ascii="Times New Roman" w:cs="Times New Roman" w:eastAsia="Times New Roman" w:hAnsi="Times New Roman"/>
          <w:sz w:val="20"/>
          <w:szCs w:val="20"/>
          <w:color w:val="auto"/>
        </w:rPr>
      </w:pPr>
    </w:p>
    <w:p>
      <w:pPr>
        <w:ind w:left="720" w:hanging="370"/>
        <w:spacing w:after="0" w:line="233"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successfully identify appropriate acquisition targets, successfully acquire identified targets or successfully integrate the business of acquired companies;</w:t>
      </w:r>
    </w:p>
    <w:p>
      <w:pPr>
        <w:spacing w:after="0" w:line="113"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success of our marketing activities;</w:t>
      </w:r>
    </w:p>
    <w:p>
      <w:pPr>
        <w:spacing w:after="0" w:line="1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potential for a disruption or breach of our information technology systems or cyber-attack;</w:t>
      </w:r>
    </w:p>
    <w:p>
      <w:pPr>
        <w:spacing w:after="0" w:line="149"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dependence on third parties, or the performance of third parties on which we depend;</w:t>
      </w:r>
    </w:p>
    <w:p>
      <w:pPr>
        <w:spacing w:after="0" w:line="1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change to our reputation or to the reputation of our products;</w:t>
      </w:r>
    </w:p>
    <w:p>
      <w:pPr>
        <w:sectPr>
          <w:pgSz w:w="12240" w:h="15840" w:orient="portrait"/>
          <w:cols w:equalWidth="0" w:num="1">
            <w:col w:w="10260"/>
          </w:cols>
          <w:pgMar w:left="1000" w:top="430" w:right="980" w:bottom="0" w:gutter="0" w:footer="0" w:header="0"/>
        </w:sectPr>
      </w:pPr>
    </w:p>
    <w:p>
      <w:pPr>
        <w:spacing w:after="0" w:line="3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0"/>
          <w:szCs w:val="20"/>
          <w:color w:val="auto"/>
        </w:rPr>
        <w:t>1</w:t>
      </w:r>
    </w:p>
    <w:p>
      <w:pPr>
        <w:sectPr>
          <w:pgSz w:w="12240" w:h="15840" w:orient="portrait"/>
          <w:cols w:equalWidth="0" w:num="1">
            <w:col w:w="10260"/>
          </w:cols>
          <w:pgMar w:left="1000" w:top="430" w:right="98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76" w:lineRule="exact"/>
        <w:rPr>
          <w:sz w:val="20"/>
          <w:szCs w:val="20"/>
          <w:color w:val="auto"/>
        </w:rPr>
      </w:pPr>
    </w:p>
    <w:p>
      <w:pPr>
        <w:ind w:left="720" w:hanging="37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 in the prices of the products we distribute;</w:t>
      </w:r>
    </w:p>
    <w:p>
      <w:pPr>
        <w:spacing w:after="0" w:line="149"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competitive industry pressures;</w:t>
      </w:r>
    </w:p>
    <w:p>
      <w:pPr>
        <w:spacing w:after="0" w:line="1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consolidation of businesses within our industry;</w:t>
      </w:r>
    </w:p>
    <w:p>
      <w:pPr>
        <w:spacing w:after="0" w:line="1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compliance with environmental, health and safety laws;</w:t>
      </w:r>
    </w:p>
    <w:p>
      <w:pPr>
        <w:spacing w:after="0" w:line="149"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protect and defend against litigation, including claims related to intellectual property rights;</w:t>
      </w:r>
    </w:p>
    <w:p>
      <w:pPr>
        <w:spacing w:after="0" w:line="1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shortages and relationships with key suppliers;</w:t>
      </w:r>
    </w:p>
    <w:p>
      <w:pPr>
        <w:spacing w:after="0" w:line="1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attract and retain key employees;</w:t>
      </w:r>
    </w:p>
    <w:p>
      <w:pPr>
        <w:spacing w:after="0" w:line="149"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volatility of the price of our common stock;</w:t>
      </w:r>
    </w:p>
    <w:p>
      <w:pPr>
        <w:spacing w:after="0" w:line="1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marketability of our common stock; and</w:t>
      </w:r>
    </w:p>
    <w:p>
      <w:pPr>
        <w:spacing w:after="0" w:line="1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risks and uncertainties, including those listed in </w:t>
      </w:r>
      <w:r>
        <w:rPr>
          <w:rFonts w:ascii="Times New Roman" w:cs="Times New Roman" w:eastAsia="Times New Roman" w:hAnsi="Times New Roman"/>
          <w:sz w:val="20"/>
          <w:szCs w:val="20"/>
          <w:i w:val="1"/>
          <w:iCs w:val="1"/>
          <w:color w:val="auto"/>
        </w:rPr>
        <w:t>Part I, Item 1A, Risk Factors</w:t>
      </w:r>
      <w:r>
        <w:rPr>
          <w:rFonts w:ascii="Times New Roman" w:cs="Times New Roman" w:eastAsia="Times New Roman" w:hAnsi="Times New Roman"/>
          <w:sz w:val="20"/>
          <w:szCs w:val="20"/>
          <w:color w:val="auto"/>
        </w:rPr>
        <w:t>.</w:t>
      </w:r>
    </w:p>
    <w:p>
      <w:pPr>
        <w:spacing w:after="0" w:line="166"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 xml:space="preserve">We have based these forward-looking statements largely on our current expectations and projections about future events and trends that we believe may affect our business, financial condition, results of operations, prospects, and financial needs. These forward-looking statements speak only as of the date of this Annual Report on Form 10-K and are subject to a number of risks, uncertainties and assumptions described in </w:t>
      </w:r>
      <w:r>
        <w:rPr>
          <w:rFonts w:ascii="Times New Roman" w:cs="Times New Roman" w:eastAsia="Times New Roman" w:hAnsi="Times New Roman"/>
          <w:sz w:val="20"/>
          <w:szCs w:val="20"/>
          <w:i w:val="1"/>
          <w:iCs w:val="1"/>
          <w:color w:val="auto"/>
        </w:rPr>
        <w:t>Part I, Item 1A, Risk Factors</w:t>
      </w:r>
      <w:r>
        <w:rPr>
          <w:rFonts w:ascii="Times New Roman" w:cs="Times New Roman" w:eastAsia="Times New Roman" w:hAnsi="Times New Roman"/>
          <w:sz w:val="20"/>
          <w:szCs w:val="20"/>
          <w:color w:val="auto"/>
        </w:rPr>
        <w:t xml:space="preserve"> and elsewhere in this Annual Report on Form 10-K.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We disclaim any intention or obligation to publicly update or revise any forward-looking statements for any reason or to conform such statements to actual results or revised expectations,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20"/>
          <w:szCs w:val="20"/>
          <w:color w:val="auto"/>
        </w:rPr>
        <w:t>SPECIAL NOTE REGARDING USE OF TRADE NAMES AND TRADEMARKS</w:t>
      </w:r>
    </w:p>
    <w:p>
      <w:pPr>
        <w:spacing w:after="0" w:line="210" w:lineRule="exact"/>
        <w:rPr>
          <w:sz w:val="20"/>
          <w:szCs w:val="20"/>
          <w:color w:val="auto"/>
        </w:rPr>
      </w:pPr>
    </w:p>
    <w:p>
      <w:pPr>
        <w:jc w:val="both"/>
        <w:ind w:firstLine="720"/>
        <w:spacing w:after="0" w:line="262" w:lineRule="auto"/>
        <w:rPr>
          <w:sz w:val="20"/>
          <w:szCs w:val="20"/>
          <w:color w:val="auto"/>
        </w:rPr>
      </w:pPr>
      <w:r>
        <w:rPr>
          <w:rFonts w:ascii="Times New Roman" w:cs="Times New Roman" w:eastAsia="Times New Roman" w:hAnsi="Times New Roman"/>
          <w:sz w:val="20"/>
          <w:szCs w:val="20"/>
          <w:color w:val="auto"/>
        </w:rPr>
        <w:t>"Hydrofarm" and other trade names and trademarks of ours appearing in this Annual Report on Form 10-K are our property. This Annual Report on Form 10-K contains trade names and trademarks of other companies, which are the property of their respective owners. We do not intend our use or display of other companies’ trade names or trademarks to imply an endorsement or sponsorship of us by such companies, or any relationship with any of these companies.</w:t>
      </w:r>
    </w:p>
    <w:p>
      <w:pPr>
        <w:spacing w:after="0" w:line="200" w:lineRule="exact"/>
        <w:rPr>
          <w:sz w:val="20"/>
          <w:szCs w:val="20"/>
          <w:color w:val="auto"/>
        </w:rPr>
      </w:pPr>
    </w:p>
    <w:p>
      <w:pPr>
        <w:spacing w:after="0" w:line="39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SPECIAL NOTE REGARDING CERTAIN TERMINOLOGY IN THIS ANNUAL REPORT ON FORM 10-K</w:t>
      </w:r>
    </w:p>
    <w:p>
      <w:pPr>
        <w:spacing w:after="0" w:line="210" w:lineRule="exact"/>
        <w:rPr>
          <w:sz w:val="20"/>
          <w:szCs w:val="20"/>
          <w:color w:val="auto"/>
        </w:rPr>
      </w:pPr>
    </w:p>
    <w:p>
      <w:pPr>
        <w:jc w:val="both"/>
        <w:ind w:right="20" w:firstLine="720"/>
        <w:spacing w:after="0" w:line="287" w:lineRule="auto"/>
        <w:rPr>
          <w:sz w:val="20"/>
          <w:szCs w:val="20"/>
          <w:color w:val="auto"/>
        </w:rPr>
      </w:pPr>
      <w:r>
        <w:rPr>
          <w:rFonts w:ascii="Times New Roman" w:cs="Times New Roman" w:eastAsia="Times New Roman" w:hAnsi="Times New Roman"/>
          <w:sz w:val="20"/>
          <w:szCs w:val="20"/>
          <w:color w:val="auto"/>
        </w:rPr>
        <w:t>Unless the context otherwise indicates, references in this Annual Report on Form 10-K to the terms "Hydrofarm", "the Company," "we," "our" and "us" refer to Hydrofarm Holdings Group, Inc. and its subsidiaries.</w:t>
      </w:r>
    </w:p>
    <w:p>
      <w:pPr>
        <w:sectPr>
          <w:pgSz w:w="12240" w:h="15840" w:orient="portrait"/>
          <w:cols w:equalWidth="0" w:num="1">
            <w:col w:w="10260"/>
          </w:cols>
          <w:pgMar w:left="1000" w:top="43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10260"/>
          </w:cols>
          <w:pgMar w:left="1000" w:top="430" w:right="980"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8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10"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20"/>
          <w:szCs w:val="20"/>
          <w:b w:val="1"/>
          <w:bCs w:val="1"/>
          <w:color w:val="auto"/>
        </w:rPr>
        <w:t>Item 1.</w:t>
      </w:r>
      <w:r>
        <w:rPr>
          <w:sz w:val="20"/>
          <w:szCs w:val="20"/>
          <w:color w:val="auto"/>
        </w:rPr>
        <w:tab/>
      </w:r>
      <w:r>
        <w:rPr>
          <w:rFonts w:ascii="Times New Roman" w:cs="Times New Roman" w:eastAsia="Times New Roman" w:hAnsi="Times New Roman"/>
          <w:sz w:val="20"/>
          <w:szCs w:val="20"/>
          <w:b w:val="1"/>
          <w:bCs w:val="1"/>
          <w:color w:val="auto"/>
        </w:rPr>
        <w:t>BUSINESS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Introduction</w:t>
      </w:r>
    </w:p>
    <w:p>
      <w:pPr>
        <w:spacing w:after="0" w:line="214"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We are a leading independent manufacturer and distributor of branded hydroponics equipment and supplies for controlled environment agriculture ("CEA"), including grow lights, climate control solutions, grow media and nutrients, as well as a broad portfolio of innovative and proprietary branded products. We primarily serve the U.S. and Canadian markets, and believe we are one of the leading companies in these markets in an otherwise fragmented industry. For over 40 years, we have helped growers make growing easier and more productive. Our mission is to empower growers, farmers and cultivators with products that enable greater quality, efficiency, consistency, and speed in their grow projects. For the 2025 fiscal year, our net sales were $134.3 million.</w:t>
      </w:r>
    </w:p>
    <w:p>
      <w:pPr>
        <w:spacing w:after="0" w:line="163"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Hydroponics is the farming of plants using soilless grow media and often artificial lighting in a controlled indoor or greenhouse environment. Hydroponics is the primary category of CEA and we use the terms CEA and hydroponics interchangeably. Our products are used to grow, farm, and cultivate cannabis, flowers, fruits, plants, vegetables, grains and herbs in controlled environment settings that allow end users to control key farming variables including temperature, humidity, CO2, light intensity spectrum, nutrient concentration and pH. Through CEA, growers are able to be more efficient with physical space, water and resources, while enjoying year-round and more rapid grow cycles as well as more predictable and abundant grow yields, when compared to other traditional growing methods.</w:t>
      </w:r>
    </w:p>
    <w:p>
      <w:pPr>
        <w:spacing w:after="0" w:line="162"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We reach commercial farmers and consumers through a broad and diversified network of over 1,800 wholesale customer accounts, who we connect with primarily through our proprietary online ordering platform. Our products are distributed across the United States and Canada through a diversified range of retailers of commercial and home gardening equipment and supplies. Our customers include specialty hydroponic retailers, commercial resellers and greenhouse builders, garden centers, hardware stores, and e-commerce retailers. Specialty hydroponic retailers can provide growers with specialized merchandise assortments and knowledgeable staff.</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How We Serve Our Customers</w:t>
      </w:r>
    </w:p>
    <w:p>
      <w:pPr>
        <w:spacing w:after="0" w:line="214" w:lineRule="exact"/>
        <w:rPr>
          <w:sz w:val="20"/>
          <w:szCs w:val="20"/>
          <w:color w:val="auto"/>
        </w:rPr>
      </w:pPr>
    </w:p>
    <w:p>
      <w:pPr>
        <w:jc w:val="both"/>
        <w:ind w:firstLine="720"/>
        <w:spacing w:after="0" w:line="289" w:lineRule="auto"/>
        <w:rPr>
          <w:sz w:val="20"/>
          <w:szCs w:val="20"/>
          <w:color w:val="auto"/>
        </w:rPr>
      </w:pPr>
      <w:r>
        <w:rPr>
          <w:rFonts w:ascii="Times New Roman" w:cs="Times New Roman" w:eastAsia="Times New Roman" w:hAnsi="Times New Roman"/>
          <w:sz w:val="19"/>
          <w:szCs w:val="19"/>
          <w:color w:val="auto"/>
        </w:rPr>
        <w:t>Our customer value proposition is centered on two pillars. First, we strive to offer the best selection by being a branded provider of all CEA needs. Second, we seek to be the gold standard in distribution and service, leveraging our infrastructure and reach to provide customers timely delivery of products and exceptional service across the United States and Canada.</w:t>
      </w:r>
    </w:p>
    <w:p>
      <w:pPr>
        <w:spacing w:after="0" w:line="13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Complete Range of Innovative CEA Products</w:t>
      </w:r>
    </w:p>
    <w:p>
      <w:pPr>
        <w:spacing w:after="0" w:line="210"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color w:val="auto"/>
        </w:rPr>
        <w:t>We offer thousands of innovative, branded CEA products to provide solutions for our customers. Our product portfolio spans lighting, grow media (i.e., premium soils and soil alternatives), nutrients, equipment and supplies.</w:t>
      </w:r>
    </w:p>
    <w:p>
      <w:pPr>
        <w:spacing w:after="0" w:line="128"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Some of our most well-known proprietary brands include Active Air, Active Aqua, Aurora Peat Products, HEAVY 16, House &amp; Garden, Gaia Green Organics, Grotek, Innovative Growers Equipment, Mad Farmer, Phantom, PHOTOBIO, Procision, Roots Organics, Growtainer, and SunBlaster. We estimate that approximately three-quarters of our net sales relate to consumable products, including grow media, nutrients and supplies that are subject to regular replenishment. The remaining portion of our net sales relate to durable products such as hydroponic lighting and equipment. The majority of products we offer are produced by us or are supplied to us under exclusive or distributed brand relationships. Our proprietary, or house brands, generally provide higher gross profit margins compared to distributed brands and provide a competitive advantage as we offer our customers a breadth of products that cannot be purchased elsewhere.</w:t>
      </w:r>
    </w:p>
    <w:p>
      <w:pPr>
        <w:spacing w:after="0" w:line="164"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We source individual components, raw materials or products from our supplier base. Raw materials used in our nutrient manufacturing operations primarily include nitrogen, potassium, and phosphate. Raw materials used in our grow media manufacturing include peat moss, compost, perlite, coir fiber, pumice and worm castings. We source these components, raw materials and products from suppliers located primarily in the United States, Canada, China, and Europe. One supplier accounted for over 10% of purchases in 2025 and 2024.</w:t>
      </w:r>
    </w:p>
    <w:p>
      <w:pPr>
        <w:sectPr>
          <w:pgSz w:w="12240" w:h="15840" w:orient="portrait"/>
          <w:cols w:equalWidth="0" w:num="1">
            <w:col w:w="10260"/>
          </w:cols>
          <w:pgMar w:left="1000" w:top="43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10260"/>
          </w:cols>
          <w:pgMar w:left="1000" w:top="430" w:right="980" w:bottom="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91"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color w:val="auto"/>
        </w:rPr>
        <w:t>The following graphic illustrates a representative set of our market-leading products across key CEA product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6518275" cy="41884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
                      <a:extLst>
                        <a:ext uri="{28A0092B-C50C-407E-A947-70E740481C1C}"/>
                      </a:extLst>
                    </a:blip>
                    <a:srcRect/>
                    <a:stretch>
                      <a:fillRect/>
                    </a:stretch>
                  </pic:blipFill>
                  <pic:spPr bwMode="auto">
                    <a:xfrm>
                      <a:off x="0" y="0"/>
                      <a:ext cx="6518275" cy="4188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Infrastructure and Reach for Delivery Across the U.S. and Canada, and Exceptional Customer Service</w:t>
      </w:r>
    </w:p>
    <w:p>
      <w:pPr>
        <w:spacing w:after="0" w:line="210" w:lineRule="exact"/>
        <w:rPr>
          <w:sz w:val="20"/>
          <w:szCs w:val="20"/>
          <w:color w:val="auto"/>
        </w:rPr>
      </w:pPr>
    </w:p>
    <w:p>
      <w:pPr>
        <w:jc w:val="both"/>
        <w:ind w:firstLine="720"/>
        <w:spacing w:after="0" w:line="287" w:lineRule="auto"/>
        <w:rPr>
          <w:sz w:val="20"/>
          <w:szCs w:val="20"/>
          <w:color w:val="auto"/>
        </w:rPr>
      </w:pPr>
      <w:r>
        <w:rPr>
          <w:rFonts w:ascii="Times New Roman" w:cs="Times New Roman" w:eastAsia="Times New Roman" w:hAnsi="Times New Roman"/>
          <w:sz w:val="20"/>
          <w:szCs w:val="20"/>
          <w:color w:val="auto"/>
        </w:rPr>
        <w:t>Our infrastructure and reach enables us to provide delivery and service capabilities to a diverse group of customers primarily in the United States and Canada.</w:t>
      </w:r>
    </w:p>
    <w:p>
      <w:pPr>
        <w:spacing w:after="0" w:line="129" w:lineRule="exact"/>
        <w:rPr>
          <w:sz w:val="20"/>
          <w:szCs w:val="20"/>
          <w:color w:val="auto"/>
        </w:rPr>
      </w:pPr>
    </w:p>
    <w:p>
      <w:pPr>
        <w:jc w:val="both"/>
        <w:ind w:firstLine="720"/>
        <w:spacing w:after="0" w:line="269" w:lineRule="auto"/>
        <w:rPr>
          <w:sz w:val="20"/>
          <w:szCs w:val="20"/>
          <w:color w:val="auto"/>
        </w:rPr>
      </w:pPr>
      <w:r>
        <w:rPr>
          <w:rFonts w:ascii="Times New Roman" w:cs="Times New Roman" w:eastAsia="Times New Roman" w:hAnsi="Times New Roman"/>
          <w:sz w:val="20"/>
          <w:szCs w:val="20"/>
          <w:color w:val="auto"/>
        </w:rPr>
        <w:t>In the United States, we currently operate two distribution centers in Fairfield, California and Shoemakersville, Pennsylvania. Additionally, we are able to distribute our products through cross-docking logistics arrangements at additional sites.</w:t>
      </w:r>
    </w:p>
    <w:p>
      <w:pPr>
        <w:spacing w:after="0" w:line="147"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In Canada, we currently distribute our products from locations in Surrey, British Columbia and Cambridge, Ontario. On February 18, 2026, we entered into definitive agreement with Quality Horticulture, a family-owned Canadian garden center and horticultural distribution company, pursuant to which Quality Horticulture will serve as the exclusive Canadian distributor of our proprietary portfolio of nutrients, plant additives, grow media, horticultural lighting and environmental control products, including House &amp; Garden, Grotek, Gaia Green, PHOTOBIO, SunBlaster, Active Aqua and Aurora Peat Products. The agreement is part of our strategic plan to streamline our operations and improve the focus on our proprietary brands and core product categories.</w:t>
      </w:r>
    </w:p>
    <w:p>
      <w:pPr>
        <w:spacing w:after="0" w:line="163" w:lineRule="exact"/>
        <w:rPr>
          <w:sz w:val="20"/>
          <w:szCs w:val="20"/>
          <w:color w:val="auto"/>
        </w:rPr>
      </w:pPr>
    </w:p>
    <w:p>
      <w:pPr>
        <w:jc w:val="both"/>
        <w:ind w:firstLine="720"/>
        <w:spacing w:after="0" w:line="262" w:lineRule="auto"/>
        <w:rPr>
          <w:sz w:val="20"/>
          <w:szCs w:val="20"/>
          <w:color w:val="auto"/>
        </w:rPr>
      </w:pPr>
      <w:r>
        <w:rPr>
          <w:rFonts w:ascii="Times New Roman" w:cs="Times New Roman" w:eastAsia="Times New Roman" w:hAnsi="Times New Roman"/>
          <w:sz w:val="20"/>
          <w:szCs w:val="20"/>
          <w:color w:val="auto"/>
        </w:rPr>
        <w:t>Outside of North America, we operate a distribution center in Zaragoza, Spain. We use a third party in China to assist with our international supply chain management and quality assurance in Asia. We partner with a network of third-party transportation companies that facilitate delivery to our customers. The majority of customer orders are received through our business-to-business e-commerce platform.</w:t>
      </w:r>
    </w:p>
    <w:p>
      <w:pPr>
        <w:spacing w:after="0" w:line="155"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color w:val="auto"/>
        </w:rPr>
        <w:t>In the United States, we currently operate a manufacturing facility in Eugene, Oregon, and in Canada, we currently have manufacturing facilities in Edmonton, Alberta.</w:t>
      </w:r>
    </w:p>
    <w:p>
      <w:pPr>
        <w:sectPr>
          <w:pgSz w:w="12240" w:h="15840" w:orient="portrait"/>
          <w:cols w:equalWidth="0" w:num="1">
            <w:col w:w="10260"/>
          </w:cols>
          <w:pgMar w:left="1000" w:top="43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10260"/>
          </w:cols>
          <w:pgMar w:left="1000" w:top="430" w:right="980" w:bottom="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CEA Industry</w:t>
      </w:r>
    </w:p>
    <w:p>
      <w:pPr>
        <w:spacing w:after="0" w:line="214"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Our principal industry is the wholesale distribution of CEA equipment and supplies, which generally include nutrients and fertilizers; grow light systems; horticulture benches and racking systems; heating, ventilation, and air conditioning ("HVAC") systems; humidity and carbon dioxide monitors and controllers; water pumps, heaters, chillers, and filters; and various grow media typically made from soil, peat, rock wool or coconut fiber, among others. Today, we believe that a majority of our products are sold for use in CEA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132080</wp:posOffset>
            </wp:positionV>
            <wp:extent cx="6517640" cy="10521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
                      <a:extLst>
                        <a:ext uri="{28A0092B-C50C-407E-A947-70E740481C1C}"/>
                      </a:extLst>
                    </a:blip>
                    <a:srcRect/>
                    <a:stretch>
                      <a:fillRect/>
                    </a:stretch>
                  </pic:blipFill>
                  <pic:spPr bwMode="auto">
                    <a:xfrm>
                      <a:off x="0" y="0"/>
                      <a:ext cx="6517640" cy="1052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80"/>
        <w:spacing w:after="0" w:line="285" w:lineRule="auto"/>
        <w:rPr>
          <w:sz w:val="20"/>
          <w:szCs w:val="20"/>
          <w:color w:val="auto"/>
        </w:rPr>
      </w:pPr>
      <w:r>
        <w:rPr>
          <w:rFonts w:ascii="Times New Roman" w:cs="Times New Roman" w:eastAsia="Times New Roman" w:hAnsi="Times New Roman"/>
          <w:sz w:val="20"/>
          <w:szCs w:val="20"/>
          <w:i w:val="1"/>
          <w:iCs w:val="1"/>
          <w:color w:val="auto"/>
        </w:rPr>
        <w:t>Pictured: PHOTOBIO MX2 LED, Active Air Commercial Humidifier, SunBlaster LED Grow Light Garden, Active Air Heavy Duty 16" Metal Wall Mount Fan, IGE Grow Racks, House &amp; Garden Bud XL, and Roots Organics Formula 707.</w:t>
      </w:r>
    </w:p>
    <w:p>
      <w:pPr>
        <w:spacing w:after="0" w:line="131" w:lineRule="exact"/>
        <w:rPr>
          <w:sz w:val="20"/>
          <w:szCs w:val="20"/>
          <w:color w:val="auto"/>
        </w:rPr>
      </w:pPr>
    </w:p>
    <w:p>
      <w:pPr>
        <w:jc w:val="both"/>
        <w:ind w:firstLine="720"/>
        <w:spacing w:after="0" w:line="263" w:lineRule="auto"/>
        <w:rPr>
          <w:sz w:val="20"/>
          <w:szCs w:val="20"/>
          <w:color w:val="auto"/>
        </w:rPr>
      </w:pPr>
      <w:r>
        <w:rPr>
          <w:rFonts w:ascii="Times New Roman" w:cs="Times New Roman" w:eastAsia="Times New Roman" w:hAnsi="Times New Roman"/>
          <w:sz w:val="20"/>
          <w:szCs w:val="20"/>
          <w:color w:val="auto"/>
        </w:rPr>
        <w:t>CEA is a component of the global commercial agriculture and consumer gardening sectors. According to industry publications, the global CEA industry was estimated at approximately $96 billion in 2024, and is expected to grow to approximately $507 billion by 2034 representing a CAGR of 18%. The growth of CEA crop output may subsequently drive growth in the wholesale CEA equipment and supplies industry in which we operate.</w:t>
      </w:r>
    </w:p>
    <w:p>
      <w:pPr>
        <w:spacing w:after="0" w:line="152" w:lineRule="exact"/>
        <w:rPr>
          <w:sz w:val="20"/>
          <w:szCs w:val="20"/>
          <w:color w:val="auto"/>
        </w:rPr>
      </w:pPr>
    </w:p>
    <w:p>
      <w:pPr>
        <w:jc w:val="both"/>
        <w:ind w:firstLine="720"/>
        <w:spacing w:after="0" w:line="263" w:lineRule="auto"/>
        <w:rPr>
          <w:sz w:val="20"/>
          <w:szCs w:val="20"/>
          <w:color w:val="auto"/>
        </w:rPr>
      </w:pPr>
      <w:r>
        <w:rPr>
          <w:rFonts w:ascii="Times New Roman" w:cs="Times New Roman" w:eastAsia="Times New Roman" w:hAnsi="Times New Roman"/>
          <w:sz w:val="20"/>
          <w:szCs w:val="20"/>
          <w:color w:val="auto"/>
        </w:rPr>
        <w:t>Expanding populations, limited natural resources and a focus on the environment and the security of our agricultural systems have illuminated the benefits of CEA compared to traditional outdoor agriculture. We believe the adoption of CEA will grow particularly in the commercial agriculture industry, where CEA can be deployed to achieve results that are simultaneously more efficient for the planet and profitable for growers.</w:t>
      </w:r>
    </w:p>
    <w:p>
      <w:pPr>
        <w:spacing w:after="0" w:line="152"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Today, we believe that a majority of the CEA equipment and supplies we sell to our customers is ultimately purchased by participants in the cannabis industry, though we do not sell directly to cannabis growers in the United States. A sustained agricultural oversupply has impacted the cannabis industry, driving cannabis wholesale prices down and resulting in a decrease in indoor and outdoor cultivation, which we believe adversely impacts the market for CEA products. We believe the oversupply was initiated by the market impacts of the COVID-19 pandemic and is now partially the result of increasing cannabis production in additional global markets. In addition, we believe demand for our products has been negatively impacted by the extended period to enact reform of U.S. federal regulations, including cannabis rescheduling, which have been slow to develop and possibly leading cannabis operators to reduce investments in our products, particularly durable goods. In addition, we believe our financial results have been negatively impacted by hydroponic retail store closings and, in some cases, associated accounts receivable allowances.</w:t>
      </w:r>
    </w:p>
    <w:p>
      <w:pPr>
        <w:spacing w:after="0" w:line="165"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Despite these factors negatively impacting the cannabis industry, we believe the potential for growth in the industry exists based on industry publications. We believe this growth in the U.S. cannabis market may be attributable to (i) state initiatives for new adult use and/or medical use programs in additional U.S. states, (ii) expanded access for patients or consumers in existing state medical or adult use cannabis programs, and (iii) increased consumption driven by greater product diversity and choice, reduced stigma, and real and perceived health benefits including pain management, the treatment of neurological and mental conditions, and sleep management. In addition, states with legalized adult use cannabis may offer state governments with additional taxation revenue and state job creation, which may incentivize states to continue broadening the potential market for cannabis products. According to a January 2025 poll by Pew Research Center, approximately 54% of U.S. adults say that cannabis should be legal for recreational and medical use, while an additional 33% say it should be legal for medical use only. Cannabis product availability and breadth includes cannabidiol (CBD) and other cannabis-infused products, including edibles, oils, tinctures, and topical treatments.</w:t>
      </w:r>
    </w:p>
    <w:p>
      <w:pPr>
        <w:spacing w:after="0" w:line="16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Benefits of CEA Adoption</w:t>
      </w:r>
    </w:p>
    <w:p>
      <w:pPr>
        <w:spacing w:after="0" w:line="210" w:lineRule="exact"/>
        <w:rPr>
          <w:sz w:val="20"/>
          <w:szCs w:val="20"/>
          <w:color w:val="auto"/>
        </w:rPr>
      </w:pPr>
    </w:p>
    <w:p>
      <w:pPr>
        <w:jc w:val="both"/>
        <w:ind w:firstLine="720"/>
        <w:spacing w:after="0" w:line="287" w:lineRule="auto"/>
        <w:rPr>
          <w:sz w:val="20"/>
          <w:szCs w:val="20"/>
          <w:color w:val="auto"/>
        </w:rPr>
      </w:pPr>
      <w:r>
        <w:rPr>
          <w:rFonts w:ascii="Times New Roman" w:cs="Times New Roman" w:eastAsia="Times New Roman" w:hAnsi="Times New Roman"/>
          <w:sz w:val="20"/>
          <w:szCs w:val="20"/>
          <w:color w:val="auto"/>
        </w:rPr>
        <w:t>Both the commercial agriculture and cannabis industries are adopting more advanced CEA agricultural technologies in order to enhance the productivity and efficiency of operations. The benefits of CEA include:</w:t>
      </w:r>
    </w:p>
    <w:p>
      <w:pPr>
        <w:spacing w:after="0" w:line="152" w:lineRule="exact"/>
        <w:rPr>
          <w:sz w:val="20"/>
          <w:szCs w:val="20"/>
          <w:color w:val="auto"/>
        </w:rPr>
      </w:pPr>
    </w:p>
    <w:p>
      <w:pPr>
        <w:ind w:left="720" w:hanging="370"/>
        <w:spacing w:after="0"/>
        <w:tabs>
          <w:tab w:leader="none" w:pos="720" w:val="left"/>
        </w:tabs>
        <w:numPr>
          <w:ilvl w:val="0"/>
          <w:numId w:val="5"/>
        </w:numPr>
        <w:rPr>
          <w:rFonts w:ascii="Arial" w:cs="Arial" w:eastAsia="Arial" w:hAnsi="Arial"/>
          <w:sz w:val="24"/>
          <w:szCs w:val="24"/>
          <w:color w:val="auto"/>
        </w:rPr>
      </w:pPr>
      <w:r>
        <w:rPr>
          <w:rFonts w:ascii="Times New Roman" w:cs="Times New Roman" w:eastAsia="Times New Roman" w:hAnsi="Times New Roman"/>
          <w:sz w:val="20"/>
          <w:szCs w:val="20"/>
          <w:color w:val="auto"/>
        </w:rPr>
        <w:t>Greater product safety, quality and consistency;</w:t>
      </w:r>
    </w:p>
    <w:p>
      <w:pPr>
        <w:sectPr>
          <w:pgSz w:w="12240" w:h="15840" w:orient="portrait"/>
          <w:cols w:equalWidth="0" w:num="1">
            <w:col w:w="10260"/>
          </w:cols>
          <w:pgMar w:left="1000" w:top="43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10260"/>
          </w:cols>
          <w:pgMar w:left="1000" w:top="430" w:right="980" w:bottom="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224" w:lineRule="exact"/>
        <w:rPr>
          <w:sz w:val="20"/>
          <w:szCs w:val="20"/>
          <w:color w:val="auto"/>
        </w:rPr>
      </w:pPr>
    </w:p>
    <w:p>
      <w:pPr>
        <w:ind w:left="720" w:hanging="370"/>
        <w:spacing w:after="0"/>
        <w:tabs>
          <w:tab w:leader="none" w:pos="720" w:val="left"/>
        </w:tabs>
        <w:numPr>
          <w:ilvl w:val="0"/>
          <w:numId w:val="6"/>
        </w:numPr>
        <w:rPr>
          <w:rFonts w:ascii="Arial" w:cs="Arial" w:eastAsia="Arial" w:hAnsi="Arial"/>
          <w:sz w:val="24"/>
          <w:szCs w:val="24"/>
          <w:color w:val="auto"/>
        </w:rPr>
      </w:pPr>
      <w:r>
        <w:rPr>
          <w:rFonts w:ascii="Times New Roman" w:cs="Times New Roman" w:eastAsia="Times New Roman" w:hAnsi="Times New Roman"/>
          <w:sz w:val="20"/>
          <w:szCs w:val="20"/>
          <w:color w:val="auto"/>
        </w:rPr>
        <w:t>More reliable, climate-agnostic year-round crop supply from multiple, faster harvests per year as opposed to a single, large harvest with outdoor cultivation;</w:t>
      </w:r>
    </w:p>
    <w:p>
      <w:pPr>
        <w:spacing w:after="0" w:line="197" w:lineRule="exact"/>
        <w:rPr>
          <w:rFonts w:ascii="Arial" w:cs="Arial" w:eastAsia="Arial" w:hAnsi="Arial"/>
          <w:sz w:val="24"/>
          <w:szCs w:val="24"/>
          <w:color w:val="auto"/>
        </w:rPr>
      </w:pPr>
    </w:p>
    <w:p>
      <w:pPr>
        <w:ind w:left="720" w:hanging="370"/>
        <w:spacing w:after="0"/>
        <w:tabs>
          <w:tab w:leader="none" w:pos="720" w:val="left"/>
        </w:tabs>
        <w:numPr>
          <w:ilvl w:val="0"/>
          <w:numId w:val="6"/>
        </w:numPr>
        <w:rPr>
          <w:rFonts w:ascii="Arial" w:cs="Arial" w:eastAsia="Arial" w:hAnsi="Arial"/>
          <w:sz w:val="24"/>
          <w:szCs w:val="24"/>
          <w:color w:val="auto"/>
        </w:rPr>
      </w:pPr>
      <w:r>
        <w:rPr>
          <w:rFonts w:ascii="Times New Roman" w:cs="Times New Roman" w:eastAsia="Times New Roman" w:hAnsi="Times New Roman"/>
          <w:sz w:val="20"/>
          <w:szCs w:val="20"/>
          <w:color w:val="auto"/>
        </w:rPr>
        <w:t>Lower risk of crop loss from pests (and subsequently lower need for pesticides) and plant disease;</w:t>
      </w:r>
    </w:p>
    <w:p>
      <w:pPr>
        <w:spacing w:after="0" w:line="205" w:lineRule="exact"/>
        <w:rPr>
          <w:rFonts w:ascii="Arial" w:cs="Arial" w:eastAsia="Arial" w:hAnsi="Arial"/>
          <w:sz w:val="24"/>
          <w:szCs w:val="24"/>
          <w:color w:val="auto"/>
        </w:rPr>
      </w:pPr>
    </w:p>
    <w:p>
      <w:pPr>
        <w:ind w:left="720" w:hanging="370"/>
        <w:spacing w:after="0"/>
        <w:tabs>
          <w:tab w:leader="none" w:pos="720" w:val="left"/>
        </w:tabs>
        <w:numPr>
          <w:ilvl w:val="0"/>
          <w:numId w:val="6"/>
        </w:numPr>
        <w:rPr>
          <w:rFonts w:ascii="Arial" w:cs="Arial" w:eastAsia="Arial" w:hAnsi="Arial"/>
          <w:sz w:val="24"/>
          <w:szCs w:val="24"/>
          <w:color w:val="auto"/>
        </w:rPr>
      </w:pPr>
      <w:r>
        <w:rPr>
          <w:rFonts w:ascii="Times New Roman" w:cs="Times New Roman" w:eastAsia="Times New Roman" w:hAnsi="Times New Roman"/>
          <w:sz w:val="20"/>
          <w:szCs w:val="20"/>
          <w:color w:val="auto"/>
        </w:rPr>
        <w:t>Lower required water and pesticide use compared to conventional farming, offering incremental benefits in the form of reduced chemical runoff and lower labor requirements; and</w:t>
      </w:r>
    </w:p>
    <w:p>
      <w:pPr>
        <w:spacing w:after="0" w:line="206" w:lineRule="exact"/>
        <w:rPr>
          <w:rFonts w:ascii="Arial" w:cs="Arial" w:eastAsia="Arial" w:hAnsi="Arial"/>
          <w:sz w:val="24"/>
          <w:szCs w:val="24"/>
          <w:color w:val="auto"/>
        </w:rPr>
      </w:pPr>
    </w:p>
    <w:p>
      <w:pPr>
        <w:ind w:left="720" w:hanging="370"/>
        <w:spacing w:after="0"/>
        <w:tabs>
          <w:tab w:leader="none" w:pos="720" w:val="left"/>
        </w:tabs>
        <w:numPr>
          <w:ilvl w:val="0"/>
          <w:numId w:val="6"/>
        </w:numPr>
        <w:rPr>
          <w:rFonts w:ascii="Arial" w:cs="Arial" w:eastAsia="Arial" w:hAnsi="Arial"/>
          <w:sz w:val="24"/>
          <w:szCs w:val="24"/>
          <w:color w:val="auto"/>
        </w:rPr>
      </w:pPr>
      <w:r>
        <w:rPr>
          <w:rFonts w:ascii="Times New Roman" w:cs="Times New Roman" w:eastAsia="Times New Roman" w:hAnsi="Times New Roman"/>
          <w:sz w:val="20"/>
          <w:szCs w:val="20"/>
          <w:color w:val="auto"/>
        </w:rPr>
        <w:t>Potentially lower operating expenses from resource-saving technologies such as high-efficiency LED lights, precision nutrient and water systems and automation.</w:t>
      </w:r>
    </w:p>
    <w:p>
      <w:pPr>
        <w:spacing w:after="0" w:line="174" w:lineRule="exact"/>
        <w:rPr>
          <w:sz w:val="20"/>
          <w:szCs w:val="20"/>
          <w:color w:val="auto"/>
        </w:rPr>
      </w:pPr>
    </w:p>
    <w:p>
      <w:pPr>
        <w:jc w:val="both"/>
        <w:ind w:firstLine="720"/>
        <w:spacing w:after="0" w:line="262" w:lineRule="auto"/>
        <w:rPr>
          <w:sz w:val="20"/>
          <w:szCs w:val="20"/>
          <w:color w:val="auto"/>
        </w:rPr>
      </w:pPr>
      <w:r>
        <w:rPr>
          <w:rFonts w:ascii="Times New Roman" w:cs="Times New Roman" w:eastAsia="Times New Roman" w:hAnsi="Times New Roman"/>
          <w:sz w:val="20"/>
          <w:szCs w:val="20"/>
          <w:color w:val="auto"/>
        </w:rPr>
        <w:t>CEA implementation is driven by the factors listed above as well as increases in fruit and vegetable farming, consumer gardening and the adoption of vertical farming. In the United States and Canada, regulatory oversight and statutory requirements for growers and their products enhance product safety and transparency to consumers, and usually necessitate the use of CEA in cannabis cultivation in order to meet mandated tetrahydrocannabinol (THC) content or impurity tolerances.</w:t>
      </w:r>
    </w:p>
    <w:p>
      <w:pPr>
        <w:spacing w:after="0" w:line="155" w:lineRule="exact"/>
        <w:rPr>
          <w:sz w:val="20"/>
          <w:szCs w:val="20"/>
          <w:color w:val="auto"/>
        </w:rPr>
      </w:pPr>
    </w:p>
    <w:p>
      <w:pPr>
        <w:jc w:val="both"/>
        <w:ind w:firstLine="720"/>
        <w:spacing w:after="0" w:line="269" w:lineRule="auto"/>
        <w:rPr>
          <w:sz w:val="20"/>
          <w:szCs w:val="20"/>
          <w:color w:val="auto"/>
        </w:rPr>
      </w:pPr>
      <w:r>
        <w:rPr>
          <w:rFonts w:ascii="Times New Roman" w:cs="Times New Roman" w:eastAsia="Times New Roman" w:hAnsi="Times New Roman"/>
          <w:sz w:val="20"/>
          <w:szCs w:val="20"/>
          <w:color w:val="auto"/>
        </w:rPr>
        <w:t>We believe certain of our CEA end-markets support environmental, social and governance ("ESG") trends as they may preserve resources, enhance the transparency and safety of our food supply chains, and deliver superior performance characteristics versus traditional agriculture.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Strategies and Competitive Strengths</w:t>
      </w:r>
    </w:p>
    <w:p>
      <w:pPr>
        <w:spacing w:after="0" w:line="21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Leading Market Position in our Industry</w:t>
      </w:r>
    </w:p>
    <w:p>
      <w:pPr>
        <w:spacing w:after="0" w:line="209" w:lineRule="exact"/>
        <w:rPr>
          <w:sz w:val="20"/>
          <w:szCs w:val="20"/>
          <w:color w:val="auto"/>
        </w:rPr>
      </w:pPr>
    </w:p>
    <w:p>
      <w:pPr>
        <w:jc w:val="both"/>
        <w:ind w:firstLine="720"/>
        <w:spacing w:after="0" w:line="269" w:lineRule="auto"/>
        <w:rPr>
          <w:sz w:val="20"/>
          <w:szCs w:val="20"/>
          <w:color w:val="auto"/>
        </w:rPr>
      </w:pPr>
      <w:r>
        <w:rPr>
          <w:rFonts w:ascii="Times New Roman" w:cs="Times New Roman" w:eastAsia="Times New Roman" w:hAnsi="Times New Roman"/>
          <w:sz w:val="20"/>
          <w:szCs w:val="20"/>
          <w:color w:val="auto"/>
        </w:rPr>
        <w:t>We are a leading independent manufacturer and distributor of CEA equipment and supplies in the United States and Canada. Over the course of our long operating history, we have developed product and market expertise that we believe has made us a leader in our industry.</w:t>
      </w:r>
    </w:p>
    <w:p>
      <w:pPr>
        <w:spacing w:after="0" w:line="14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Broad Portfolio with Innovative Proprietary Offerings and Recurring Consumables Sales</w:t>
      </w:r>
    </w:p>
    <w:p>
      <w:pPr>
        <w:spacing w:after="0" w:line="210"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We have a large durable and consumable product offering, including lighting solutions, grow media, nutrients, equipment and supplies. We offer everything growers need to ensure their operations are maximizing efficiency, output and quality. We maintain an extensive portfolio of products which includes approximately 33 proprietary brands across thousands of stock keeping units ("SKUs") as well as approximately 40 distributed brands. Fifty-six percent of our 2025 revenue relates to sales of our proprietary brands, which generally provide for higher gross profit margins compared to distributed brands and a competitive advantage as we offer products that cannot be purchased elsewhere. We estimate that approximately three-quarters of our net sales are generated from consumable products that may be subject to recurring revenue, including grow media, nutrients and supplies.</w:t>
      </w:r>
    </w:p>
    <w:p>
      <w:pPr>
        <w:spacing w:after="0" w:line="164"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color w:val="auto"/>
        </w:rPr>
        <w:t>We sell proprietary and distributed brands across all of our product categories. We selectively add new products when the brand or technology provides us with a more comprehensive assortment to satisfy our customers' needs.</w:t>
      </w:r>
    </w:p>
    <w:p>
      <w:pPr>
        <w:spacing w:after="0" w:line="12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Manufacturing Capabilities</w:t>
      </w:r>
    </w:p>
    <w:p>
      <w:pPr>
        <w:spacing w:after="0" w:line="210" w:lineRule="exact"/>
        <w:rPr>
          <w:sz w:val="20"/>
          <w:szCs w:val="20"/>
          <w:color w:val="auto"/>
        </w:rPr>
      </w:pPr>
    </w:p>
    <w:p>
      <w:pPr>
        <w:jc w:val="both"/>
        <w:ind w:right="20" w:firstLine="720"/>
        <w:spacing w:after="0" w:line="268" w:lineRule="auto"/>
        <w:rPr>
          <w:sz w:val="20"/>
          <w:szCs w:val="20"/>
          <w:color w:val="auto"/>
        </w:rPr>
      </w:pPr>
      <w:r>
        <w:rPr>
          <w:rFonts w:ascii="Times New Roman" w:cs="Times New Roman" w:eastAsia="Times New Roman" w:hAnsi="Times New Roman"/>
          <w:sz w:val="20"/>
          <w:szCs w:val="20"/>
          <w:color w:val="auto"/>
        </w:rPr>
        <w:t>We currently operate two manufacturing facilities in North America which include organic certified and synthetic liquid and dry nutrient blending and bottling, organic certified soil blending and bagging, perlite production, and peat harvesting and baling. Our peat harvesting operation provides useful products for improving grow media and organic farming.</w:t>
      </w:r>
    </w:p>
    <w:p>
      <w:pPr>
        <w:spacing w:after="0" w:line="14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Supplier Relationships and Geographic Footprint</w:t>
      </w:r>
    </w:p>
    <w:p>
      <w:pPr>
        <w:spacing w:after="0" w:line="210" w:lineRule="exact"/>
        <w:rPr>
          <w:sz w:val="20"/>
          <w:szCs w:val="20"/>
          <w:color w:val="auto"/>
        </w:rPr>
      </w:pPr>
    </w:p>
    <w:p>
      <w:pPr>
        <w:jc w:val="both"/>
        <w:ind w:firstLine="720"/>
        <w:spacing w:after="0" w:line="263" w:lineRule="auto"/>
        <w:rPr>
          <w:sz w:val="20"/>
          <w:szCs w:val="20"/>
          <w:color w:val="auto"/>
        </w:rPr>
      </w:pPr>
      <w:r>
        <w:rPr>
          <w:rFonts w:ascii="Times New Roman" w:cs="Times New Roman" w:eastAsia="Times New Roman" w:hAnsi="Times New Roman"/>
          <w:sz w:val="20"/>
          <w:szCs w:val="20"/>
          <w:color w:val="auto"/>
        </w:rPr>
        <w:t>We have developed distribution relationships with a network of suppliers, giving us access to a best-in-class diverse product portfolio and allowing us to provide a full range of CEA solutions to our customers. We maintain a broad geographic footprint to efficiently serve our customers in North America. We also operate a distribution center in Zaragoza, Spain, and we are focusing on expanding our international sales.</w:t>
      </w:r>
    </w:p>
    <w:p>
      <w:pPr>
        <w:spacing w:after="0" w:line="15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Solution Based Approach to Serve Our Customers</w:t>
      </w:r>
    </w:p>
    <w:p>
      <w:pPr>
        <w:spacing w:after="0" w:line="209" w:lineRule="exact"/>
        <w:rPr>
          <w:sz w:val="20"/>
          <w:szCs w:val="20"/>
          <w:color w:val="auto"/>
        </w:rPr>
      </w:pPr>
    </w:p>
    <w:p>
      <w:pPr>
        <w:jc w:val="both"/>
        <w:ind w:firstLine="720"/>
        <w:spacing w:after="0" w:line="269" w:lineRule="auto"/>
        <w:rPr>
          <w:sz w:val="20"/>
          <w:szCs w:val="20"/>
          <w:color w:val="auto"/>
        </w:rPr>
      </w:pPr>
      <w:r>
        <w:rPr>
          <w:rFonts w:ascii="Times New Roman" w:cs="Times New Roman" w:eastAsia="Times New Roman" w:hAnsi="Times New Roman"/>
          <w:sz w:val="20"/>
          <w:szCs w:val="20"/>
          <w:color w:val="auto"/>
        </w:rPr>
        <w:t>We currently maintain long-standing relationships with a diversified range of specialty hydroponic retailers, commercial resellers and greenhouse builders, garden centers, hardware stores, and e-commerce retailers. We serve over 1,800 wholesale customer accounts across multiple channels in North America, providing customers with the capability to purchase</w:t>
      </w:r>
    </w:p>
    <w:p>
      <w:pPr>
        <w:sectPr>
          <w:pgSz w:w="12240" w:h="15840" w:orient="portrait"/>
          <w:cols w:equalWidth="0" w:num="1">
            <w:col w:w="10260"/>
          </w:cols>
          <w:pgMar w:left="1000" w:top="430" w:right="980" w:bottom="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10260"/>
          </w:cols>
          <w:pgMar w:left="1000" w:top="430" w:right="980" w:bottom="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9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color w:val="auto"/>
        </w:rPr>
        <w:t>their entire product range from us. We leverage a seasoned sales team and our internal product category experts to provide industry insights, product capabilities and customer support.</w:t>
      </w:r>
    </w:p>
    <w:p>
      <w:pPr>
        <w:spacing w:after="0" w:line="12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Expanding our Offerings within CEA Food and Floral Markets and Garden Centers</w:t>
      </w:r>
    </w:p>
    <w:p>
      <w:pPr>
        <w:spacing w:after="0" w:line="209"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CEA offers a more sustainable and secure alternative to traditional outdoor agriculture, allowing food to be grown closer to where it is ultimately consumed, thereby reducing supply chain-related risks and food waste. Additionally, we believe consumer gardening can be an important driver of future CEA growth, as many U.S. households participate in lawn and gardening activities today. Our sales team is organized to focus on the CEA food and floral market, and consumer gardening markets, where we are well suited to expand our business.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Productivity and Cost Saving Initiatives</w:t>
      </w:r>
    </w:p>
    <w:p>
      <w:pPr>
        <w:spacing w:after="0" w:line="210"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While maintaining our dedication to customer service and on-time delivery, we are focused on reducing costs and improving productivity within our organization. Our cost-reduction and restructuring initiatives have included implementing operational changes, consolidating our facility footprint, integrating our business into one operating segment, reducing headcount, and focusing on our proprietary brand offerings. We have executed on our previously announced restructuring plans to improve efficiency and reduce costs. In addition, to improve our liquidity position we are negotiating with lenders and key vendors, and are pursuing additional financing or strategic alternatives including the sale of assets or businesses, or through an offering of equity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Regulation</w:t>
      </w:r>
    </w:p>
    <w:p>
      <w:pPr>
        <w:spacing w:after="0" w:line="214"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For U.S.-based operations, there is no national regulatory body providing oversight of our portfolio of products. A substantial number of our products in our grow media and nutrients product lines are subject to U.S. state specific registration requirements. Organic listed products are audited in the U.S. by the California Department of Food and Agriculture and/or the Organic Materials Review Institute. Finished goods and ingredients labeled as pesticides are regulated by federal and state offices of the Environmental Protection Agency (the "EPA"). Canada-based operations and product lines are regulated under the Canadian Food Inspection Agency and some organic certified products are audited and attested to by EcoCert and/or the Organic Materials Review Institute. Our peat harvesting operations are regulated by provincial and municipal bodies, including Alberta Environment and Parks regulations.</w:t>
      </w:r>
    </w:p>
    <w:p>
      <w:pPr>
        <w:spacing w:after="0" w:line="1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Grow Media and Nutrients</w:t>
      </w:r>
    </w:p>
    <w:p>
      <w:pPr>
        <w:spacing w:after="0" w:line="209" w:lineRule="exact"/>
        <w:rPr>
          <w:sz w:val="20"/>
          <w:szCs w:val="20"/>
          <w:color w:val="auto"/>
        </w:rPr>
      </w:pPr>
    </w:p>
    <w:p>
      <w:pPr>
        <w:jc w:val="both"/>
        <w:ind w:firstLine="720"/>
        <w:spacing w:after="0" w:line="263" w:lineRule="auto"/>
        <w:rPr>
          <w:sz w:val="20"/>
          <w:szCs w:val="20"/>
          <w:color w:val="auto"/>
        </w:rPr>
      </w:pPr>
      <w:r>
        <w:rPr>
          <w:rFonts w:ascii="Times New Roman" w:cs="Times New Roman" w:eastAsia="Times New Roman" w:hAnsi="Times New Roman"/>
          <w:sz w:val="20"/>
          <w:szCs w:val="20"/>
          <w:color w:val="auto"/>
        </w:rPr>
        <w:t>Grow media and nutrients products include organic listed soils, soils without organic listings, and both organic listed and synthetic nutrients that contain ingredients requiring supplier registration with certain regulators. The use and disposal of these products in some jurisdictions are subject to regulation by various agencies. A decision by a regulatory agency to significantly restrict the use of these products can limit our ability to sell these products.</w:t>
      </w:r>
    </w:p>
    <w:p>
      <w:pPr>
        <w:spacing w:after="0" w:line="152"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International, federal, state, provincial and local laws and regulations relating to environmental, health and safety matters affect us in several ways in light of the ingredients that are used in grow media and nutrient products. In the United States, products containing pesticides generally must be registered with the EPA and similar state agencies before they can be sold or applied. The failure by one of our partners to obtain, or the cancellation of any such registration, or the withdrawal from the marketplace of such pesticides, could have an adverse effect on our Company, the severity of which would depend on the products involved, whether other products could be substituted and whether our competitors were similarly affected, and whether pesticide claims or sales may be made by distributors of any Hydrofarm products which are not actively registered as such. The pesticides we use are either granted a license by the EPA and similar state agencies or exempt from such a license and may be evaluated by the EPA as part of its ongoing exposure risk assessment. The EPA may decide that a pesticide we distribute will be limited or will not be re-registered for use in the United States. We cannot predict the outcome or the severity of the effect on our business of any future evaluations, if any, conducted by the EPA.</w:t>
      </w:r>
    </w:p>
    <w:p>
      <w:pPr>
        <w:spacing w:after="0" w:line="163"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In addition, the use of certain pesticide products is regulated by various international, federal, state, provincial and local environmental and public health agencies. Although we strive to comply with such laws and regulations and have processes in place designed to achieve compliance, we may be unable to prevent violations of these or other laws and regulations from occurring. Even if we are able to comply with all such laws and regulations and obtain all necessary registrations and licenses, the pesticides or other products we apply or use, or the manner in which we apply or use them, could be effected by changing regulations or changing interpretations of the regulations, could be alleged to cause injury to the environment, to people or to animals, or such products could be banned in certain circumstances.</w:t>
      </w:r>
    </w:p>
    <w:p>
      <w:pPr>
        <w:sectPr>
          <w:pgSz w:w="12240" w:h="15840" w:orient="portrait"/>
          <w:cols w:equalWidth="0" w:num="1">
            <w:col w:w="10260"/>
          </w:cols>
          <w:pgMar w:left="1000" w:top="43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10260"/>
          </w:cols>
          <w:pgMar w:left="1000" w:top="430" w:right="980" w:bottom="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Cannabis Industry</w:t>
      </w:r>
    </w:p>
    <w:p>
      <w:pPr>
        <w:spacing w:after="0" w:line="210"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We sell our products through third-party retailers and resellers and not directly to cannabis growers in countries that prohibit the sale and use of cannabis, including the United States. Nonetheless, it is evident to us that the legalization of cannabis in many U.S. states and Canada has historically had a significant, positive impact on our industry. Accordingly, laws and regulations governing the cultivation and sale of cannabis and related products have an indirect effect on our business. Legislation and regulations pertaining to the use and growth of cannabis are enacted on both the state and federal government level within the United States. The federal and state laws and regulations governing the growth and use of cannabis are subject to change. New laws and regulations pertaining to the use or cultivation of cannabis and enforcement actions by state and federal authorities concerning the cultivation or use of cannabis could indirectly reduce demand for our products, and may impact our current and planned future operations.</w:t>
      </w:r>
    </w:p>
    <w:p>
      <w:pPr>
        <w:spacing w:after="0" w:line="160"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In the United States, individual state laws regarding the cultivation, possession, and use of cannabis for adult and medical uses conflict with federal laws prohibiting the cultivation, possession and use of cannabis for any purpose. A number of states have passed legislation legalizing or decriminalizing cannabis for adult use, other states have enacted legislation specifically permitting the cultivation and use of cannabis for medicinal purposes, and several states have enacted legislation permitting cannabis cultivation and use for both adult and medicinal purposes.</w:t>
      </w:r>
    </w:p>
    <w:p>
      <w:pPr>
        <w:spacing w:after="0" w:line="155" w:lineRule="exact"/>
        <w:rPr>
          <w:sz w:val="20"/>
          <w:szCs w:val="20"/>
          <w:color w:val="auto"/>
        </w:rPr>
      </w:pPr>
    </w:p>
    <w:p>
      <w:pPr>
        <w:jc w:val="both"/>
        <w:ind w:firstLine="720"/>
        <w:spacing w:after="0" w:line="269" w:lineRule="auto"/>
        <w:rPr>
          <w:sz w:val="20"/>
          <w:szCs w:val="20"/>
          <w:color w:val="auto"/>
        </w:rPr>
      </w:pPr>
      <w:r>
        <w:rPr>
          <w:rFonts w:ascii="Times New Roman" w:cs="Times New Roman" w:eastAsia="Times New Roman" w:hAnsi="Times New Roman"/>
          <w:sz w:val="20"/>
          <w:szCs w:val="20"/>
          <w:color w:val="auto"/>
        </w:rPr>
        <w:t>Certain of our products may be purchased for use in new and emerging industries and/or be subject to varying, inconsistent, and rapidly changing laws, regulations, administrative practices, enforcement approaches, judicial interpretations, future scientific research and public perception.</w:t>
      </w:r>
    </w:p>
    <w:p>
      <w:pPr>
        <w:spacing w:after="0" w:line="147"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We sell products, including hydroponic gardening products, through third-party retailers and resellers. End users may purchase these products for use in new and emerging industries, including the growing of cannabis, that may not grow or achieve market acceptance in a manner that we can predict. The demand for these products is dependent on the growth of these industries, which is uncertain, as well as the laws governing the growth, possession, and use of cannabis by adults for both adult and medical use.</w:t>
      </w:r>
    </w:p>
    <w:p>
      <w:pPr>
        <w:spacing w:after="0" w:line="158"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Laws and regulations affecting the U.S. cannabis industry are continually changing, which could detrimentally affect our growth, revenues, results of operations and success generally. Local, state and federal cannabis laws and regulations are broad in scope and subject to evolving interpretations, which could require the end users of certain of our products or us to incur substantial costs associated with compliance or to alter our respective business plans. In addition, violations of these laws, or allegations of such violations, could disrupt our business and result in a material adverse effect on our results of operations and financial condition.</w:t>
      </w:r>
    </w:p>
    <w:p>
      <w:pPr>
        <w:spacing w:after="0" w:line="157"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The public’s perception of cannabis may significantly impact the cannabis industry’s success. Both the medical and adult use of cannabis are controversial topics, and there is no guarantee that future scientific research, publicity, regulations, medical opinion, and public opinion relating to cannabis will be favorable. The cannabis industry is an early-stage business that is constantly evolving with no guarantee of viability. The market for medical and adult use of cannabis is uncertain, and any adverse or negative publicity, scientific research, limiting regulations, medical opinion and public opinion (whether or not accurate or with merit) relating to the consumption of cannabis, whether in the United States or internationally, may have a material adverse effect on our operational results, consumer base, and financial results. Among other things, such a shift in public opinion could cause state jurisdictions to abandon initiatives or proposals to legalize medical or adult cannabis or adopt new laws or regulations restricting or prohibiting the medical or adult use of cannabis where it is now legal, thereby limiting the potential customers and end-users of our products who are engaged in the cannabis industry (collectively "Cannabis Industry Participants").</w:t>
      </w:r>
    </w:p>
    <w:p>
      <w:pPr>
        <w:spacing w:after="0" w:line="163" w:lineRule="exact"/>
        <w:rPr>
          <w:sz w:val="20"/>
          <w:szCs w:val="20"/>
          <w:color w:val="auto"/>
        </w:rPr>
      </w:pPr>
    </w:p>
    <w:p>
      <w:pPr>
        <w:jc w:val="both"/>
        <w:ind w:firstLine="720"/>
        <w:spacing w:after="0" w:line="268" w:lineRule="auto"/>
        <w:rPr>
          <w:sz w:val="20"/>
          <w:szCs w:val="20"/>
          <w:color w:val="auto"/>
        </w:rPr>
      </w:pPr>
      <w:r>
        <w:rPr>
          <w:rFonts w:ascii="Times New Roman" w:cs="Times New Roman" w:eastAsia="Times New Roman" w:hAnsi="Times New Roman"/>
          <w:sz w:val="20"/>
          <w:szCs w:val="20"/>
          <w:color w:val="auto"/>
        </w:rPr>
        <w:t>Demand for our products may be negatively impacted depending on how laws, regulations, administrative practices, enforcement approaches, judicial interpretations, and consumer perceptions develop. We cannot predict the nature of such developments or the effect, if any, that such developments could have on our business.</w:t>
      </w:r>
    </w:p>
    <w:p>
      <w:pPr>
        <w:spacing w:after="0" w:line="149" w:lineRule="exact"/>
        <w:rPr>
          <w:sz w:val="20"/>
          <w:szCs w:val="20"/>
          <w:color w:val="auto"/>
        </w:rPr>
      </w:pPr>
    </w:p>
    <w:p>
      <w:pPr>
        <w:jc w:val="both"/>
        <w:ind w:firstLine="720"/>
        <w:spacing w:after="0" w:line="269" w:lineRule="auto"/>
        <w:rPr>
          <w:sz w:val="20"/>
          <w:szCs w:val="20"/>
          <w:color w:val="auto"/>
        </w:rPr>
      </w:pPr>
      <w:r>
        <w:rPr>
          <w:rFonts w:ascii="Times New Roman" w:cs="Times New Roman" w:eastAsia="Times New Roman" w:hAnsi="Times New Roman"/>
          <w:sz w:val="20"/>
          <w:szCs w:val="20"/>
          <w:color w:val="auto"/>
        </w:rPr>
        <w:t>We are subject to a number of risks, directly and indirectly through our Cannabis Industry Participants, because cannabis is illegal under United States federal law. Federal law and enforcement may adversely affect the implementation of medical cannabis and/or adult use cannabis laws, and may negatively impact our revenues and profits.</w:t>
      </w:r>
    </w:p>
    <w:p>
      <w:pPr>
        <w:spacing w:after="0" w:line="147"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 xml:space="preserve">Under the U.S. Controlled Substances Act of 1970 (the "CSA"), the U.S. government currently lists cannabis as a Schedule I controlled substance (i.e., deemed to have no medical value), and accordingly the manufacturing (cultivation), sale, or possession of cannabis is federally illegal. It is also federally illegal to advertise the sale of cannabis or to sell paraphernalia designed or intended primarily for use with cannabis, unless the paraphernalia is authorized by federal, state, or local law. The U.S. Supreme Court ruled in </w:t>
      </w:r>
      <w:r>
        <w:rPr>
          <w:rFonts w:ascii="Times New Roman" w:cs="Times New Roman" w:eastAsia="Times New Roman" w:hAnsi="Times New Roman"/>
          <w:sz w:val="20"/>
          <w:szCs w:val="20"/>
          <w:i w:val="1"/>
          <w:iCs w:val="1"/>
          <w:color w:val="auto"/>
        </w:rPr>
        <w:t>United States v. Oakland Cannabis Buyers’ Cooperative,</w:t>
      </w:r>
      <w:r>
        <w:rPr>
          <w:rFonts w:ascii="Times New Roman" w:cs="Times New Roman" w:eastAsia="Times New Roman" w:hAnsi="Times New Roman"/>
          <w:sz w:val="20"/>
          <w:szCs w:val="20"/>
          <w:color w:val="auto"/>
        </w:rPr>
        <w:t xml:space="preserve"> 532 U.S. 483 (2001)</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Gonzales v.</w:t>
      </w:r>
    </w:p>
    <w:p>
      <w:pPr>
        <w:sectPr>
          <w:pgSz w:w="12240" w:h="15840" w:orient="portrait"/>
          <w:cols w:equalWidth="0" w:num="1">
            <w:col w:w="10260"/>
          </w:cols>
          <w:pgMar w:left="1000" w:top="430" w:right="980" w:bottom="0" w:gutter="0" w:footer="0" w:header="0"/>
        </w:sectPr>
      </w:pPr>
    </w:p>
    <w:p>
      <w:pPr>
        <w:spacing w:after="0" w:line="38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10260"/>
          </w:cols>
          <w:pgMar w:left="1000" w:top="430" w:right="980" w:bottom="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9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i w:val="1"/>
          <w:iCs w:val="1"/>
          <w:color w:val="auto"/>
        </w:rPr>
        <w:t>Raich</w:t>
      </w:r>
      <w:r>
        <w:rPr>
          <w:rFonts w:ascii="Times New Roman" w:cs="Times New Roman" w:eastAsia="Times New Roman" w:hAnsi="Times New Roman"/>
          <w:sz w:val="20"/>
          <w:szCs w:val="20"/>
          <w:color w:val="auto"/>
        </w:rPr>
        <w:t>, 545 U.S. 1 (2005) that the federal government has the right to regulate and criminalize cannabis, even for medical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purposes. The illegality of cannabis under federal law preempts state laws that legalize or decriminalize its use. Therefore, strict enforcement of federal law regarding cannabis would likely adversely affect our revenues and results of operations.</w:t>
      </w:r>
    </w:p>
    <w:p>
      <w:pPr>
        <w:spacing w:after="0" w:line="14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Other laws that directly impact Cannabis Industry Participants include:</w:t>
      </w:r>
    </w:p>
    <w:p>
      <w:pPr>
        <w:spacing w:after="0" w:line="209" w:lineRule="exact"/>
        <w:rPr>
          <w:sz w:val="20"/>
          <w:szCs w:val="20"/>
          <w:color w:val="auto"/>
        </w:rPr>
      </w:pPr>
    </w:p>
    <w:p>
      <w:pPr>
        <w:jc w:val="both"/>
        <w:ind w:left="1440" w:hanging="370"/>
        <w:spacing w:after="0" w:line="256" w:lineRule="auto"/>
        <w:tabs>
          <w:tab w:leader="none" w:pos="14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Businesses trafficking in cannabis may not take tax deductions for costs beyond costs of goods sold under Internal Revenue Code Section 280E. There is no way to predict how the federal government may treat cannabis businesses from a taxation standpoint in the future, and no assurance can be given to what extent Internal Revenue Code Section 280E, or other tax-related laws and regulations, may be applied to cannabis businesses in the future. Though we are not directly affected by Internal Revenue Code Section 280E, as we are not a cannabis business, modifications or a repeal could provide a favorable impact to end users of our products.</w:t>
      </w:r>
    </w:p>
    <w:p>
      <w:pPr>
        <w:spacing w:after="0" w:line="163" w:lineRule="exact"/>
        <w:rPr>
          <w:rFonts w:ascii="Times New Roman" w:cs="Times New Roman" w:eastAsia="Times New Roman" w:hAnsi="Times New Roman"/>
          <w:sz w:val="20"/>
          <w:szCs w:val="20"/>
          <w:color w:val="auto"/>
        </w:rPr>
      </w:pPr>
    </w:p>
    <w:p>
      <w:pPr>
        <w:jc w:val="both"/>
        <w:ind w:left="1440" w:hanging="370"/>
        <w:spacing w:after="0" w:line="255" w:lineRule="auto"/>
        <w:tabs>
          <w:tab w:leader="none" w:pos="14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Because the manufacturing (cultivation), sale, possession and use of cannabis is illegal under federal law, cannabis businesses may have restricted intellectual property rights, particularly with respect to obtaining and enforcing patents and trademarks. Our inability to register, or maintain, our trademarks or file for or enforce patents on any of our inventions could materially affect our ability to protect our name, brand and proprietary technologies. In addition, cannabis businesses may face court action by third parties under the Racketeer Influenced and Corrupt Organizations Act ("RICO"). Our intellectual property rights could be impaired as a result of our retailers’ and resellers’ involvement with cannabis business, and we could be named as a defendant in an action asserting a RICO violation.</w:t>
      </w:r>
    </w:p>
    <w:p>
      <w:pPr>
        <w:spacing w:after="0" w:line="165" w:lineRule="exact"/>
        <w:rPr>
          <w:rFonts w:ascii="Times New Roman" w:cs="Times New Roman" w:eastAsia="Times New Roman" w:hAnsi="Times New Roman"/>
          <w:sz w:val="20"/>
          <w:szCs w:val="20"/>
          <w:color w:val="auto"/>
        </w:rPr>
      </w:pPr>
    </w:p>
    <w:p>
      <w:pPr>
        <w:jc w:val="both"/>
        <w:ind w:left="1440" w:hanging="370"/>
        <w:spacing w:after="0" w:line="255" w:lineRule="auto"/>
        <w:tabs>
          <w:tab w:leader="none" w:pos="14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Similar to the risks relating to intellectual property rights, there is an argument that the federal bankruptcy courts cannot provide relief for parties who engage in the cannabis business. Recent bankruptcy rulings have denied bankruptcies for cannabis dispensaries upon the justification that businesses cannot violate federal law and then claim the benefits of federal bankruptcy for the same activity and upon the justification that courts cannot ask a bankruptcy trustee to take possession of, and distribute cannabis assets as such action would violate the CSA. Therefore, due to our retailers’ and resellers’ involvement with cannabis businesses, we may not be able to seek the protection of the bankruptcy courts and this could materially affect our financial performance and/or our ability to obtain or maintain credit.</w:t>
      </w:r>
    </w:p>
    <w:p>
      <w:pPr>
        <w:spacing w:after="0" w:line="164" w:lineRule="exact"/>
        <w:rPr>
          <w:rFonts w:ascii="Times New Roman" w:cs="Times New Roman" w:eastAsia="Times New Roman" w:hAnsi="Times New Roman"/>
          <w:sz w:val="20"/>
          <w:szCs w:val="20"/>
          <w:color w:val="auto"/>
        </w:rPr>
      </w:pPr>
    </w:p>
    <w:p>
      <w:pPr>
        <w:jc w:val="both"/>
        <w:ind w:left="1440" w:hanging="370"/>
        <w:spacing w:after="0" w:line="255" w:lineRule="auto"/>
        <w:tabs>
          <w:tab w:leader="none" w:pos="14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cannabis is illegal under federal law, there is a strong argument that banks cannot accept deposit funds from businesses involved in the cannabis industry. Consequently, businesses involved in the cannabis industry often have difficulty finding a bank willing to accept their business. Any such inability to open or maintain bank accounts may make it difficult for us to operate our business. Under the Bank Secrecy Act ("BSA"), banks must report to the federal government any suspected illegal activity, which includes any transaction associated with a cannabis business. These reports must be filed even though the business is operating legitimately under state law. In addition, due to our retailers’ and resellers’ involvement with cannabis businesses, our existing bank accounts could be closed.</w:t>
      </w:r>
    </w:p>
    <w:p>
      <w:pPr>
        <w:spacing w:after="0" w:line="165" w:lineRule="exact"/>
        <w:rPr>
          <w:rFonts w:ascii="Times New Roman" w:cs="Times New Roman" w:eastAsia="Times New Roman" w:hAnsi="Times New Roman"/>
          <w:sz w:val="20"/>
          <w:szCs w:val="20"/>
          <w:color w:val="auto"/>
        </w:rPr>
      </w:pPr>
    </w:p>
    <w:p>
      <w:pPr>
        <w:jc w:val="both"/>
        <w:ind w:left="1440" w:hanging="370"/>
        <w:spacing w:after="0" w:line="269" w:lineRule="auto"/>
        <w:tabs>
          <w:tab w:leader="none" w:pos="14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Insurance that is otherwise readily available, such as general liability and directors and officer’s insurance, may be more difficult for us to find, and more expensive, to the extent we are deemed to operate in the cannabis industry.</w:t>
      </w:r>
    </w:p>
    <w:p>
      <w:pPr>
        <w:spacing w:after="0" w:line="147" w:lineRule="exact"/>
        <w:rPr>
          <w:sz w:val="20"/>
          <w:szCs w:val="20"/>
          <w:color w:val="auto"/>
        </w:rPr>
      </w:pPr>
    </w:p>
    <w:p>
      <w:pPr>
        <w:jc w:val="both"/>
        <w:ind w:firstLine="720"/>
        <w:spacing w:after="0" w:line="268" w:lineRule="auto"/>
        <w:rPr>
          <w:sz w:val="20"/>
          <w:szCs w:val="20"/>
          <w:color w:val="auto"/>
        </w:rPr>
      </w:pPr>
      <w:r>
        <w:rPr>
          <w:rFonts w:ascii="Times New Roman" w:cs="Times New Roman" w:eastAsia="Times New Roman" w:hAnsi="Times New Roman"/>
          <w:sz w:val="20"/>
          <w:szCs w:val="20"/>
          <w:color w:val="auto"/>
        </w:rPr>
        <w:t>Any presidential administration, current or future, could change federal enforcement policy or execution and decide to enforce the federal cannabis laws more strongly. Recent administrations have disagreed on how strongly to enforce federal cannabis laws. Certain laws and regulations affecting the U.S. cannabis industry include the following:</w:t>
      </w:r>
    </w:p>
    <w:p>
      <w:pPr>
        <w:spacing w:after="0" w:line="149" w:lineRule="exact"/>
        <w:rPr>
          <w:sz w:val="20"/>
          <w:szCs w:val="20"/>
          <w:color w:val="auto"/>
        </w:rPr>
      </w:pPr>
    </w:p>
    <w:p>
      <w:pPr>
        <w:jc w:val="both"/>
        <w:ind w:left="1440" w:hanging="370"/>
        <w:spacing w:after="0" w:line="256" w:lineRule="auto"/>
        <w:tabs>
          <w:tab w:leader="none" w:pos="14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August 29, 2013, the U.S. Department of Justice (the "DOJ") under the Obama administration issued a memorandum (the "Cole Memorandum"), characterizing strict enforcement as an inefficient use of federal investigative and prosecutorial resources. The Cole Memorandum provided guidance to all federal prosecutors and indicated that federal enforcement of the CSA against cannabis-related conduct should be focused on specific priorities, including cannabis distribution to minors, violence in connection with cannabis distribution, cannabis cultivation on federal property, and collection of cannabis-derived revenue by criminal enterprises, gangs and cartels.</w:t>
      </w:r>
    </w:p>
    <w:p>
      <w:pPr>
        <w:spacing w:after="0" w:line="163" w:lineRule="exact"/>
        <w:rPr>
          <w:rFonts w:ascii="Times New Roman" w:cs="Times New Roman" w:eastAsia="Times New Roman" w:hAnsi="Times New Roman"/>
          <w:sz w:val="20"/>
          <w:szCs w:val="20"/>
          <w:color w:val="auto"/>
        </w:rPr>
      </w:pPr>
    </w:p>
    <w:p>
      <w:pPr>
        <w:jc w:val="both"/>
        <w:ind w:left="1440" w:hanging="370"/>
        <w:spacing w:after="0" w:line="269" w:lineRule="auto"/>
        <w:tabs>
          <w:tab w:leader="none" w:pos="14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January 4, 2018, the DOJ under the Trump administration issued a memorandum (the "Sessions Memorandum"), which effectively rescinded the Cole Memorandum and directed federal prosecutors to enforce the CSA and to follow well-established principles when pursuing prosecutions related to cannabis</w:t>
      </w:r>
    </w:p>
    <w:p>
      <w:pPr>
        <w:sectPr>
          <w:pgSz w:w="12240" w:h="15840" w:orient="portrait"/>
          <w:cols w:equalWidth="0" w:num="1">
            <w:col w:w="10260"/>
          </w:cols>
          <w:pgMar w:left="1000" w:top="430" w:right="980" w:bottom="0" w:gutter="0" w:footer="0" w:header="0"/>
        </w:sectPr>
      </w:pPr>
    </w:p>
    <w:p>
      <w:pPr>
        <w:spacing w:after="0" w:line="38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10260"/>
          </w:cols>
          <w:pgMar w:left="1000" w:top="430" w:right="980" w:bottom="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91" w:lineRule="exact"/>
        <w:rPr>
          <w:sz w:val="20"/>
          <w:szCs w:val="20"/>
          <w:color w:val="auto"/>
        </w:rPr>
      </w:pPr>
    </w:p>
    <w:p>
      <w:pPr>
        <w:ind w:left="1440" w:right="20"/>
        <w:spacing w:after="0" w:line="288" w:lineRule="auto"/>
        <w:rPr>
          <w:sz w:val="20"/>
          <w:szCs w:val="20"/>
          <w:color w:val="auto"/>
        </w:rPr>
      </w:pPr>
      <w:r>
        <w:rPr>
          <w:rFonts w:ascii="Times New Roman" w:cs="Times New Roman" w:eastAsia="Times New Roman" w:hAnsi="Times New Roman"/>
          <w:sz w:val="20"/>
          <w:szCs w:val="20"/>
          <w:color w:val="auto"/>
        </w:rPr>
        <w:t>activities. The DOJ under the Biden administration did not readopt the Cole Memorandum, but former President Biden indicated support for decriminalization of cannabis.</w:t>
      </w:r>
    </w:p>
    <w:p>
      <w:pPr>
        <w:spacing w:after="0" w:line="128" w:lineRule="exact"/>
        <w:rPr>
          <w:sz w:val="20"/>
          <w:szCs w:val="20"/>
          <w:color w:val="auto"/>
        </w:rPr>
      </w:pPr>
    </w:p>
    <w:p>
      <w:pPr>
        <w:jc w:val="both"/>
        <w:ind w:left="1440" w:hanging="370"/>
        <w:spacing w:after="0" w:line="254" w:lineRule="auto"/>
        <w:tabs>
          <w:tab w:leader="none" w:pos="14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October 6, 2022, former President Biden issued an executive order pardoning all persons convicted of simple possession of cannabis under the CSA. In the same executive order, former President Biden also directed the Secretary of Health and Human Services ("HHS") and the Attorney General to initiate an administrative process to review the scheduling of cannabis under the CSA, and on August 29, 2023, the Department of HHS officially recommended that the Drug Enforcement Administration (the "DEA") reschedule cannabis from Schedule I to Schedule III, although the DEA is not obligated to follow this recommendation. On January 12, 2024, HHS publicly released its scientific review supporting the Schedule III recommendation. This 250-page document cites peer-reviewed studies and widespread medical use under state programs, providing a robust foundation for the proposed change and increasing transparency in the process.</w:t>
      </w:r>
    </w:p>
    <w:p>
      <w:pPr>
        <w:spacing w:after="0" w:line="165" w:lineRule="exact"/>
        <w:rPr>
          <w:rFonts w:ascii="Times New Roman" w:cs="Times New Roman" w:eastAsia="Times New Roman" w:hAnsi="Times New Roman"/>
          <w:sz w:val="20"/>
          <w:szCs w:val="20"/>
          <w:color w:val="auto"/>
        </w:rPr>
      </w:pPr>
    </w:p>
    <w:p>
      <w:pPr>
        <w:jc w:val="both"/>
        <w:ind w:left="1440" w:hanging="370"/>
        <w:spacing w:after="0" w:line="269" w:lineRule="auto"/>
        <w:tabs>
          <w:tab w:leader="none" w:pos="14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December 2, 2022, former President Biden signed into law the Medical Marijuana and Cannabidiol Research Expansion Act, which streamlines and expands the process for researching the medical use of cannabis.</w:t>
      </w:r>
    </w:p>
    <w:p>
      <w:pPr>
        <w:spacing w:after="0" w:line="147" w:lineRule="exact"/>
        <w:rPr>
          <w:rFonts w:ascii="Times New Roman" w:cs="Times New Roman" w:eastAsia="Times New Roman" w:hAnsi="Times New Roman"/>
          <w:sz w:val="20"/>
          <w:szCs w:val="20"/>
          <w:color w:val="auto"/>
        </w:rPr>
      </w:pPr>
    </w:p>
    <w:p>
      <w:pPr>
        <w:jc w:val="both"/>
        <w:ind w:left="1440" w:hanging="370"/>
        <w:spacing w:after="0" w:line="253" w:lineRule="auto"/>
        <w:tabs>
          <w:tab w:leader="none" w:pos="14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April 30, 2024, the DEA announced its intent to propose a rule to reschedule cannabis to Schedule III, following the Associated Press reporting the agency’s plans. This marked the DEA’s first public acknowledgment of moving away from its long-held stance that cannabis lacks therapeutic value. On May 16, 2024, the DOJ, led by former Attorney General Merrick Garland, submitted a Notice of Proposed Rulemaking ("NPRM") to the Federal Register. Published on May 21, 2024, the NPRM formally initiated the rulemaking process to transfer cannabis to Schedule III, opening a 60-day public comment period, which ended July 22, 2024. The DEA received over 42,000 comments, with strong public support for rescheduling. On August 28, 2024, the DEA scheduled a public hearing on the proposed rescheduling for December 2, 2024, to be held at DEA Headquarters in Arlington, Virginia. This notice, published in the Federal Register, allowed stakeholders and experts to participate, fulfilling the CSA’s requirement for a formal hearing process if requested. Requests to participate were due by September 30, 2024. The DEA held the preliminary hearing on the proposed rescheduling of cannabis on December 2, 2024.</w:t>
      </w:r>
    </w:p>
    <w:p>
      <w:pPr>
        <w:spacing w:after="0" w:line="171" w:lineRule="exact"/>
        <w:rPr>
          <w:rFonts w:ascii="Times New Roman" w:cs="Times New Roman" w:eastAsia="Times New Roman" w:hAnsi="Times New Roman"/>
          <w:sz w:val="20"/>
          <w:szCs w:val="20"/>
          <w:color w:val="auto"/>
        </w:rPr>
      </w:pPr>
    </w:p>
    <w:p>
      <w:pPr>
        <w:jc w:val="both"/>
        <w:ind w:left="1440" w:hanging="370"/>
        <w:spacing w:after="0" w:line="268" w:lineRule="auto"/>
        <w:tabs>
          <w:tab w:leader="none" w:pos="14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December 18, 2025, President Trump issued an executive order instructing the Attorney General to expedite the rulemaking process related to rescheduling cannabis from a Schedule 1 to a Schedule III controlled substance under the CSA.</w:t>
      </w:r>
    </w:p>
    <w:p>
      <w:pPr>
        <w:spacing w:after="0" w:line="149"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color w:val="auto"/>
        </w:rPr>
        <w:t>Despite these advancements in rescheduling, we cannot predict how the current administration or future administrations will enforce the CSA or other laws against cannabis activities.</w:t>
      </w:r>
    </w:p>
    <w:p>
      <w:pPr>
        <w:spacing w:after="0" w:line="128" w:lineRule="exact"/>
        <w:rPr>
          <w:sz w:val="20"/>
          <w:szCs w:val="20"/>
          <w:color w:val="auto"/>
        </w:rPr>
      </w:pPr>
    </w:p>
    <w:p>
      <w:pPr>
        <w:jc w:val="both"/>
        <w:ind w:firstLine="720"/>
        <w:spacing w:after="0" w:line="263" w:lineRule="auto"/>
        <w:rPr>
          <w:sz w:val="20"/>
          <w:szCs w:val="20"/>
          <w:color w:val="auto"/>
        </w:rPr>
      </w:pPr>
      <w:r>
        <w:rPr>
          <w:rFonts w:ascii="Times New Roman" w:cs="Times New Roman" w:eastAsia="Times New Roman" w:hAnsi="Times New Roman"/>
          <w:sz w:val="20"/>
          <w:szCs w:val="20"/>
          <w:color w:val="auto"/>
        </w:rPr>
        <w:t>Currently in the United States, 40 states and the District of Columbia, have adopted frameworks that authorize and regulate cannabis cultivation and sale for medical use, while 24 states and the District of Columbia legalized cannabis for medical and recreational use. It is estimated that over half of the United States population resides in a state where cannabis is currently legal for medical and recreational use.</w:t>
      </w:r>
    </w:p>
    <w:p>
      <w:pPr>
        <w:spacing w:after="0" w:line="152" w:lineRule="exact"/>
        <w:rPr>
          <w:sz w:val="20"/>
          <w:szCs w:val="20"/>
          <w:color w:val="auto"/>
        </w:rPr>
      </w:pPr>
    </w:p>
    <w:p>
      <w:pPr>
        <w:jc w:val="both"/>
        <w:ind w:firstLine="720"/>
        <w:spacing w:after="0" w:line="262" w:lineRule="auto"/>
        <w:rPr>
          <w:sz w:val="20"/>
          <w:szCs w:val="20"/>
          <w:color w:val="auto"/>
        </w:rPr>
      </w:pPr>
      <w:r>
        <w:rPr>
          <w:rFonts w:ascii="Times New Roman" w:cs="Times New Roman" w:eastAsia="Times New Roman" w:hAnsi="Times New Roman"/>
          <w:sz w:val="20"/>
          <w:szCs w:val="20"/>
          <w:color w:val="auto"/>
        </w:rPr>
        <w:t>We cannot predict how the current administration or future administrations will enforce the CSA or other laws against cannabis activities. Any change in the federal government’s enforcement of current federal laws could cause significant financial damage to us. The legal uncertainty and possible future changes in law could negatively affect our growth, revenues, results of operations and success generally.</w:t>
      </w:r>
    </w:p>
    <w:p>
      <w:pPr>
        <w:spacing w:after="0" w:line="155"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Unless and until cannabis is de-scheduled entirely or rescheduled or Congress amends the CSA with respect to medical and/or adult use cannabis, there is a risk that federal prosecutors may enforce the existing CSA. Federal authorities may decide to change their current posture and begin to enforce current federal cannabis laws and, if they begin to aggressively enforce such laws, it is possible that they could allege that we violated federal laws by selling products used in the cannabis industry. As a result, active enforcement of the current federal regulatory position on cannabis may directly or indirectly adversely affect our revenues and profits.</w:t>
      </w:r>
    </w:p>
    <w:p>
      <w:pPr>
        <w:spacing w:after="0" w:line="157"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Violations of any U.S. federal laws and regulations could result in significant fines, penalties, administrative sanctions, convictions or settlements arising from civil proceedings conducted by either the U.S. federal government or private citizens, or criminal charges, including, but not limited to, disgorgement of profits, cessation of business activities or divestiture. This could have a material adverse effect on our business, including our reputation and ability to conduct business, the listing of our securities on any stock exchanges, the settlement of trades of our securities, our ability to obtain banking services, our financial</w:t>
      </w:r>
    </w:p>
    <w:p>
      <w:pPr>
        <w:sectPr>
          <w:pgSz w:w="12240" w:h="15840" w:orient="portrait"/>
          <w:cols w:equalWidth="0" w:num="1">
            <w:col w:w="10260"/>
          </w:cols>
          <w:pgMar w:left="1000" w:top="430" w:right="980" w:bottom="0" w:gutter="0" w:footer="0" w:header="0"/>
        </w:sectPr>
      </w:pPr>
    </w:p>
    <w:p>
      <w:pPr>
        <w:spacing w:after="0" w:line="38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10260"/>
          </w:cols>
          <w:pgMar w:left="1000" w:top="430" w:right="980" w:bottom="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9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position, operating results, profitability or liquidity or the market price of our publicly-traded shares. In addition, it is difficult for us to estimate the time or resources that would be needed for the investigation of any such matters or their final resolution because, in part, the time and resources that may be needed are dependent on the nature and extent of any information requested by the applicable authorities involved, and such time or resources could be substantial.</w:t>
      </w:r>
    </w:p>
    <w:p>
      <w:pPr>
        <w:spacing w:after="0" w:line="152" w:lineRule="exact"/>
        <w:rPr>
          <w:sz w:val="20"/>
          <w:szCs w:val="20"/>
          <w:color w:val="auto"/>
        </w:rPr>
      </w:pPr>
    </w:p>
    <w:p>
      <w:pPr>
        <w:jc w:val="both"/>
        <w:ind w:firstLine="720"/>
        <w:spacing w:after="0" w:line="287" w:lineRule="auto"/>
        <w:rPr>
          <w:sz w:val="20"/>
          <w:szCs w:val="20"/>
          <w:color w:val="auto"/>
        </w:rPr>
      </w:pPr>
      <w:r>
        <w:rPr>
          <w:rFonts w:ascii="Times New Roman" w:cs="Times New Roman" w:eastAsia="Times New Roman" w:hAnsi="Times New Roman"/>
          <w:sz w:val="20"/>
          <w:szCs w:val="20"/>
          <w:color w:val="auto"/>
        </w:rPr>
        <w:t>Businesses involved in the cannabis industry, and investments in such businesses, are subject to a variety of laws and regulations related to money laundering, financial recordkeeping and proceeds of crimes.</w:t>
      </w:r>
    </w:p>
    <w:p>
      <w:pPr>
        <w:spacing w:after="0" w:line="129"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Investments in the U.S. cannabis industry are subject to a variety of laws and regulations that involve money laundering, financial recordkeeping and proceeds of crime, including the BSA, as amended by the USA Patriot Act, other anti-money laundering laws, and any related or similar rules, regulations or guidelines, issued, administered or enforced by governmental authorities in the United States. In February 2014, the Financial Crimes Enforcement Network ("FinCEN") of the Treasury Department issued a memorandum (the "FinCEN Memo") providing guidance to banks seeking to provide services to cannabis businesses. The FinCEN Memo outlines circumstances under which banks may provide services to cannabis businesses without risking federal prosecution for violation of U.S. federal money laundering laws. It refers to supplementary guidance that Deputy Attorney General Cole issued to U.S. federal prosecutors relating to the prosecution of U.S. money laundering offenses predicated on cannabis violations of the CSA and outlines extensive due diligence and reporting requirements. The FinCEN Memo currently remains in place, but it is unclear at this time whether current or future administrations will continue to follow the guidelines of the FinCEN Memo. Any abrogation or modification of the FinCEN Memo could negatively affect the ability of certain of the end users of our products to establish and maintain banking relationships.</w:t>
      </w:r>
    </w:p>
    <w:p>
      <w:pPr>
        <w:spacing w:after="0" w:line="169"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U.S. House of Representatives passed the Secure and Fair Enforcement Act (the "SAFE Banking Act") numerous times. This bill was intended to protect banks and credit unions from federal prosecution for providing services to cannabis companies, thus allowing cannabis companies greater access to deposit accounts, insurance, and other financial institutions. However, the U.S. Senate has thus far failed to pass the SAFE Banking Act or other similar legislation. In September 2023, the Secure and Fair Enforcement Regulation Banking Act ("SAFER Banking Act") passed the U.S. Senate Banking Committee which expands on the financial institutions granted protection beyond those proposed to be covered by the SAFE Banking Act, and provides uniform exam guidelines for cannabis banking institutions, among other changes. However, passage of the SAFER Banking Act in the U.S. Senate or U.S. House of Representatives remains uncertain.</w:t>
      </w:r>
    </w:p>
    <w:p>
      <w:pPr>
        <w:spacing w:after="0" w:line="166" w:lineRule="exact"/>
        <w:rPr>
          <w:sz w:val="20"/>
          <w:szCs w:val="20"/>
          <w:color w:val="auto"/>
        </w:rPr>
      </w:pPr>
    </w:p>
    <w:p>
      <w:pPr>
        <w:jc w:val="both"/>
        <w:ind w:firstLine="720"/>
        <w:spacing w:after="0" w:line="262" w:lineRule="auto"/>
        <w:rPr>
          <w:sz w:val="20"/>
          <w:szCs w:val="20"/>
          <w:color w:val="auto"/>
        </w:rPr>
      </w:pPr>
      <w:r>
        <w:rPr>
          <w:rFonts w:ascii="Times New Roman" w:cs="Times New Roman" w:eastAsia="Times New Roman" w:hAnsi="Times New Roman"/>
          <w:sz w:val="20"/>
          <w:szCs w:val="20"/>
          <w:color w:val="auto"/>
        </w:rPr>
        <w:t>Some of our products are used by Cannabis Industry Participants and used in connection with cannabis businesses that are subject to federal and state controlled substance laws and regulations. Cannabis businesses are subject to a number of risks related to controlled substances, which risks could reduce demand for our products by Cannabis Industry Participants. Such risks include, but are not limited to, the following:</w:t>
      </w:r>
    </w:p>
    <w:p>
      <w:pPr>
        <w:spacing w:after="0" w:line="155" w:lineRule="exact"/>
        <w:rPr>
          <w:sz w:val="20"/>
          <w:szCs w:val="20"/>
          <w:color w:val="auto"/>
        </w:rPr>
      </w:pPr>
    </w:p>
    <w:p>
      <w:pPr>
        <w:jc w:val="both"/>
        <w:ind w:left="1440" w:hanging="370"/>
        <w:spacing w:after="0" w:line="263" w:lineRule="auto"/>
        <w:tabs>
          <w:tab w:leader="none" w:pos="14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Cannabis is currently a Schedule I drug under the CSA and regulated by the DEA as an illegal substance. The Food and Drug Administration ("FDA"), in conjunction with the DEA, licenses cannabis research and drugs containing active ingredients derived from cannabis. If cannabis were to become legal under federal law, its sale and use could become regulated by the FDA or another federal agency.</w:t>
      </w:r>
    </w:p>
    <w:p>
      <w:pPr>
        <w:spacing w:after="0" w:line="152" w:lineRule="exact"/>
        <w:rPr>
          <w:rFonts w:ascii="Times New Roman" w:cs="Times New Roman" w:eastAsia="Times New Roman" w:hAnsi="Times New Roman"/>
          <w:sz w:val="20"/>
          <w:szCs w:val="20"/>
          <w:color w:val="auto"/>
        </w:rPr>
      </w:pPr>
    </w:p>
    <w:p>
      <w:pPr>
        <w:jc w:val="both"/>
        <w:ind w:left="1440" w:hanging="370"/>
        <w:spacing w:after="0" w:line="258" w:lineRule="auto"/>
        <w:tabs>
          <w:tab w:leader="none" w:pos="14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cannabis were to become regulated by the FDA or another federal agency, extensive regulations may be imposed on the sale or use of cannabis. Such regulations could result in a decrease in cannabis sales and have a material adverse impact on the demand for our products. If we or our Cannabis Industry Participants are unable to comply with any applicable regulations and/or registration prescribed by the FDA, we may be unable to continue to conduct business with retailers and resellers that transact with cannabis businesses and/or our financial condition may be adversely impacted.</w:t>
      </w:r>
    </w:p>
    <w:p>
      <w:pPr>
        <w:spacing w:after="0" w:line="157" w:lineRule="exact"/>
        <w:rPr>
          <w:rFonts w:ascii="Times New Roman" w:cs="Times New Roman" w:eastAsia="Times New Roman" w:hAnsi="Times New Roman"/>
          <w:sz w:val="20"/>
          <w:szCs w:val="20"/>
          <w:color w:val="auto"/>
        </w:rPr>
      </w:pPr>
    </w:p>
    <w:p>
      <w:pPr>
        <w:jc w:val="both"/>
        <w:ind w:left="1440" w:hanging="370"/>
        <w:spacing w:after="0" w:line="255" w:lineRule="auto"/>
        <w:tabs>
          <w:tab w:leader="none" w:pos="14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Controlled substance legislation differs between states, and legislation in certain states may restrict or limit our ability to sell products to Cannabis Industry Participants. Our Cannabis Industry Participants may be required to obtain separate state registrations, permits or licenses in order to be able to obtain, handle and/or distribute controlled substances in a state. Such state regulatory requirements may be costly and, the failure of such Cannabis Industry Participants to meet such regulatory requirements could lead to enforcement and sanctions by the states in addition to any from the DEA or otherwise arising under federal law. We could be implicated in such enforcement or sanctions because of the sale of our products to such Cannabis Industry Participants.</w:t>
      </w:r>
    </w:p>
    <w:p>
      <w:pPr>
        <w:spacing w:after="0" w:line="164" w:lineRule="exact"/>
        <w:rPr>
          <w:rFonts w:ascii="Times New Roman" w:cs="Times New Roman" w:eastAsia="Times New Roman" w:hAnsi="Times New Roman"/>
          <w:sz w:val="20"/>
          <w:szCs w:val="20"/>
          <w:color w:val="auto"/>
        </w:rPr>
      </w:pPr>
    </w:p>
    <w:p>
      <w:pPr>
        <w:jc w:val="both"/>
        <w:ind w:left="1440" w:hanging="370"/>
        <w:spacing w:after="0" w:line="269" w:lineRule="auto"/>
        <w:tabs>
          <w:tab w:leader="none" w:pos="14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of our Cannabis Industry Participants to comply with applicable controlled substance laws and regulations, or the cost of compliance with these laws and regulations, may adversely affect the demand for our products and, as a result, the financial results of our business operations and our financial condition.</w:t>
      </w:r>
    </w:p>
    <w:p>
      <w:pPr>
        <w:sectPr>
          <w:pgSz w:w="12240" w:h="15840" w:orient="portrait"/>
          <w:cols w:equalWidth="0" w:num="1">
            <w:col w:w="10260"/>
          </w:cols>
          <w:pgMar w:left="1000" w:top="430" w:right="980" w:bottom="0" w:gutter="0" w:footer="0" w:header="0"/>
        </w:sectPr>
      </w:pPr>
    </w:p>
    <w:p>
      <w:pPr>
        <w:spacing w:after="0" w:line="34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10260"/>
          </w:cols>
          <w:pgMar w:left="1000" w:top="430" w:right="980" w:bottom="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91"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 xml:space="preserve">On October 25, 2021, we and certain of our subsidiaries (the "Subsidiary Obligors") entered into a $125 million senior secured term loan facility with JPMorgan Chase Bank, N.A. ("JPMorgan") as administrative agent for the lenders, which was subsequently amended (the "Term Loan"). The Term Loan contains customary covenants, restrictions and defaults. The Term Loan prohibits us and the Subsidiary Obligors from selling our products, inventory or services directly to cannabis growers operating in any country that prohibits the sale and use of cannabis products other than in accordance with the applicable laws of such country. As a result, we do not sell our products, inventory or services directly to cannabis growers operating in any country that prohibits the sale and use of cannabis products other than in accordance with the applicable laws of such country. See </w:t>
      </w:r>
      <w:r>
        <w:rPr>
          <w:rFonts w:ascii="Times New Roman" w:cs="Times New Roman" w:eastAsia="Times New Roman" w:hAnsi="Times New Roman"/>
          <w:sz w:val="20"/>
          <w:szCs w:val="20"/>
          <w:i w:val="1"/>
          <w:iCs w:val="1"/>
          <w:color w:val="auto"/>
        </w:rPr>
        <w:t>Part I, Item 1A, Risk Factors, Risks Relating to our Indebtedness</w:t>
      </w:r>
      <w:r>
        <w:rPr>
          <w:rFonts w:ascii="Times New Roman" w:cs="Times New Roman" w:eastAsia="Times New Roman" w:hAnsi="Times New Roman"/>
          <w:sz w:val="20"/>
          <w:szCs w:val="20"/>
          <w:color w:val="auto"/>
        </w:rPr>
        <w:t xml:space="preserve"> for further detail.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213" w:lineRule="exact"/>
        <w:rPr>
          <w:sz w:val="20"/>
          <w:szCs w:val="20"/>
          <w:color w:val="auto"/>
        </w:rPr>
      </w:pPr>
    </w:p>
    <w:p>
      <w:pPr>
        <w:jc w:val="both"/>
        <w:ind w:firstLine="720"/>
        <w:spacing w:after="0" w:line="269" w:lineRule="auto"/>
        <w:rPr>
          <w:sz w:val="20"/>
          <w:szCs w:val="20"/>
          <w:color w:val="auto"/>
        </w:rPr>
      </w:pPr>
      <w:r>
        <w:rPr>
          <w:rFonts w:ascii="Times New Roman" w:cs="Times New Roman" w:eastAsia="Times New Roman" w:hAnsi="Times New Roman"/>
          <w:sz w:val="20"/>
          <w:szCs w:val="20"/>
          <w:color w:val="auto"/>
        </w:rPr>
        <w:t>We own a number of U.S. design patents, U.S. utility patents, foreign patents and designs, registered U.S. trademarks, and registered foreign trademarks. Our issued patents cover grow lighting and hydroponic systems and components. These issued patents and our registered trademarks allow us to build out our proprietary brand products.</w:t>
      </w:r>
    </w:p>
    <w:p>
      <w:pPr>
        <w:spacing w:after="0" w:line="147"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Our ability to compete effectively depends in part on our rights to trademarks, patents and other intellectual property rights we own or license. We have not sought to register every one of our trademarks either in the United States or in every country in which such mark is used. Furthermore, because of the differences in foreign trademark, patent and other intellectual property rights laws, we may not receive the same protection in other countries as we would in the United States with respect to the registered brand names and issued patents we hold. Litigation may be necessary to enforce our intellectual property rights and protect our proprietary information, or to defend against claims by third parties that our products or services infringe, misappropriate or otherwise violate their intellectual property. Any litigation or claims brought by or against us could result in substantial costs and diversion of our resources.</w:t>
      </w:r>
    </w:p>
    <w:p>
      <w:pPr>
        <w:spacing w:after="0" w:line="166" w:lineRule="exact"/>
        <w:rPr>
          <w:sz w:val="20"/>
          <w:szCs w:val="20"/>
          <w:color w:val="auto"/>
        </w:rPr>
      </w:pPr>
    </w:p>
    <w:p>
      <w:pPr>
        <w:jc w:val="both"/>
        <w:ind w:firstLine="720"/>
        <w:spacing w:after="0" w:line="262" w:lineRule="auto"/>
        <w:rPr>
          <w:sz w:val="20"/>
          <w:szCs w:val="20"/>
          <w:color w:val="auto"/>
        </w:rPr>
      </w:pPr>
      <w:r>
        <w:rPr>
          <w:rFonts w:ascii="Times New Roman" w:cs="Times New Roman" w:eastAsia="Times New Roman" w:hAnsi="Times New Roman"/>
          <w:sz w:val="20"/>
          <w:szCs w:val="20"/>
          <w:color w:val="auto"/>
        </w:rPr>
        <w:t>We may need to obtain licenses to patents and other intellectual property rights held by third parties to develop, manufacture and market our products, if, for example, we should wish to develop products that incorporate or otherwise include, third-party patented technology. If we are unable to timely obtain these licenses on commercially reasonable terms (or at all) and maintain these licenses, our ability to commercially market our products, may be inhibited or prevented.</w:t>
      </w:r>
    </w:p>
    <w:p>
      <w:pPr>
        <w:spacing w:after="0" w:line="155"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 xml:space="preserve">In addition, because the manufacturing (cultivation), harvesting, processing, distribution, sale, possession and use of cannabis is illegal under U.S. federal law, companies that transact with cannabis businesses may have restricted intellectual property rights particularly with respect to obtaining and enforcing patents and trademarks. We do not believe these restrictions apply to our business. However, if we are restricted in our ability to register, or maintain, our trademarks or to file for or enforce patents on any of our inventions, such an inability could materially affect our ability to protect our name, brand and proprietary technologies. See </w:t>
      </w:r>
      <w:r>
        <w:rPr>
          <w:rFonts w:ascii="Times New Roman" w:cs="Times New Roman" w:eastAsia="Times New Roman" w:hAnsi="Times New Roman"/>
          <w:sz w:val="20"/>
          <w:szCs w:val="20"/>
          <w:i w:val="1"/>
          <w:iCs w:val="1"/>
          <w:color w:val="auto"/>
        </w:rPr>
        <w:t>Part I, Item 1A, Risk Factors, Risks Relating to Our Intellectual Property</w:t>
      </w:r>
      <w:r>
        <w:rPr>
          <w:rFonts w:ascii="Times New Roman" w:cs="Times New Roman" w:eastAsia="Times New Roman" w:hAnsi="Times New Roman"/>
          <w:sz w:val="20"/>
          <w:szCs w:val="20"/>
          <w:color w:val="auto"/>
        </w:rPr>
        <w:t xml:space="preserve"> for more information on the risks associated with intellectual rights.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w:t>
      </w:r>
    </w:p>
    <w:p>
      <w:pPr>
        <w:spacing w:after="0" w:line="204" w:lineRule="exact"/>
        <w:rPr>
          <w:sz w:val="20"/>
          <w:szCs w:val="20"/>
          <w:color w:val="auto"/>
        </w:rPr>
      </w:pPr>
    </w:p>
    <w:p>
      <w:pPr>
        <w:jc w:val="both"/>
        <w:ind w:firstLine="720"/>
        <w:spacing w:after="0" w:line="263" w:lineRule="auto"/>
        <w:rPr>
          <w:sz w:val="20"/>
          <w:szCs w:val="20"/>
          <w:color w:val="auto"/>
        </w:rPr>
      </w:pPr>
      <w:r>
        <w:rPr>
          <w:rFonts w:ascii="Times New Roman" w:cs="Times New Roman" w:eastAsia="Times New Roman" w:hAnsi="Times New Roman"/>
          <w:sz w:val="20"/>
          <w:szCs w:val="20"/>
          <w:color w:val="auto"/>
        </w:rPr>
        <w:t>Our success depends on management implementing effective human resource initiatives in order to recruit, develop and retain key employees. At Hydrofarm we believe that having a strong support base will allow for greater productivity and satisfaction and we are committed to open and healthy communication with our workforce. We seek to create an inclusive work environment in order to foster an innovative and team-oriented culture.</w:t>
      </w:r>
    </w:p>
    <w:p>
      <w:pPr>
        <w:spacing w:after="0" w:line="152"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As of December 31, 2025, we had 251 total employees globally, of which 250 are full-time employees, as compared to 286 total employees as of December 31, 2024. Of our total employees, approximately 68% are located in the United States, and the remainder are primarily in Canada. In conjunction with our restructuring plan initiated in the second quarter of 2025 (the "2025 Restructuring Plan"), we reduced headcount in 2025 and year-to-date 2026. We may implement further reductions in the future to create additional operational efficiencies. We use temporary workers as needed to provide flexibility for our business including for seasonal projects.</w:t>
      </w:r>
    </w:p>
    <w:p>
      <w:pPr>
        <w:spacing w:after="0" w:line="157"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Our compensation philosophy is to implement a program that enables us to attract, motivate, reward, and retain high-performing employees who can create and sustain value for our stockholders over the long term. In addition, our compensation program is designed to provide a fair and balanced opportunity that appropriately rewards employees for their direct contributions to our success. We offer a comprehensive benefits platform including an Employee Assistance Program where our employees can seek professional assistance with psychological and other challenges.</w:t>
      </w:r>
    </w:p>
    <w:p>
      <w:pPr>
        <w:spacing w:after="0" w:line="158" w:lineRule="exact"/>
        <w:rPr>
          <w:sz w:val="20"/>
          <w:szCs w:val="20"/>
          <w:color w:val="auto"/>
        </w:rPr>
      </w:pPr>
    </w:p>
    <w:p>
      <w:pPr>
        <w:jc w:val="both"/>
        <w:ind w:firstLine="720"/>
        <w:spacing w:after="0" w:line="269" w:lineRule="auto"/>
        <w:rPr>
          <w:sz w:val="20"/>
          <w:szCs w:val="20"/>
          <w:color w:val="auto"/>
        </w:rPr>
      </w:pPr>
      <w:r>
        <w:rPr>
          <w:rFonts w:ascii="Times New Roman" w:cs="Times New Roman" w:eastAsia="Times New Roman" w:hAnsi="Times New Roman"/>
          <w:sz w:val="20"/>
          <w:szCs w:val="20"/>
          <w:color w:val="auto"/>
        </w:rPr>
        <w:t>Workplace safety is important to our business culture and we believe that a safe and empowered workforce is critical to the success of our business. We maintain health and safety programs, including our Environmental Health and Safety ("EHS") management system. Our associates participate in safety committees, hazard identification, work order resolutions and</w:t>
      </w:r>
    </w:p>
    <w:p>
      <w:pPr>
        <w:sectPr>
          <w:pgSz w:w="12240" w:h="15840" w:orient="portrait"/>
          <w:cols w:equalWidth="0" w:num="1">
            <w:col w:w="10260"/>
          </w:cols>
          <w:pgMar w:left="1000" w:top="430" w:right="980" w:bottom="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10260"/>
          </w:cols>
          <w:pgMar w:left="1000" w:top="430" w:right="980" w:bottom="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9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mandatory compliance training. Additionally, we participate in third party health and safety inspections to meet regulatory requirements. To evaluate our health and safety performance, we use an EHS scorecard composed of leading and lagging indicators, such as progress measurements for behavioral-based safety and hazard observations, near-miss reporting, and total recordable incident rates.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Information</w:t>
      </w:r>
    </w:p>
    <w:p>
      <w:pPr>
        <w:spacing w:after="0" w:line="213"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 xml:space="preserve">We were incorporated in Delaware in January 2017 under the name Innovation Acquisition One Corp. Our predecessor company, originally called Applied Hydroponics, Inc., was founded in 1977 in Northern California. We changed our name to Hydrofarm Holdings Group, Inc. on August 3, 2018. Our principal executive offices are located at 1510 Main Street, Shoemakersville, Pennsylvania 19555 and our telephone number is (707) 765-9990. Our website address is </w:t>
      </w:r>
      <w:r>
        <w:rPr>
          <w:rFonts w:ascii="Times New Roman" w:cs="Times New Roman" w:eastAsia="Times New Roman" w:hAnsi="Times New Roman"/>
          <w:sz w:val="20"/>
          <w:szCs w:val="20"/>
          <w:i w:val="1"/>
          <w:iCs w:val="1"/>
          <w:color w:val="auto"/>
        </w:rPr>
        <w:t>www.hydrofarm.com</w:t>
      </w:r>
      <w:r>
        <w:rPr>
          <w:rFonts w:ascii="Times New Roman" w:cs="Times New Roman" w:eastAsia="Times New Roman" w:hAnsi="Times New Roman"/>
          <w:sz w:val="20"/>
          <w:szCs w:val="20"/>
          <w:color w:val="auto"/>
        </w:rPr>
        <w:t>. The information contained on, or that can be accessed through, our website is not, and shall not be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deemed to be part of, this Annual Report on Form 10-K. We have included our website address in this Annual Report on Form 10-K solely as an inactive textual reference. Investors should not rely on any such information in deciding whether to purchase our 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214"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 xml:space="preserve">Our Annual Report on Form 10-K, Quarterly Reports on Form 10-Q, Current Reports on Form 8-K, and amendments to reports filed pursuant to Sections 13(a) and 15(d) of the Securities Exchange Act of 1934, as amended (the "Exchange Act"), are filed with the Securities Exchange Commission (the "SEC"). Such reports and other information filed by us with the SEC are available free of charge on our website at </w:t>
      </w:r>
      <w:r>
        <w:rPr>
          <w:rFonts w:ascii="Times New Roman" w:cs="Times New Roman" w:eastAsia="Times New Roman" w:hAnsi="Times New Roman"/>
          <w:sz w:val="20"/>
          <w:szCs w:val="20"/>
          <w:i w:val="1"/>
          <w:iCs w:val="1"/>
          <w:color w:val="auto"/>
        </w:rPr>
        <w:t>investors.hydrofarm.com</w:t>
      </w:r>
      <w:r>
        <w:rPr>
          <w:rFonts w:ascii="Times New Roman" w:cs="Times New Roman" w:eastAsia="Times New Roman" w:hAnsi="Times New Roman"/>
          <w:sz w:val="20"/>
          <w:szCs w:val="20"/>
          <w:color w:val="auto"/>
        </w:rPr>
        <w:t xml:space="preserve"> when such reports are available on the SEC’s website. The SEC maintains an internet site that contains reports, proxy and information statements and other information regarding issuers that file electronically with the SEC at </w:t>
      </w:r>
      <w:r>
        <w:rPr>
          <w:rFonts w:ascii="Times New Roman" w:cs="Times New Roman" w:eastAsia="Times New Roman" w:hAnsi="Times New Roman"/>
          <w:sz w:val="20"/>
          <w:szCs w:val="20"/>
          <w:i w:val="1"/>
          <w:iCs w:val="1"/>
          <w:color w:val="auto"/>
        </w:rPr>
        <w:t>www.sec.gov</w:t>
      </w:r>
      <w:r>
        <w:rPr>
          <w:rFonts w:ascii="Times New Roman" w:cs="Times New Roman" w:eastAsia="Times New Roman" w:hAnsi="Times New Roman"/>
          <w:sz w:val="20"/>
          <w:szCs w:val="20"/>
          <w:color w:val="auto"/>
        </w:rPr>
        <w:t>. The information contained on the websites referenced in this Annual Report on Form 10-K is not incorporated by reference into this filing. Further, our references to website URLs are intended to be inactive textual references only.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Smaller Reporting Company</w:t>
      </w:r>
    </w:p>
    <w:p>
      <w:pPr>
        <w:spacing w:after="0" w:line="214" w:lineRule="exact"/>
        <w:rPr>
          <w:sz w:val="20"/>
          <w:szCs w:val="20"/>
          <w:color w:val="auto"/>
        </w:rPr>
      </w:pPr>
    </w:p>
    <w:p>
      <w:pPr>
        <w:jc w:val="both"/>
        <w:ind w:right="20" w:firstLine="720"/>
        <w:spacing w:after="0" w:line="269" w:lineRule="auto"/>
        <w:rPr>
          <w:sz w:val="20"/>
          <w:szCs w:val="20"/>
          <w:color w:val="auto"/>
        </w:rPr>
      </w:pPr>
      <w:r>
        <w:rPr>
          <w:rFonts w:ascii="Times New Roman" w:cs="Times New Roman" w:eastAsia="Times New Roman" w:hAnsi="Times New Roman"/>
          <w:sz w:val="20"/>
          <w:szCs w:val="20"/>
          <w:color w:val="auto"/>
        </w:rPr>
        <w:t>We qualify as a smaller reporting company in accordance with Rule 12b-2 under the Exchange Act, and have elected to follow certain of the scaled-back disclosure accommodations available to smaller reporting companies within this Annual Report on Form 10-K.</w:t>
      </w:r>
    </w:p>
    <w:p>
      <w:pPr>
        <w:sectPr>
          <w:pgSz w:w="12240" w:h="15840" w:orient="portrait"/>
          <w:cols w:equalWidth="0" w:num="1">
            <w:col w:w="10260"/>
          </w:cols>
          <w:pgMar w:left="1000" w:top="43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10260"/>
          </w:cols>
          <w:pgMar w:left="1000" w:top="430" w:right="980" w:bottom="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87"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Item 1A.</w:t>
      </w:r>
      <w:r>
        <w:rPr>
          <w:sz w:val="20"/>
          <w:szCs w:val="20"/>
          <w:color w:val="auto"/>
        </w:rPr>
        <w:tab/>
      </w:r>
      <w:r>
        <w:rPr>
          <w:rFonts w:ascii="Times New Roman" w:cs="Times New Roman" w:eastAsia="Times New Roman" w:hAnsi="Times New Roman"/>
          <w:sz w:val="19"/>
          <w:szCs w:val="19"/>
          <w:b w:val="1"/>
          <w:bCs w:val="1"/>
          <w:color w:val="auto"/>
        </w:rPr>
        <w:t>RISK FACTORS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Summary of Risk Factors</w:t>
      </w:r>
    </w:p>
    <w:p>
      <w:pPr>
        <w:spacing w:after="0" w:line="213" w:lineRule="exact"/>
        <w:rPr>
          <w:sz w:val="20"/>
          <w:szCs w:val="20"/>
          <w:color w:val="auto"/>
        </w:rPr>
      </w:pPr>
    </w:p>
    <w:p>
      <w:pPr>
        <w:ind w:firstLine="720"/>
        <w:spacing w:after="0" w:line="288" w:lineRule="auto"/>
        <w:rPr>
          <w:sz w:val="20"/>
          <w:szCs w:val="20"/>
          <w:color w:val="auto"/>
        </w:rPr>
      </w:pPr>
      <w:r>
        <w:rPr>
          <w:rFonts w:ascii="Times New Roman" w:cs="Times New Roman" w:eastAsia="Times New Roman" w:hAnsi="Times New Roman"/>
          <w:sz w:val="20"/>
          <w:szCs w:val="20"/>
          <w:color w:val="auto"/>
        </w:rPr>
        <w:t>Our business is subject to a number of risks and uncertainties that are summarized below. The below summary of risk factors should be read together with the more detailed discussion of risks set forth following this section.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Our Business</w:t>
      </w:r>
    </w:p>
    <w:p>
      <w:pPr>
        <w:spacing w:after="0" w:line="25" w:lineRule="exact"/>
        <w:rPr>
          <w:sz w:val="20"/>
          <w:szCs w:val="20"/>
          <w:color w:val="auto"/>
        </w:rPr>
      </w:pPr>
    </w:p>
    <w:p>
      <w:pPr>
        <w:ind w:left="720" w:hanging="370"/>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meet our current working capital needs and contractual obligations;</w:t>
      </w:r>
    </w:p>
    <w:p>
      <w:pPr>
        <w:spacing w:after="0" w:line="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possible difficulties in raising sufficient capital to fund our operations;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continue as a going concern;</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proprietary brand offerings expose us to various risks;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expenses and risks associated with our restructuring activities;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competitive industry pressures;</w:t>
      </w:r>
    </w:p>
    <w:p>
      <w:pPr>
        <w:spacing w:after="0" w:line="10" w:lineRule="exact"/>
        <w:rPr>
          <w:rFonts w:ascii="Times New Roman" w:cs="Times New Roman" w:eastAsia="Times New Roman" w:hAnsi="Times New Roman"/>
          <w:sz w:val="20"/>
          <w:szCs w:val="20"/>
          <w:color w:val="auto"/>
        </w:rPr>
      </w:pPr>
    </w:p>
    <w:p>
      <w:pPr>
        <w:ind w:left="720" w:hanging="370"/>
        <w:spacing w:after="0" w:line="250" w:lineRule="auto"/>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long-lived assets and inventories represent a significant portion of our total assets and we may be required to record additional impairments or write-downs in future periods;</w:t>
      </w:r>
    </w:p>
    <w:p>
      <w:pPr>
        <w:ind w:left="720" w:hanging="370"/>
        <w:spacing w:after="0" w:line="250" w:lineRule="auto"/>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fail to manage our inventory effectively, our results of operations, financial condition and liquidity may be materially and adversely affected;</w:t>
      </w:r>
    </w:p>
    <w:p>
      <w:pPr>
        <w:ind w:left="720" w:hanging="370"/>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risk of damage to, loss of, or theft of our inventory;</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manufacturing risks;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risk that adverse weather may impact our peat harvest;</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risk of product defects;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keep pace with technological advances;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of potential tariffs or a global trade war;</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prices and inflation could negatively impact our margin performance and our financial results;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commitments to long-term leases and our ability to renew or exit our leases;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and risks of operating internationally;</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comply with environmental regulations;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interruptions in our supply chain;</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increasing scrutiny, costs and compliance with environmental, social and governance practices;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climate change on our facilities and operations;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limitations and possible failures of our internal control systems;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maintain effective internal control over financial reporting;</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damage to our reputation could have an adverse effect on our business;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marketing activities may not be successful;</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disruption or breach of our information technology systems;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inaccuracies in our estimates and assumptions relied upon in preparing consolidated financial statements;</w:t>
      </w:r>
    </w:p>
    <w:p>
      <w:pPr>
        <w:spacing w:after="0" w:line="10" w:lineRule="exact"/>
        <w:rPr>
          <w:rFonts w:ascii="Times New Roman" w:cs="Times New Roman" w:eastAsia="Times New Roman" w:hAnsi="Times New Roman"/>
          <w:sz w:val="20"/>
          <w:szCs w:val="20"/>
          <w:color w:val="auto"/>
        </w:rPr>
      </w:pPr>
    </w:p>
    <w:p>
      <w:pPr>
        <w:ind w:left="720" w:hanging="370"/>
        <w:spacing w:after="0" w:line="250" w:lineRule="auto"/>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acquisitions, other strategic alliances and investments could result in operating difficulties, dilution and other harmful consequences that may adversely impact our business and results of operations; and</w:t>
      </w:r>
    </w:p>
    <w:p>
      <w:pPr>
        <w:ind w:left="720" w:hanging="370"/>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potential for product liability lawsuits.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Our Indebtedness</w:t>
      </w:r>
    </w:p>
    <w:p>
      <w:pPr>
        <w:spacing w:after="0" w:line="42" w:lineRule="exact"/>
        <w:rPr>
          <w:sz w:val="20"/>
          <w:szCs w:val="20"/>
          <w:color w:val="auto"/>
        </w:rPr>
      </w:pPr>
    </w:p>
    <w:p>
      <w:pPr>
        <w:ind w:left="720" w:hanging="370"/>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risks associated with our outstanding and future indebtedness of certain of our subsidiaries;</w:t>
      </w:r>
    </w:p>
    <w:p>
      <w:pPr>
        <w:spacing w:after="0" w:line="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make our debt service payments pursuant to the Term Loan; and</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imposed by the Term Loan, including on our ability to sell products directly to the cannabis industry.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Third Parties</w:t>
      </w:r>
    </w:p>
    <w:p>
      <w:pPr>
        <w:spacing w:after="0" w:line="42" w:lineRule="exact"/>
        <w:rPr>
          <w:sz w:val="20"/>
          <w:szCs w:val="20"/>
          <w:color w:val="auto"/>
        </w:rPr>
      </w:pPr>
    </w:p>
    <w:p>
      <w:pPr>
        <w:ind w:left="720" w:right="20" w:hanging="370"/>
        <w:spacing w:after="0" w:line="249"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our suppliers sell directly into the retail market that we conduct our current or future business in, or our customers manufacture and sell competitive products, we may face increased competition;</w:t>
      </w:r>
    </w:p>
    <w:p>
      <w:pPr>
        <w:spacing w:after="0" w:line="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disruption in our global supply chain or vendor relationships may make sourcing more difficult;</w:t>
      </w:r>
    </w:p>
    <w:p>
      <w:pPr>
        <w:spacing w:after="0" w:line="10" w:lineRule="exact"/>
        <w:rPr>
          <w:rFonts w:ascii="Times New Roman" w:cs="Times New Roman" w:eastAsia="Times New Roman" w:hAnsi="Times New Roman"/>
          <w:sz w:val="20"/>
          <w:szCs w:val="20"/>
          <w:color w:val="auto"/>
        </w:rPr>
      </w:pPr>
    </w:p>
    <w:p>
      <w:pPr>
        <w:ind w:left="720" w:hanging="370"/>
        <w:spacing w:after="0" w:line="250"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significant interruption in the operation of our or our suppliers’ facilities could impact our capacity to produce products and service our customers, which could adversely affect revenues and earnings; and</w:t>
      </w:r>
    </w:p>
    <w:p>
      <w:pPr>
        <w:ind w:left="720" w:hanging="370"/>
        <w:spacing w:after="0" w:line="260"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our suppliers are unable to source raw materials or the prices of raw materials increase, this may adversely affect our results of operations.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the Cannabis Industry</w:t>
      </w:r>
    </w:p>
    <w:p>
      <w:pPr>
        <w:spacing w:after="0" w:line="41" w:lineRule="exact"/>
        <w:rPr>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federal and state regulations pertaining to the use and cultivation of cannabis may adversely affect our business;</w:t>
      </w:r>
    </w:p>
    <w:p>
      <w:pPr>
        <w:spacing w:after="0" w:line="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products are subject to varying, inconsistent and rapidly changing laws;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subject to a number of risks, directly and indirectly, because cannabis is illegal under federal law;</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indirect involvement in the cannabis industry could adversely affect our public reputation; and</w:t>
      </w:r>
    </w:p>
    <w:p>
      <w:pPr>
        <w:sectPr>
          <w:pgSz w:w="12240" w:h="15840" w:orient="portrait"/>
          <w:cols w:equalWidth="0" w:num="1">
            <w:col w:w="10260"/>
          </w:cols>
          <w:pgMar w:left="1000" w:top="430" w:right="980" w:bottom="0" w:gutter="0" w:footer="0" w:header="0"/>
        </w:sectPr>
      </w:pPr>
    </w:p>
    <w:p>
      <w:pPr>
        <w:spacing w:after="0" w:line="31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10260"/>
          </w:cols>
          <w:pgMar w:left="1000" w:top="430" w:right="980" w:bottom="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91" w:lineRule="exact"/>
        <w:rPr>
          <w:sz w:val="20"/>
          <w:szCs w:val="20"/>
          <w:color w:val="auto"/>
        </w:rPr>
      </w:pPr>
    </w:p>
    <w:p>
      <w:pPr>
        <w:ind w:left="720" w:hanging="370"/>
        <w:spacing w:after="0" w:line="288" w:lineRule="auto"/>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businesses involved in the cannabis industry are subject to a variety of laws and regulations related to money laundering, financial recordkeeping and proceeds of crimes.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Other Regulations</w:t>
      </w:r>
    </w:p>
    <w:p>
      <w:pPr>
        <w:spacing w:after="0" w:line="41" w:lineRule="exact"/>
        <w:rPr>
          <w:sz w:val="20"/>
          <w:szCs w:val="20"/>
          <w:color w:val="auto"/>
        </w:rPr>
      </w:pPr>
    </w:p>
    <w:p>
      <w:pPr>
        <w:ind w:left="720" w:hanging="370"/>
        <w:spacing w:after="0" w:line="249"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restricted by certain state and other regulations pertaining to the use of certain ingredients in grow media and plant nutrients, including the use of pesticides; and</w:t>
      </w:r>
    </w:p>
    <w:p>
      <w:pPr>
        <w:spacing w:after="0" w:line="1" w:lineRule="exact"/>
        <w:rPr>
          <w:rFonts w:ascii="Times New Roman" w:cs="Times New Roman" w:eastAsia="Times New Roman" w:hAnsi="Times New Roman"/>
          <w:sz w:val="20"/>
          <w:szCs w:val="20"/>
          <w:color w:val="auto"/>
        </w:rPr>
      </w:pPr>
    </w:p>
    <w:p>
      <w:pPr>
        <w:ind w:left="720" w:hanging="370"/>
        <w:spacing w:after="0" w:line="260"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restricted by certain U.S., state and foreign laws regarding how we collect, store and process personal information.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Our Intellectual Property</w:t>
      </w:r>
    </w:p>
    <w:p>
      <w:pPr>
        <w:spacing w:after="0" w:line="42" w:lineRule="exact"/>
        <w:rPr>
          <w:sz w:val="20"/>
          <w:szCs w:val="20"/>
          <w:color w:val="auto"/>
        </w:rPr>
      </w:pPr>
    </w:p>
    <w:p>
      <w:pPr>
        <w:ind w:left="720" w:hanging="370"/>
        <w:spacing w:after="0" w:line="249"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be able to adequately obtain, maintain, protect or enforce our intellectual property and other proprietary rights;</w:t>
      </w:r>
    </w:p>
    <w:p>
      <w:pPr>
        <w:spacing w:after="0" w:line="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need to rely on licenses to proprietary technologies, which could be difficult or expensive to obtain; and</w:t>
      </w:r>
    </w:p>
    <w:p>
      <w:pPr>
        <w:spacing w:after="0" w:line="10" w:lineRule="exact"/>
        <w:rPr>
          <w:rFonts w:ascii="Times New Roman" w:cs="Times New Roman" w:eastAsia="Times New Roman" w:hAnsi="Times New Roman"/>
          <w:sz w:val="20"/>
          <w:szCs w:val="20"/>
          <w:color w:val="auto"/>
        </w:rPr>
      </w:pPr>
    </w:p>
    <w:p>
      <w:pPr>
        <w:ind w:left="720" w:hanging="370"/>
        <w:spacing w:after="0" w:line="260"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become subject to costly intellectual property disputes that require us to divert resources from our usual operations.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Our Capital Stock</w:t>
      </w:r>
    </w:p>
    <w:p>
      <w:pPr>
        <w:spacing w:after="0" w:line="42" w:lineRule="exact"/>
        <w:rPr>
          <w:sz w:val="20"/>
          <w:szCs w:val="20"/>
          <w:color w:val="auto"/>
        </w:rPr>
      </w:pPr>
    </w:p>
    <w:p>
      <w:pPr>
        <w:ind w:left="720" w:hanging="370"/>
        <w:spacing w:after="0" w:line="249"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incur indebtedness or issue capital stock that ranks senior or equally to our common stock with certain liquidation preference and other rights, which may dilute our stockholders’ ownership interest;</w:t>
      </w:r>
    </w:p>
    <w:p>
      <w:pPr>
        <w:spacing w:after="0" w:line="1" w:lineRule="exact"/>
        <w:rPr>
          <w:rFonts w:ascii="Times New Roman" w:cs="Times New Roman" w:eastAsia="Times New Roman" w:hAnsi="Times New Roman"/>
          <w:sz w:val="20"/>
          <w:szCs w:val="20"/>
          <w:color w:val="auto"/>
        </w:rPr>
      </w:pPr>
    </w:p>
    <w:p>
      <w:pPr>
        <w:jc w:val="both"/>
        <w:ind w:left="720" w:hanging="370"/>
        <w:spacing w:after="0" w:line="250"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provisions in the Term Loan, our corporate charter documents and under Delaware law could make an acquisition of our company more difficult and may prevent attempts by our stockholders to replace or remove current management or to obtain a favorable judicial forum for disputes with directors, officers or employees;</w:t>
      </w:r>
    </w:p>
    <w:p>
      <w:pPr>
        <w:spacing w:after="0" w:line="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meet the continued listing standards of the Nasdaq; and</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market price of our common stock may be volatile.</w:t>
      </w:r>
    </w:p>
    <w:p>
      <w:pPr>
        <w:sectPr>
          <w:pgSz w:w="12240" w:h="15840" w:orient="portrait"/>
          <w:cols w:equalWidth="0" w:num="1">
            <w:col w:w="10260"/>
          </w:cols>
          <w:pgMar w:left="1000" w:top="43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10260"/>
          </w:cols>
          <w:pgMar w:left="1000" w:top="430" w:right="980" w:bottom="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91"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Our operations and financial results are subject to various risks and uncertainties including those described below. You should consider carefully the risks and uncertainties described below, in addition to other information contained in this Annual Report on Form 10-K, including our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common stock could decline.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Our Business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not able to meet our current working capital needs and contractual obligations.</w:t>
      </w:r>
    </w:p>
    <w:p>
      <w:pPr>
        <w:spacing w:after="0" w:line="210"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We face significant liquidity constraints that raise substantial uncertainty regarding our ability to meet our current obligations as they become due and as previously disclosed, we elected to defer making the interest payment of approximately $2.8 million on the Term Loan in February 2026. Our operating cash flows have been insufficient to fully support our working capital needs and contractual obligations, and we require additional sources of liquidity to satisfy upcoming payment obligations, including vendor payables, debt service requirements, lease commitments, and other contractual liabilities. If our cash flows from operations do not improve, or if we are unable to obtain additional financing on acceptable terms, we are unable to meet these obligations when due.</w:t>
      </w:r>
    </w:p>
    <w:p>
      <w:pPr>
        <w:spacing w:after="0" w:line="163"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0"/>
          <w:szCs w:val="20"/>
          <w:color w:val="auto"/>
        </w:rPr>
        <w:t>Management has developed and is implementing a plan intended to improve our liquidity position. These actions include cost reduction and restructuring initiatives, efforts to improve operating efficiency, negotiations with lenders and key vendors, and the pursuit of additional financing or strategic alternatives. While we believe these actions, if successfully executed, could provide sufficient liquidity to meet our obligations for the foreseeable future, there can be no assurance that these plans will be achieved within the necessary timeframes or at all. Our ability to execute these plans depends on factors that are outside of our control, including market conditions, lender and vendor cooperation, and the performance of our business.</w:t>
      </w:r>
    </w:p>
    <w:p>
      <w:pPr>
        <w:spacing w:after="0" w:line="162" w:lineRule="exact"/>
        <w:rPr>
          <w:sz w:val="20"/>
          <w:szCs w:val="20"/>
          <w:color w:val="auto"/>
        </w:rPr>
      </w:pPr>
    </w:p>
    <w:p>
      <w:pPr>
        <w:jc w:val="both"/>
        <w:ind w:firstLine="720"/>
        <w:spacing w:after="0" w:line="263" w:lineRule="auto"/>
        <w:rPr>
          <w:sz w:val="20"/>
          <w:szCs w:val="20"/>
          <w:color w:val="auto"/>
        </w:rPr>
      </w:pPr>
      <w:r>
        <w:rPr>
          <w:rFonts w:ascii="Times New Roman" w:cs="Times New Roman" w:eastAsia="Times New Roman" w:hAnsi="Times New Roman"/>
          <w:sz w:val="20"/>
          <w:szCs w:val="20"/>
          <w:color w:val="auto"/>
        </w:rPr>
        <w:t>If we are unable to generate sufficient liquidity or successfully implement our plans, we may need to delay or reduce expenditures, restructure or refinance existing obligations, seek additional debt or equity financing, or pursue other strategic alternatives. Failure to meet our obligations as they come due could have a material adverse effect on our business, financial condition, and results of operations.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obtain sufficient capital and may be forced to limit the scope of our operations.</w:t>
      </w:r>
    </w:p>
    <w:p>
      <w:pPr>
        <w:spacing w:after="0" w:line="210" w:lineRule="exact"/>
        <w:rPr>
          <w:sz w:val="20"/>
          <w:szCs w:val="20"/>
          <w:color w:val="auto"/>
        </w:rPr>
      </w:pPr>
    </w:p>
    <w:p>
      <w:pPr>
        <w:jc w:val="both"/>
        <w:ind w:firstLine="720"/>
        <w:spacing w:after="0" w:line="268" w:lineRule="auto"/>
        <w:rPr>
          <w:sz w:val="20"/>
          <w:szCs w:val="20"/>
          <w:color w:val="auto"/>
        </w:rPr>
      </w:pPr>
      <w:r>
        <w:rPr>
          <w:rFonts w:ascii="Times New Roman" w:cs="Times New Roman" w:eastAsia="Times New Roman" w:hAnsi="Times New Roman"/>
          <w:sz w:val="20"/>
          <w:szCs w:val="20"/>
          <w:color w:val="auto"/>
        </w:rPr>
        <w:t>As of the date of this Annual Report on Form 10-K, we are experiencing increased capital needs and accordingly, we do not have sufficient capital to fund our future operations without additional capital investments. There can be no assurance that additional capital will be available to us to fund our operations and the execution of our strategies.</w:t>
      </w:r>
    </w:p>
    <w:p>
      <w:pPr>
        <w:spacing w:after="0" w:line="14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Due to our recurring operating losses and negative cash flows from operations, there is substantial doubt as to our ability to continue as a going concern. We may need additional financing to execute our business plan, to fund our operations, and to continue as a going concern. Our disclosure regarding the substantial doubt as to our ability to continue as a going concern may hinder our ability to obtain further financing.</w:t>
      </w:r>
    </w:p>
    <w:p>
      <w:pPr>
        <w:spacing w:after="0" w:line="152"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Due to our recurring operating losses, negative cash flows from operations, and our $114.4 million reclassification of Term Loan principal to current portion of long-term debt, management has determined that our present capital resources may not be sufficient to fund our planned operations for at least one year from the date of this Annual Report on Form 10-K, and there is substantial doubt as to our ability to continue as a going concern. Our ability to continue as a going concern will depend on our ability to generate cash from operations and obtain additional financing to fund our operations after our current resources are exhausted, and no assurances can be given that additional financing will be available to us on commercially reasonable terms, or at all. If we are unable to raise sufficient capital when needed, our business, financial condition, and results of operations will be materially and adversely affected, and we will need to modify our operational plans to continue as a going concern. Moreover, the reaction of investors to the inclusion of a going concern statement in our financial statements and our potential inability to continue as a going concern could adversely affect the price of our common stock and our ability to raise new capital or enter into strategic or other transactions.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proprietary brand offerings expose us to various risks.</w:t>
      </w:r>
    </w:p>
    <w:p>
      <w:pPr>
        <w:spacing w:after="0" w:line="209"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color w:val="auto"/>
        </w:rPr>
        <w:t>We have invested in acquisition and development of our proprietary brand offerings. Although we believe that our proprietary brand products offer value to our customers and generally provide us with higher gross margins than comparable</w:t>
      </w:r>
    </w:p>
    <w:p>
      <w:pPr>
        <w:sectPr>
          <w:pgSz w:w="12240" w:h="15840" w:orient="portrait"/>
          <w:cols w:equalWidth="0" w:num="1">
            <w:col w:w="10260"/>
          </w:cols>
          <w:pgMar w:left="1000" w:top="43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10260"/>
          </w:cols>
          <w:pgMar w:left="1000" w:top="430" w:right="980" w:bottom="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91"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20"/>
          <w:szCs w:val="20"/>
          <w:color w:val="auto"/>
        </w:rPr>
        <w:t>third-party branded products we sell, the expansion of our proprietary brand offerings also subjects us to certain specific risks in addition to those discussed elsewhere in this section, such as:</w:t>
      </w:r>
    </w:p>
    <w:p>
      <w:pPr>
        <w:spacing w:after="0" w:line="128" w:lineRule="exact"/>
        <w:rPr>
          <w:sz w:val="20"/>
          <w:szCs w:val="20"/>
          <w:color w:val="auto"/>
        </w:rPr>
      </w:pPr>
    </w:p>
    <w:p>
      <w:pPr>
        <w:ind w:left="1440" w:hanging="370"/>
        <w:spacing w:after="0"/>
        <w:tabs>
          <w:tab w:leader="none" w:pos="14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mandatory or voluntary product recalls;</w:t>
      </w:r>
    </w:p>
    <w:p>
      <w:pPr>
        <w:spacing w:after="0" w:line="209"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supply chain disruptions;</w:t>
      </w:r>
    </w:p>
    <w:p>
      <w:pPr>
        <w:spacing w:after="0" w:line="210" w:lineRule="exact"/>
        <w:rPr>
          <w:rFonts w:ascii="Times New Roman" w:cs="Times New Roman" w:eastAsia="Times New Roman" w:hAnsi="Times New Roman"/>
          <w:sz w:val="20"/>
          <w:szCs w:val="20"/>
          <w:color w:val="auto"/>
        </w:rPr>
      </w:pPr>
    </w:p>
    <w:p>
      <w:pPr>
        <w:ind w:left="720" w:firstLine="350"/>
        <w:spacing w:after="0" w:line="288" w:lineRule="auto"/>
        <w:tabs>
          <w:tab w:leader="none" w:pos="14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successfully obtain, maintain, protect and enforce our intellectual property rights (including defending against counterfeit, knock offs, grey-market, infringing or otherwise unauthorized goods); and</w:t>
      </w:r>
    </w:p>
    <w:p>
      <w:pPr>
        <w:spacing w:after="0" w:line="128"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successfully navigate and avoid claims related to the proprietary rights of third parties.</w:t>
      </w:r>
    </w:p>
    <w:p>
      <w:pPr>
        <w:spacing w:after="0" w:line="209" w:lineRule="exact"/>
        <w:rPr>
          <w:sz w:val="20"/>
          <w:szCs w:val="20"/>
          <w:color w:val="auto"/>
        </w:rPr>
      </w:pPr>
    </w:p>
    <w:p>
      <w:pPr>
        <w:jc w:val="both"/>
        <w:ind w:firstLine="720"/>
        <w:spacing w:after="0" w:line="269" w:lineRule="auto"/>
        <w:rPr>
          <w:sz w:val="20"/>
          <w:szCs w:val="20"/>
          <w:color w:val="auto"/>
        </w:rPr>
      </w:pPr>
      <w:r>
        <w:rPr>
          <w:rFonts w:ascii="Times New Roman" w:cs="Times New Roman" w:eastAsia="Times New Roman" w:hAnsi="Times New Roman"/>
          <w:sz w:val="20"/>
          <w:szCs w:val="20"/>
          <w:color w:val="auto"/>
        </w:rPr>
        <w:t>An increase in sales of our proprietary brands may also adversely affect our sales of our vendors’ products, which may, in turn, adversely affect our relationship with our vendors. Our failure to adequately address some or all of these risks could have a material adverse effect on our business, results of operations and financial condition.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restructuring activities may increase our expenses and cash expenditures, and may not have the intended effects.</w:t>
      </w:r>
    </w:p>
    <w:p>
      <w:pPr>
        <w:spacing w:after="0" w:line="210"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 xml:space="preserve">In connection with our restructuring plans, we have implemented a number of restructuring initiatives designed to streamline our operations, reduce costs, and improve efficiencies during the industry recession. See </w:t>
      </w:r>
      <w:r>
        <w:rPr>
          <w:rFonts w:ascii="Times New Roman" w:cs="Times New Roman" w:eastAsia="Times New Roman" w:hAnsi="Times New Roman"/>
          <w:sz w:val="20"/>
          <w:szCs w:val="20"/>
          <w:i w:val="1"/>
          <w:iCs w:val="1"/>
          <w:color w:val="auto"/>
        </w:rPr>
        <w:t>Item 7, Management’s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Discussion and Analysis of Financial Condition And Results of Operations – Market Conditions </w:t>
      </w:r>
      <w:r>
        <w:rPr>
          <w:rFonts w:ascii="Times New Roman" w:cs="Times New Roman" w:eastAsia="Times New Roman" w:hAnsi="Times New Roman"/>
          <w:sz w:val="20"/>
          <w:szCs w:val="20"/>
          <w:color w:val="auto"/>
        </w:rPr>
        <w:t>included elsewhere in this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Annual Report on Form 10-K for more information regarding our restructuring plans. Restructuring actions typically result in charges and cash expenditures that may adversely affect financial results for one or more periods, and efforts to minimize or eliminate such expenditures may not be successful. Moreover, restructuring actions can create unanticipated consequences, such as instability or distraction among our workforce or among management.</w:t>
      </w:r>
    </w:p>
    <w:p>
      <w:pPr>
        <w:spacing w:after="0" w:line="162"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We cannot assure you that any restructuring plans or any other cost-saving initiatives we may undertake will be successful. A variety of factors, many of which are beyond our control, could cause us not to realize expected cost savings, including, but not limited to, unexpected costs incurred in connection with consolidating and/or closing certain operations or asset write-downs, delays or difficulty terminating leases, unexpected integration challenges, unintended attrition and temporary instability. Any of these factors could hamper our ability to grow and meet customer demand in future periods. If we are unable to structure our operations in light of evolving market conditions, this could have a material adverse effect on our business, financial condition, results of operations, and cash flows.</w:t>
      </w:r>
    </w:p>
    <w:p>
      <w:pPr>
        <w:spacing w:after="0" w:line="163"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Further, if we are unsuccessful with our restructuring and other cost-saving initiatives, improving our profitability or raising capital, it will have a material adverse effect on our business and financial position and we may choose to pursue a filing under Chapter 11 under the U.S. Bankruptcy Code or access receivership or similar processes, or otherwise wind-up our business and liquidate. See the risk factor titled “</w:t>
      </w:r>
      <w:r>
        <w:rPr>
          <w:rFonts w:ascii="Times New Roman" w:cs="Times New Roman" w:eastAsia="Times New Roman" w:hAnsi="Times New Roman"/>
          <w:sz w:val="20"/>
          <w:szCs w:val="20"/>
          <w:i w:val="1"/>
          <w:iCs w:val="1"/>
          <w:color w:val="auto"/>
        </w:rPr>
        <w:t>We are subject to a number of risks, directly and indirectly through Cannabis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Industry Participants, because cannabis is illegal under federal law</w:t>
      </w:r>
      <w:r>
        <w:rPr>
          <w:rFonts w:ascii="Times New Roman" w:cs="Times New Roman" w:eastAsia="Times New Roman" w:hAnsi="Times New Roman"/>
          <w:sz w:val="20"/>
          <w:szCs w:val="20"/>
          <w:color w:val="auto"/>
        </w:rPr>
        <w:t>” for further information on risks related to our access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federal bankruptcy protection as a cannabis-related businesses. Seeking bankruptcy court protection, accessing receivership or similar processes or otherwise winding up our business and liquidating could have a material adverse effect on our business, financial condition, results of operations and liquidity. While these proceedings or processes continue, our management would spend substantial time and effort on the reorganization instead of our business operations. These proceedings or processes also could make it more difficult to retain management and other key personnel necessary to the success and operation of our business. In addition, while we are involved in a bankruptcy proceeding, or similar process, our customers might lose confidence in our ability to reorganize our business successfully and seek to establish alternative commercial relationships. Because our indebtedness is senior to our common stock in our capital structure, a bankruptcy proceeding or similar process, could result in a limited recovery, if any, for our stockholders, and would place our stockholders at significant risk of losing all of their investment in our common stock.</w:t>
      </w:r>
    </w:p>
    <w:p>
      <w:pPr>
        <w:spacing w:after="0" w:line="1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We may not successfully develop new products, improve existing products, or maintain our effectiveness in reaching consumers through rapidly evolving communication vehicles.</w:t>
      </w:r>
    </w:p>
    <w:p>
      <w:pPr>
        <w:spacing w:after="0" w:line="129"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Our future success depends, in part, upon our ability to improve our existing products and to develop, manufacture and market new products to meet evolving consumer needs. We cannot be certain that we will be successful in developing, manufacturing and marketing new products or product innovations which satisfy consumer needs or achieve market acceptance, or that we will develop, manufacture and market new products or product innovations in a timely manner. If we fail to successfully develop, manufacture and market new products or product innovations, or if we fail to reach existing and potential consumers, our ability to maintain or grow our market share may be adversely affected, which in turn could materially adversely affect our business, financial condition and results of operations. In addition, the development and introduction of</w:t>
      </w:r>
    </w:p>
    <w:p>
      <w:pPr>
        <w:sectPr>
          <w:pgSz w:w="12240" w:h="15840" w:orient="portrait"/>
          <w:cols w:equalWidth="0" w:num="1">
            <w:col w:w="10260"/>
          </w:cols>
          <w:pgMar w:left="1000" w:top="430" w:right="980" w:bottom="0"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10260"/>
          </w:cols>
          <w:pgMar w:left="1000" w:top="430" w:right="980" w:bottom="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9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new products and product innovations require substantial research, development and marketing expenditures. We may be unable to invest in new products and innovations, and may be unable to recoup any such investments if our new products or innovations do not achieve market acceptance.</w:t>
      </w:r>
    </w:p>
    <w:p>
      <w:pPr>
        <w:spacing w:after="0" w:line="147"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0"/>
          <w:szCs w:val="20"/>
          <w:color w:val="auto"/>
        </w:rPr>
        <w:t>Many of the products we distribute and market, such as our fertilizers and nutrients, contain ingredients that are subject to regulatory approval or registration with certain U.S., Canadian and/or international regulators. The need to obtain such approval or registration could delay the launch of new products or product innovations that contain such ingredients or otherwise prevent us from developing and manufacturing certain products and product innovations. Failure to properly register and maintain these registrations for these products could result in significant penalties, additional costs, product stop-sales or recalls.</w:t>
      </w:r>
    </w:p>
    <w:p>
      <w:pPr>
        <w:spacing w:after="0" w:line="16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competitors and potential competitors may develop products and technologies that are more effective or commercially attractive than our products.</w:t>
      </w:r>
    </w:p>
    <w:p>
      <w:pPr>
        <w:spacing w:after="0" w:line="128"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Our products compete against national and regional products and private label products produced by various suppliers, many of which are established companies that provide products that perform functions similar to our products. Our competitors may develop or market products that are more effective or commercially attractive than our current or future products. Some of our competitors have substantially greater financial, operational, marketing and technical resources than we do. Moreover, some of these competitors may offer a broader array of products and sell their products at prices lower than ours, and may have greater name recognition. In addition, we may face competition from new entrants into our field. Due to this competition, we may encounter difficulties in generating revenues and capturing market share. In addition, increased competition may lead to reduced prices and/or margins for products we sell. We may not have the financial resources, relationships with key suppliers, technical expertise or marketing, distribution or support capabilities to compete successfully in the future.</w:t>
      </w:r>
    </w:p>
    <w:p>
      <w:pPr>
        <w:spacing w:after="0" w:line="16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Long-lived assets and inventories represent a significant portion of our total assets and we may be required to record additional impairments or write-downs in future periods.</w:t>
      </w:r>
    </w:p>
    <w:p>
      <w:pPr>
        <w:spacing w:after="0" w:line="129"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Our consolidated balance sheet as of December 31, 2025 includes $33.3 million of inventories, $37.8 million of operating lease right-of-use assets, $30.3 million of property, plant, and equipment, net, and $2.8 million of intangible assets, net. We have experienced sales declines, which we believe are primarily a result of agricultural oversupply impacting our market. The extent to which these market conditions will continue to impact our business, results of operations, and cash flows are uncertain and difficult to predict at this time, and may result in lower margins, inventory write-downs, accounts receivable allowances, and additional impairments of our long-lived assets which could have a material adverse effect on our business, financial condition and results of operations.</w:t>
      </w:r>
    </w:p>
    <w:p>
      <w:pPr>
        <w:spacing w:after="0" w:line="163"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During the year ended December 31, 2025, we recorded impairment charges of $232.2 million. Of the impairment charge, $228.4 million was related to finite-lived intangible assets and $3.8 million was related to property, plant, and equipment. Long-lived assets, such as intangible assets, property, plant and equipment and operating lease right-of-use assets are reviewed for impairment whenever events, changes or circumstances indicate that the carrying amount of an asset or asset group may not be recoverable. If we were to conclude that a future write-down of our long-lived assets is necessary, we would have to record the appropriate charge, which could result in a material adverse effect on our results of operations.</w:t>
      </w:r>
    </w:p>
    <w:p>
      <w:pPr>
        <w:spacing w:after="0" w:line="157"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During the years ended December 31, 2025 and 2024, we recorded significant allowances for obsolete inventory and restructuring charges associated with inventory write-downs. Inventories consist of manufactured goods, goods acquired for resale, and materials consumed in business operations. Inventories are stated at the lower of cost or net realizable value, and we maintain an allowance for excess and obsolete inventory. The estimate for excess and obsolete inventory is based upon assumptions about current and anticipated demand, customer preferences, business strategies, and market conditions.</w:t>
      </w:r>
    </w:p>
    <w:p>
      <w:pPr>
        <w:spacing w:after="0" w:line="158" w:lineRule="exact"/>
        <w:rPr>
          <w:sz w:val="20"/>
          <w:szCs w:val="20"/>
          <w:color w:val="auto"/>
        </w:rPr>
      </w:pPr>
    </w:p>
    <w:p>
      <w:pPr>
        <w:ind w:right="1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fail to manage our inventory effectively, our results of operations, financial condition and liquidity may be materially and adversely affected.</w:t>
      </w:r>
    </w:p>
    <w:p>
      <w:pPr>
        <w:spacing w:after="0" w:line="128"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Our business requires us to manage inventory effectively. We depend on our forecasts of demand for, and popularity of, various products to make purchase decisions and to manage our inventory of stock-keeping units. Demand for products, however, can change significantly between the time inventory or components are ordered and the date of sale. Demand may be affected by seasonality, new product launches, rapid changes in product cycles and pricing, product defects, promotions, changes in consumer spending patterns, changes in consumer tastes with respect to our products and other factors, and our consumers may not purchase products in the quantities that we expect. It may be difficult to accurately forecast demand and determine appropriate levels of product or components. From time to time in the normal course of business, we enter into agreements with our suppliers pursuant to which we are required to purchase minimum amounts of inventory over a defined time period. We receive favorable pricing terms in exchange for this arrangement, but such agreements could lead to an</w:t>
      </w:r>
    </w:p>
    <w:p>
      <w:pPr>
        <w:sectPr>
          <w:pgSz w:w="12240" w:h="15840" w:orient="portrait"/>
          <w:cols w:equalWidth="0" w:num="1">
            <w:col w:w="10260"/>
          </w:cols>
          <w:pgMar w:left="1000" w:top="430" w:right="980" w:bottom="0" w:gutter="0" w:footer="0" w:header="0"/>
        </w:sectPr>
      </w:pPr>
    </w:p>
    <w:p>
      <w:pPr>
        <w:spacing w:after="0" w:line="39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10260"/>
          </w:cols>
          <w:pgMar w:left="1000" w:top="430" w:right="980" w:bottom="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9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oversupply of inventory. If we fail to manage our inventory effectively or negotiate favorable credit terms with third-party suppliers, we may be subject to a heightened risk of inventory obsolescence, a decline in inventory values, and significant inventory write-downs or write-offs. In addition, if we are required to lower sale prices in order to reduce inventory level or to pay higher prices to our suppliers, our profit margins might be negatively affected. Any of the above may materially and adversely affect our business, financial condition and results of operations.</w:t>
      </w:r>
    </w:p>
    <w:p>
      <w:pPr>
        <w:spacing w:after="0" w:line="155"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Our inventory is vulnerable to damage or loss caused by accidents or natural disasters, and we face the risk of theft of our products from inventory or during shipment.</w:t>
      </w:r>
    </w:p>
    <w:p>
      <w:pPr>
        <w:spacing w:after="0" w:line="129"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Our inventory is stored at warehouses in the United States, Canada and Spain. Our inventory is vulnerable to accidents, fire, flood, earthquakes, and similar events that may impact our facilities. Any damage to or loss of all or a significant portion of our inventory could cause significant delays in shipment of goods to our customers, resulting in negative publicity about and diminished customer confidence in our business. In addition, we may experience theft of our products while they are being held in inventory, or during the course of their shipment to other warehouses within our network, or during shipment to our customers. We maintain insurance to cover losses resulting from theft. Nevertheless, if our security measures fail, losses exceed our insurance coverage or are not otherwise covered by insurance, or we are not able to maintain insurance at a reasonable cost, we could incur significant losses from damage, loss or theft, any of which could substantially harm our business and results of operations.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exposed to manufacturing risks that could adversely affect our business and results of operations.</w:t>
      </w:r>
    </w:p>
    <w:p>
      <w:pPr>
        <w:spacing w:after="0" w:line="210"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We are exposed to manufacturing risks generally and there is no assurance that our manufacturing activities will not cause us to incur material unexpected costs or liabilities. Our manufacturing processes may experience problems including equipment malfunctions, facility contamination, labor problems, raw material shortages or contamination, natural disasters, power outages, terrorist activities, safety and certification issues, or disruptions in the operations of our suppliers which could result in product defects, product recalls, product liability claims and insufficient inventory or supply of product for our customers. For example, the nutrient and fertilizer manufacturing operations may expose us to handling potentially hazardous or explosive chemicals. We cannot eliminate the risk of accidental contamination or injury from such chemicals, and any accident caused by such chemicals could result in cleanup costs, diversion of management attention and potential liability, all of which could affect our reputation, business and results of operations. Any defects in the products we manufacture may result in delayed shipments to customers or reduced or canceled customer orders. If these defects or deficiencies are significant, our business reputation may be damaged. The failure of the products that we manufacture or of our manufacturing processes or facilities may subject us to regulatory enforcement, fines or penalties and, in some cases, require us to shut down, temporarily halt operations or incur considerable expense to correct a manufacturing process or facility. In addition, these defects may result in liability claims against us, expose us to liability to pay for the recall or remanufacture of a product or adversely affect product sales or our reputation. The storage, handling, production and disposal of materials in our manufacturing facilities may expose us to liability under environmental laws and regulations. Potentially significant expenditures could also be required to comply with evolving interpretations of existing environmental, health and safety laws and regulations or any new such laws and regulations (including laws and regulation related to global climate change and its impact) that may be adopted in the future. Costs associated with failure to comply with such laws and regulations could have an adverse effect on our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peat bogs are susceptible to sudden changes in weather and the impacts of climate change.</w:t>
      </w:r>
    </w:p>
    <w:p>
      <w:pPr>
        <w:spacing w:after="0" w:line="210"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We maintain a peat moss harvesting operation in Alberta, Canada. Peat bogs rely on predictable weather; sun and wind are required to dry the top surface, and too much rain can cause compaction and impede the ability of vacuum harvesters to collect the peat. Peat must be harvested during a narrow window of three to six months during the summer/ fall, and if summer is late or especially wet, this can have an adverse impact on the year’s harvest. Conversely, if temperatures are too high, this can cause an increase in peat decomposition rates, and extended droughts can aggravate such decomposition. Any of these risks may be further exacerbated by climate change and the heightened risk of forest fires. If our peat bogs are damaged or our peat harvest is less than anticipated for one or more seasons, this could have an adverse impact on our business and results of operations.</w:t>
      </w:r>
    </w:p>
    <w:p>
      <w:pPr>
        <w:spacing w:after="0" w:line="16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A significant product defect or product recall could materially and adversely affect our brand image, causing a decline in our sales and profitability, and could reduce or deplete our financial resources.</w:t>
      </w:r>
    </w:p>
    <w:p>
      <w:pPr>
        <w:spacing w:after="0" w:line="129" w:lineRule="exact"/>
        <w:rPr>
          <w:sz w:val="20"/>
          <w:szCs w:val="20"/>
          <w:color w:val="auto"/>
        </w:rPr>
      </w:pPr>
    </w:p>
    <w:p>
      <w:pPr>
        <w:jc w:val="both"/>
        <w:ind w:firstLine="720"/>
        <w:spacing w:after="0" w:line="263" w:lineRule="auto"/>
        <w:rPr>
          <w:sz w:val="20"/>
          <w:szCs w:val="20"/>
          <w:color w:val="auto"/>
        </w:rPr>
      </w:pPr>
      <w:r>
        <w:rPr>
          <w:rFonts w:ascii="Times New Roman" w:cs="Times New Roman" w:eastAsia="Times New Roman" w:hAnsi="Times New Roman"/>
          <w:sz w:val="20"/>
          <w:szCs w:val="20"/>
          <w:color w:val="auto"/>
        </w:rPr>
        <w:t>Provided we are successful in developing and selling our products, any product defect could materially harm our brand image and could force us to conduct a product recall. This could damage our relationships with our customers. A product recall would be particularly harmful to us because it could potentially consume significant financial and administrative resources to effectively manage a product recall and it would detract management’s attention from implementing our core business</w:t>
      </w:r>
    </w:p>
    <w:p>
      <w:pPr>
        <w:sectPr>
          <w:pgSz w:w="12240" w:h="15840" w:orient="portrait"/>
          <w:cols w:equalWidth="0" w:num="1">
            <w:col w:w="10260"/>
          </w:cols>
          <w:pgMar w:left="1000" w:top="430" w:right="980" w:bottom="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10260"/>
          </w:cols>
          <w:pgMar w:left="1000" w:top="430" w:right="980" w:bottom="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9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color w:val="auto"/>
        </w:rPr>
        <w:t>strategies. As a result, a significant product defect or product recall could cause a decline in our sales and profitability and could reduce or deplete our financial resources.</w:t>
      </w:r>
    </w:p>
    <w:p>
      <w:pPr>
        <w:spacing w:after="0" w:line="128"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Potential tariffs or a global trade war could increase the cost of our products, which could adversely impact the competitiveness of our products and our financial results.</w:t>
      </w:r>
    </w:p>
    <w:p>
      <w:pPr>
        <w:spacing w:after="0" w:line="129"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The United States has imposed tariffs on certain imports from China, Canada, Mexico, and Europe, including on lighting and environmental control equipment manufactured in China, as well as tariffs on steel and aluminum products produced in other countries. If the U.S. administration imposes additional tariffs, or if additional tariffs or trade restrictions are implemented by the United States or other countries the cost of our products manufactured in China and imported into the United States or other countries could increase, which in turn could adversely affect the demand for these products and have a material adverse effect on our business and results of operations. Furthermore, should new tariffs be enacted on products imported into the United States from Canada, including relating to our peat business, they could adversely affect the demand for these products. In addition, political tensions between and among the United States and China and certain other countries have escalated in recent years. Rising political tensions could reduce trade, investment and other economic activities between the two major economies. We cannot predict whether the countries in which our components and materials are sourced, or may be sourced in the future, will be subject to new or additional tariffs and trade restrictions imposed by the United States or other foreign governments, including the likelihood, type, effect, or magnitude of any such restrictions and their overall impact on our business and our operating results. We also may be unable to quickly and effectively react to such actions to mitigate the impact to our business. The tariffs described above, the adoption and expansion of trade restrictions, the occurrence of a trade war, or other governmental action related to tariffs, trade agreements or related policies have the potential to adversely impact our supply chain and access to equipment, and our costs and ability to economically serve certain markets. Any such cost increases or decreases in availability could slow our growth and cause our financial results and operational metrics to suffer. There is current uncertainty about the future relationship between the United States and other countries with respect to trade policies, taxes, government regulations, and tariffs and we cannot predict whether, and to what extent, U.S. trade policies will change in the future. Any of these factors could have a material adverse effect on our business, prospects, financial condition and results of operations.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Increased prices and inflation could negatively impact our margin performance and our financial results.</w:t>
      </w:r>
    </w:p>
    <w:p>
      <w:pPr>
        <w:spacing w:after="0" w:line="210"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0"/>
          <w:szCs w:val="20"/>
          <w:color w:val="auto"/>
        </w:rPr>
        <w:t>We are exposed to increased inflation, including rising and fluctuating prices for raw materials, parts and components, freight, packaging, labor, and energy, which impact the costs to manufacture and distribute our products, and we may be unable to pass these costs on to our customers. If inflation in these costs increases beyond our ability to control for them through measures such as implementing operating efficiencies, we may not be able to increase prices to sufficiently offset the effect of various cost increases without negatively impacting customer demand, thereby negatively impacting our margin performance and results of operations.</w:t>
      </w:r>
    </w:p>
    <w:p>
      <w:pPr>
        <w:spacing w:after="0" w:line="16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occupy many of our facilities under long-term non-cancellable leases, and we may be unable to renew, sublease or terminate and exit our leases.</w:t>
      </w:r>
    </w:p>
    <w:p>
      <w:pPr>
        <w:spacing w:after="0" w:line="128"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Many of our manufacturing facilities and distribution centers are located on leased premises subject to non-cancellable leases. Typically, our leases have initial terms ranging from three to twelve years, with options to renew for specified periods of time. We believe that our future leases will likely also be long-term and non-cancellable and have similar renewal options. If we close or stop fully utilizing a facility, we will most likely remain obligated to perform under the applicable lease, which would include, among other things, making the base rent payments and paying insurance, taxes and other expenses on the leased property for the remainder of the lease term. In addition, we have executed sublease and/or third party logistics agreements at certain of our facilities. We may choose to sublease additional space, close certain operations and/or terminate lease agreements. We may remain liable for sublease obligations if the sublessee does not perform, or incur additional liabilities as a result of our third party logistics agreements. Our inability to sublease excess space, terminate a lease when we stop fully utilizing a facility or exit a market can have a significant adverse impact on our financial condition, operating results and cash flows.</w:t>
      </w:r>
    </w:p>
    <w:p>
      <w:pPr>
        <w:spacing w:after="0" w:line="163"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In addition, at the end of the lease term and any renewal period for a facility, we may be unable to renew the lease without substantial additional cost, if at all. If we are unable to renew our facility leases, we may close or relocate a facility, which could subject us to construction and other costs and risks, which in turn could have a material adverse effect on our business and operating results. Further, we may not be able to secure a replacement facility in a location that is as commercially viable. Having to close a facility, even briefly to relocate, could reduce the sales that such facility would have contributed to our revenues. We have experienced delays in relocating certain of our facilities as a result of issues impacting the availability of transportation and the provision of other services necessary to open the new location, and may continue to experience similar delays in the future.</w:t>
      </w:r>
    </w:p>
    <w:p>
      <w:pPr>
        <w:sectPr>
          <w:pgSz w:w="12240" w:h="15840" w:orient="portrait"/>
          <w:cols w:equalWidth="0" w:num="1">
            <w:col w:w="10260"/>
          </w:cols>
          <w:pgMar w:left="1000" w:top="430" w:right="980" w:bottom="0" w:gutter="0" w:footer="0" w:header="0"/>
        </w:sectPr>
      </w:pPr>
    </w:p>
    <w:p>
      <w:pPr>
        <w:spacing w:after="0" w:line="31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10260"/>
          </w:cols>
          <w:pgMar w:left="1000" w:top="430" w:right="980" w:bottom="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91"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0"/>
          <w:szCs w:val="20"/>
          <w:b w:val="1"/>
          <w:bCs w:val="1"/>
          <w:i w:val="1"/>
          <w:iCs w:val="1"/>
          <w:color w:val="auto"/>
        </w:rPr>
        <w:t>A disruption in the operations of our freight carriers, higher shipping costs or shipping delays could disrupt our supply chain and could negatively impact our margin performance and our financial results.</w:t>
      </w:r>
    </w:p>
    <w:p>
      <w:pPr>
        <w:spacing w:after="0" w:line="129"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We are dependent on commercial freight carriers to deliver our products. If the operations of these carriers are disrupted for any reason, we may be unable to timely deliver our products to our customers who may choose alternative products causing our net revenues and gross margin to decline. When fuel costs increase, our freight costs generally do so as well. In addition, we operate abroad and international sales carry higher shipping costs which could negatively impact our gross margin and results of operations. If freight and energy costs materially increase and we are unable to successfully pass all or significant portions of the increase along to our customers, or we cannot otherwise offset such increases in our cost of net revenues, our gross margin and financial results could be adversely affected.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international operations make us susceptible to the costs and risks associated with operating internationally.</w:t>
      </w:r>
    </w:p>
    <w:p>
      <w:pPr>
        <w:spacing w:after="0" w:line="209"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color w:val="auto"/>
        </w:rPr>
        <w:t>We operate distribution centers in Canada and Spain and we source and sell products globally. We are subject to risks associated with operating in foreign countries, including:</w:t>
      </w:r>
    </w:p>
    <w:p>
      <w:pPr>
        <w:spacing w:after="0" w:line="128" w:lineRule="exact"/>
        <w:rPr>
          <w:sz w:val="20"/>
          <w:szCs w:val="20"/>
          <w:color w:val="auto"/>
        </w:rPr>
      </w:pPr>
    </w:p>
    <w:p>
      <w:pPr>
        <w:ind w:left="1440" w:hanging="370"/>
        <w:spacing w:after="0"/>
        <w:tabs>
          <w:tab w:leader="none" w:pos="14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currency exchange rates;</w:t>
      </w:r>
    </w:p>
    <w:p>
      <w:pPr>
        <w:spacing w:after="0" w:line="21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limitations on the remittance of dividends and other payments by foreign subsidiaries;</w:t>
      </w:r>
    </w:p>
    <w:p>
      <w:pPr>
        <w:spacing w:after="0" w:line="209"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 costs of compliance with local regulations;</w:t>
      </w:r>
    </w:p>
    <w:p>
      <w:pPr>
        <w:spacing w:after="0" w:line="21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 costs associated with fuel prices and freight/import expenses;</w:t>
      </w:r>
    </w:p>
    <w:p>
      <w:pPr>
        <w:spacing w:after="0" w:line="21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 costs of tariffs;</w:t>
      </w:r>
    </w:p>
    <w:p>
      <w:pPr>
        <w:spacing w:after="0" w:line="209"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certain countries, historically higher rates of inflation than in the United States;</w:t>
      </w:r>
    </w:p>
    <w:p>
      <w:pPr>
        <w:spacing w:after="0" w:line="21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economic conditions or consumer preferences or demand for our products in these markets;</w:t>
      </w:r>
    </w:p>
    <w:p>
      <w:pPr>
        <w:spacing w:after="0" w:line="21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restrictive actions by multi-national governing bodies, foreign governments or subdivisions thereof;</w:t>
      </w:r>
    </w:p>
    <w:p>
      <w:pPr>
        <w:spacing w:after="0" w:line="209"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foreign labor laws and regulations affecting our ability to hire and retain employees;</w:t>
      </w:r>
    </w:p>
    <w:p>
      <w:pPr>
        <w:spacing w:after="0" w:line="21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U.S. and foreign laws regarding trade and investment;</w:t>
      </w:r>
    </w:p>
    <w:p>
      <w:pPr>
        <w:spacing w:after="0" w:line="21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less robust protection of our intellectual property rights under foreign laws;</w:t>
      </w:r>
    </w:p>
    <w:p>
      <w:pPr>
        <w:spacing w:after="0" w:line="209"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difficulty in obtaining distribution and support for our products; and</w:t>
      </w:r>
    </w:p>
    <w:p>
      <w:pPr>
        <w:spacing w:after="0" w:line="21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collect trade receivables in foreign jurisdictions.</w:t>
      </w:r>
    </w:p>
    <w:p>
      <w:pPr>
        <w:spacing w:after="0" w:line="210" w:lineRule="exact"/>
        <w:rPr>
          <w:sz w:val="20"/>
          <w:szCs w:val="20"/>
          <w:color w:val="auto"/>
        </w:rPr>
      </w:pPr>
    </w:p>
    <w:p>
      <w:pPr>
        <w:jc w:val="both"/>
        <w:ind w:firstLine="720"/>
        <w:spacing w:after="0" w:line="262" w:lineRule="auto"/>
        <w:rPr>
          <w:sz w:val="20"/>
          <w:szCs w:val="20"/>
          <w:color w:val="auto"/>
        </w:rPr>
      </w:pPr>
      <w:r>
        <w:rPr>
          <w:rFonts w:ascii="Times New Roman" w:cs="Times New Roman" w:eastAsia="Times New Roman" w:hAnsi="Times New Roman"/>
          <w:sz w:val="20"/>
          <w:szCs w:val="20"/>
          <w:color w:val="auto"/>
        </w:rPr>
        <w:t>In addition, our operations outside the United States are subject to the risk of new and different legal and regulatory requirements in local jurisdictions, potential difficulties in staffing and managing local operations and potentially adverse tax consequences. The costs associated with operating our continuing international business could adversely affect our results of operations, financial condition and cash flows in the future.</w:t>
      </w:r>
    </w:p>
    <w:p>
      <w:pPr>
        <w:spacing w:after="0" w:line="15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Government laws and regulations, including environmental laws and regulations, could result in material costs or otherwise adversely affect our financial condition and results of operations.</w:t>
      </w:r>
    </w:p>
    <w:p>
      <w:pPr>
        <w:spacing w:after="0" w:line="128"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The manufacturing, composition, packaging, storage, distribution and labeling of our products and the manner in which our business operations are conducted must comply with an extensive array of federal, state and foreign laws and regulations. If we are not successful in complying with the requirements of all such regulations, we could be fined or other actions could be taken against us by the applicable governing body, including the possibility of a required product recall. Any such regulatory action could adversely affect our financial condition and results of operations. It is also possible that governments and regulatory agencies will increase regulation, including the adoption of further regulations relating to the transportation, storage or use of certain ingredients, to enhance homeland security or protect the environment and such increased regulation could negatively impact our ability to obtain raw materials, components and/or finished goods or could result in increased costs. In particular, certain legislators, consumers, investors and other stakeholders are focusing on climate change, petroleum usage, waste, recycled material content, and other sustainability concerns pertaining to companies’ ESG policies. Their concerns over climate change may result in new or increased legal and regulatory requirements to reduce or mitigate negative impacts to the environment or may result in new reporting and disclosure requirements. In the event that such</w:t>
      </w:r>
    </w:p>
    <w:p>
      <w:pPr>
        <w:sectPr>
          <w:pgSz w:w="12240" w:h="15840" w:orient="portrait"/>
          <w:cols w:equalWidth="0" w:num="1">
            <w:col w:w="10260"/>
          </w:cols>
          <w:pgMar w:left="1000" w:top="430" w:right="980" w:bottom="0" w:gutter="0" w:footer="0" w:header="0"/>
        </w:sectPr>
      </w:pPr>
    </w:p>
    <w:p>
      <w:pPr>
        <w:spacing w:after="0" w:line="35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10260"/>
          </w:cols>
          <w:pgMar w:left="1000" w:top="430" w:right="980" w:bottom="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9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color w:val="auto"/>
        </w:rPr>
        <w:t>regulations result in increased product or administrative costs, we may not be in a position to increase selling prices, and therefore an increase in costs could have a material adverse effect on our business, financial condition and results of operations.</w:t>
      </w:r>
    </w:p>
    <w:p>
      <w:pPr>
        <w:spacing w:after="0" w:line="128"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Some of our products have compositions that are controlled by various state, federal and international laws and regulations that are subject to change. We are required to comply with these laws and regulations and we seek to (i) anticipate regulatory developments that could impact our ability to continue to produce and market our products and (ii) maintain product formulations that comply with such laws and regulations. There can be no assurance that we will not be required to alter the composition and/or labelling of one or more of our products in a way that will have an adverse effect upon the product’s efficacy or marketability. A delay or other inability of the Company to complete product research and development and successfully reformulate and/or relabel our products in response to any such regulatory requirements could have a material adverse effect on our business, financial condition and results of operations.</w:t>
      </w:r>
    </w:p>
    <w:p>
      <w:pPr>
        <w:spacing w:after="0" w:line="164"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We are subject to numerous environmental laws and regulations that impose various environmental controls on our business operations, including, among other things, the discharge of pollutants into the air and water, the handling, use, treatment, storage and clean-up of solid and hazardous wastes and the investigation and remediation of soil and groundwater affected by hazardous substances. Such laws and regulations may otherwise relate to various health and safety matters that impose burdens upon our operations. These laws and regulations also impose strict, retroactive and joint and several liability for the costs of, and damages resulting from, cleaning up current sites, past spills, disposals and other releases of hazardous substances. The environmental laws under which we operate are complicated, often become increasingly more stringent. Accordingly, there can be no assurance that we will not be required to incur additional expenditures to remain in or to achieve compliance with environmental laws in the future or that any such additional expenditures will not have a material adverse effect on our business, financial condition or results of operations.</w:t>
      </w:r>
    </w:p>
    <w:p>
      <w:pPr>
        <w:spacing w:after="0" w:line="167"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Our products and operations may be subject to increased regulatory and environmental scrutiny in jurisdictions in which we do business. For example, we are subject to regulations relating to our harvesting of peat moss in Canada, which has come under increasing regulatory and environmental scrutiny at the federal, provincial and territorial levels. The remediation of the Company's peat bog sites is under provincial oversight. In addition, permitting to develop additional peat bogs may be subject to challenges from communities that are purportedly affected by such development as part of the regulatory approval process for such development. Failure by the Company to comply with such oversight could result in fines, current or future loss of peat bog leases, or other penalties.</w:t>
      </w:r>
    </w:p>
    <w:p>
      <w:pPr>
        <w:spacing w:after="0" w:line="163"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Additionally, approximately 19%, based on acreage, of our peat bog sites are currently deemed non-compliant by environmental and legal authorities, and at this time we are unable to operate or harvest at these sites. We have contracted with a third-party engineering company in order to regain compliance, but there is no guarantee that these efforts will be successful. Failure by the Company to regain compliance could have a material adverse effect on our business, financial conditions and results of operations.</w:t>
      </w:r>
    </w:p>
    <w:p>
      <w:pPr>
        <w:spacing w:after="0" w:line="158" w:lineRule="exact"/>
        <w:rPr>
          <w:sz w:val="20"/>
          <w:szCs w:val="20"/>
          <w:color w:val="auto"/>
        </w:rPr>
      </w:pPr>
    </w:p>
    <w:p>
      <w:pPr>
        <w:jc w:val="both"/>
        <w:ind w:firstLine="720"/>
        <w:spacing w:after="0" w:line="263" w:lineRule="auto"/>
        <w:rPr>
          <w:sz w:val="20"/>
          <w:szCs w:val="20"/>
          <w:color w:val="auto"/>
        </w:rPr>
      </w:pPr>
      <w:r>
        <w:rPr>
          <w:rFonts w:ascii="Times New Roman" w:cs="Times New Roman" w:eastAsia="Times New Roman" w:hAnsi="Times New Roman"/>
          <w:sz w:val="20"/>
          <w:szCs w:val="20"/>
          <w:color w:val="auto"/>
        </w:rPr>
        <w:t>Additional laws and regulations require that we carefully manage our supply chain for the production, distribution and sale of goods. Our failure to comply with any of these regulations or our inability to adequately predict the manner in which these local regulations are interpreted and applied to our business by the applicable enforcement agencies could have a material adverse effect on our business, financial condition and results of operations.</w:t>
      </w:r>
    </w:p>
    <w:p>
      <w:pPr>
        <w:spacing w:after="0" w:line="15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Failure to optimize our supply chain or disruption of our supply chain could have an adverse effect on our business, financial condition and results of operations.</w:t>
      </w:r>
    </w:p>
    <w:p>
      <w:pPr>
        <w:spacing w:after="0" w:line="128"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Our ability to make, move and sell products in coordination with our suppliers is critical to our success. Our inability to maintain sufficient internal production capacity or our inability to enter into co-packing arrangements on terms that are beneficial to us could have an adverse effect on our business. Failure to adequately handle increasing production costs and complexity, turnover of personnel, or production capability and efficiency issues could materially impact our ability to cost effectively produce our products and meet customer demand.</w:t>
      </w:r>
    </w:p>
    <w:p>
      <w:pPr>
        <w:spacing w:after="0" w:line="158"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Additionally, damage or disruption to our production or distribution capabilities resulting from weather, any potential effects of climate change, natural disaster, disease, crop spoilage, fire or explosion, flooding, terrorism, pandemics, strikes, repairs or enhancements at our facilities, or other reasons, could impair our ability to produce or sell our products. Failure to take adequate steps to mitigate the likelihood or potential impact of such events, or to effectively manage such events if they occur, could adversely affect our business, financial condition and results of operations, and may require additional resources to restore our supply chain.</w:t>
      </w:r>
    </w:p>
    <w:p>
      <w:pPr>
        <w:sectPr>
          <w:pgSz w:w="12240" w:h="15840" w:orient="portrait"/>
          <w:cols w:equalWidth="0" w:num="1">
            <w:col w:w="10260"/>
          </w:cols>
          <w:pgMar w:left="1000" w:top="43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10260"/>
          </w:cols>
          <w:pgMar w:left="1000" w:top="430" w:right="980" w:bottom="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9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Scrutiny and evolving expectations from customers, regulators, investors, and other stakeholders with respect to our environmental, social and governance practices may impose additional costs on us or expose us to new or additional risks.</w:t>
      </w:r>
    </w:p>
    <w:p>
      <w:pPr>
        <w:spacing w:after="0" w:line="128"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Companies are facing scrutiny from certain customers, regulators, investors, and other stakeholders related to their ESG practices and disclosure. Investor advocacy groups, investment funds and influential investors are also increasingly focused on these practices, especially as they relate to the environment, climate change, health and safety, supply chain management, diversity, labor conditions and human rights, both in our own operations and in our supply chain. Further, there is an increasing number of federal and state-level anti-ESG initiatives in the United States that may conflict with other regulatory requirements or our various stakeholders' expectations. Increased ESG-related compliance costs for us as well as among our suppliers, vendors and various other parties within our supply chain could result in material increases to our overall operational costs. Failure to adapt to or comply with regulatory requirements or investor or stakeholder expectations and standards could negatively impact our reputation, ability to do business with certain partners, access to capital, and our stock price.</w:t>
      </w:r>
    </w:p>
    <w:p>
      <w:pPr>
        <w:spacing w:after="0" w:line="16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Climate change may impact the availability of our facilities, we may incur substantial costs to comply with climate change legislation and related regulatory initiatives, and weather conditions could adversely impact financial results.</w:t>
      </w:r>
    </w:p>
    <w:p>
      <w:pPr>
        <w:spacing w:after="0" w:line="128"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Changing weather patterns and the increase in frequency of weather events such as forest fires, flooding, hurricanes and tornadoes could cause disruptions or the complete loss of our facilities. In addition, climate change concerns, and changes in the regulation of such concerns, including greenhouse gas emissions, could also subject us to additional costs and restrictions, including increased energy and raw materials costs which could negatively impact our financial condition and results of operations. The effects of climate change can have an adverse effect not only to our operations, but also that of our suppliers and customers, and can lead to increased regulations and changes in consumer preferences, which could also adversely affect our business, results of operations, and financial condition.</w:t>
      </w:r>
    </w:p>
    <w:p>
      <w:pPr>
        <w:spacing w:after="0" w:line="163"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Our garden center customers and certain of our manufacturing facilities can be heavily impacted by weather conditions. For example, periods of abnormally wet or dry weather can adversely impact the sale of certain products, while increasing demand for other products with the overall impact to us difficult to predict. Additionally, our outdoor harvesting and other manufacturing operations may be impacted by adverse weather conditions or changing weather patterns which may adversely impact our ability to produce and sell our products.</w:t>
      </w:r>
    </w:p>
    <w:p>
      <w:pPr>
        <w:spacing w:after="0" w:line="15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If we fail to maintain effective internal controls over financial reporting or fail to comply with other regulations, investors may lose confidence in the accuracy and completeness of our financial reporting, and the price of our common stock may be adversely affected.</w:t>
      </w:r>
    </w:p>
    <w:p>
      <w:pPr>
        <w:spacing w:after="0" w:line="147"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As a public company, we incur significant legal, accounting, Sarbanes-Oxley compliance, insurance and other expenses that we would not incur as a private company. As a public company, we are required to file with the SEC annual and quarterly information and other reports pursuant to the Exchange Act. We are also required to ensure that we have the ability to prepare financial statements that are fully compliant with all SEC reporting requirements on a timely basis. In addition, the Sarbanes-Oxley Act, the Dodd-Frank Wall Street Reform and Consumer Protection Act, the listing requirements of the Nasdaq and other applicable securities rules and regulations impose various requirements on public companies. Our management and other personnel devote a substantial amount of time to compliance with these requirements. We may not be successful in complying with these obligations and the significant commitment of resources required for complying with them could have a material adverse effect on our business, financial condition and results of operations.</w:t>
      </w:r>
    </w:p>
    <w:p>
      <w:pPr>
        <w:spacing w:after="0" w:line="161"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0"/>
          <w:szCs w:val="20"/>
          <w:color w:val="auto"/>
        </w:rPr>
        <w:t>If we fail to maintain an effective internal control environment or to comply with the numerous legal and regulatory requirements imposed on public companies, we could make material errors in, and be required to restate, our financial statements. Any such restatement could result in a loss of public confidence in the reliability of our financial statements and sanctions imposed on us by the SEC. We cannot predict or estimate the amount of additional costs we may incur or the timing of such costs. If we are unable to satisfy our obligations as a public company, we could be subject to delisting of our common stock, as applicable, fines, sanctions and other regulatory action and potentially civil litigation.</w:t>
      </w:r>
    </w:p>
    <w:p>
      <w:pPr>
        <w:spacing w:after="0" w:line="162"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We are required to establish and maintain appropriate internal controls over financial reporting. In the past, our management has identified weaknesses in our internal controls. Although our management believes such weaknesses have been remediated, our internal control over financial reporting may still or could in the future have weaknesses and conditions that could require correction or remediation and result in additional costs, the disclosure of which may have an adverse impact on the confidence of investors and the price of our common stock. Failure to establish those controls, or any failure of those controls once established, could adversely affect our public disclosures regarding our business, prospects, financial condition or results of operations. In addition, management’s assessment of internal controls over financial reporting may identify weaknesses and conditions that need to be addressed in our internal controls over financial reporting or other matters that may raise concerns for investors. Any actual or perceived weaknesses and conditions that need to be addressed in our internal</w:t>
      </w:r>
    </w:p>
    <w:p>
      <w:pPr>
        <w:sectPr>
          <w:pgSz w:w="12240" w:h="15840" w:orient="portrait"/>
          <w:cols w:equalWidth="0" w:num="1">
            <w:col w:w="10260"/>
          </w:cols>
          <w:pgMar w:left="1000" w:top="430" w:right="980" w:bottom="0" w:gutter="0" w:footer="0" w:header="0"/>
        </w:sectPr>
      </w:pPr>
    </w:p>
    <w:p>
      <w:pPr>
        <w:spacing w:after="0" w:line="35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10260"/>
          </w:cols>
          <w:pgMar w:left="1000" w:top="430" w:right="980" w:bottom="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9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color w:val="auto"/>
        </w:rPr>
        <w:t>control over financial reporting or disclosure of management’s assessment of our internal controls over financial reporting may have an adverse impact on the price of our common stock.</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Damage to our reputation could have an adverse effect on our business.</w:t>
      </w:r>
    </w:p>
    <w:p>
      <w:pPr>
        <w:spacing w:after="0" w:line="209" w:lineRule="exact"/>
        <w:rPr>
          <w:sz w:val="20"/>
          <w:szCs w:val="20"/>
          <w:color w:val="auto"/>
        </w:rPr>
      </w:pPr>
    </w:p>
    <w:p>
      <w:pPr>
        <w:jc w:val="both"/>
        <w:ind w:firstLine="720"/>
        <w:spacing w:after="0" w:line="269" w:lineRule="auto"/>
        <w:rPr>
          <w:sz w:val="20"/>
          <w:szCs w:val="20"/>
          <w:color w:val="auto"/>
        </w:rPr>
      </w:pPr>
      <w:r>
        <w:rPr>
          <w:rFonts w:ascii="Times New Roman" w:cs="Times New Roman" w:eastAsia="Times New Roman" w:hAnsi="Times New Roman"/>
          <w:sz w:val="20"/>
          <w:szCs w:val="20"/>
          <w:color w:val="auto"/>
        </w:rPr>
        <w:t>Maintaining our strong reputation is a key component in our success. Product recalls, any inability to ship, sell or transport our products, governmental investigations and other matters may harm our reputation and acceptance of our products, which may materially and adversely affect our business operations, decrease sales and increase costs.</w:t>
      </w:r>
    </w:p>
    <w:p>
      <w:pPr>
        <w:spacing w:after="0" w:line="147"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In addition, perceptions that the products we distribute and market are not safe could adversely affect us and contribute to the risk that we will be subjected to legal action. We distribute and market a variety of products, such as nutrients, and grow media. On occasion, allegations or news reports may be made that some of these products have failed to perform up to expectations or have caused damage or injury to individuals or property. Public perception that the products we distribute or market are not safe could impair our reputation, involve us in litigation, damage our brand names and have a material adverse effect on our business.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marketing activities may not be successful</w:t>
      </w:r>
      <w:r>
        <w:rPr>
          <w:rFonts w:ascii="Times New Roman" w:cs="Times New Roman" w:eastAsia="Times New Roman" w:hAnsi="Times New Roman"/>
          <w:sz w:val="20"/>
          <w:szCs w:val="20"/>
          <w:color w:val="auto"/>
        </w:rPr>
        <w:t>.</w:t>
      </w:r>
    </w:p>
    <w:p>
      <w:pPr>
        <w:spacing w:after="0" w:line="209" w:lineRule="exact"/>
        <w:rPr>
          <w:sz w:val="20"/>
          <w:szCs w:val="20"/>
          <w:color w:val="auto"/>
        </w:rPr>
      </w:pPr>
    </w:p>
    <w:p>
      <w:pPr>
        <w:jc w:val="both"/>
        <w:ind w:firstLine="720"/>
        <w:spacing w:after="0" w:line="263" w:lineRule="auto"/>
        <w:rPr>
          <w:sz w:val="20"/>
          <w:szCs w:val="20"/>
          <w:color w:val="auto"/>
        </w:rPr>
      </w:pPr>
      <w:r>
        <w:rPr>
          <w:rFonts w:ascii="Times New Roman" w:cs="Times New Roman" w:eastAsia="Times New Roman" w:hAnsi="Times New Roman"/>
          <w:sz w:val="20"/>
          <w:szCs w:val="20"/>
          <w:color w:val="auto"/>
        </w:rPr>
        <w:t>Our advertising, consumer promotions and other marketing activities are intended to maintain, extend and expand our brand image. There can be no assurance that our marketing strategies will be effective or that the amount we spend in advertising activities will result in a corresponding increase in sales of our products. If our marketing initiatives are not successful, we will have incurred expenses without the benefit of higher revenues.</w:t>
      </w:r>
    </w:p>
    <w:p>
      <w:pPr>
        <w:spacing w:after="0" w:line="15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operations may be impaired if our information technology systems, or those of our third-party vendors, fail to perform adequately or if we or our third-party vendors are the subject of a data breach or cyber-attack.</w:t>
      </w:r>
    </w:p>
    <w:p>
      <w:pPr>
        <w:spacing w:after="0" w:line="128"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We rely on information technology systems in order to conduct business, including communicating with employees and our distribution centers, ordering and managing materials from suppliers, selling and shipping products to retail customers and analyzing and reporting results of operations, as well as for storing sensitive, personal and other confidential information. While we have taken steps to ensure the security of our information technology systems, our security measures or those of our third-party vendors may not be effective and our or our third-party vendors’ systems may nevertheless be vulnerable to computer viruses, security breaches and other disruptions from unauthorized users. If our or our third-party vendors’ information technology systems are damaged or cease to be available or function properly for an extended period of time, whether as a result of a significant cyber incident or otherwise, our ability to communicate internally as well as with our customers and vendors could be significantly impaired, which may adversely impact our business. We may also have increased exposure to certain technology risks during integration of systems of acquired companies into our existing platform.</w:t>
      </w:r>
    </w:p>
    <w:p>
      <w:pPr>
        <w:spacing w:after="0" w:line="165"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Additionally, the techniques used to obtain unauthorized, improper or illegal access to information technology resources are constantly evolving, may be difficult to detect quickly and often are not recognized until after they have been launched against a target. We may be unable to anticipate these techniques, react in a timely manner or implement adequate preventative or remedial measures. Any operational failure or breach of security from these increasingly sophisticated cyber threats could lead to the loss or disclosure of both our and our customers’ financial, product, and other confidential information, as well as personally identifiable information about our employees or customers, result in negative publicity and expensive and time-consuming regulatory or other legal proceedings, damage our relationships with our customers and have a material adverse effect on our business and reputation. In addition, we may incur significant costs and operational consequences in connection with investigating, mitigating, remediating, eliminating and putting in place additional tools and devices designed to prevent future actual or perceived security incidents, as well as in connection with complying with any notification or other obligations resulting from a security incident. Because we do not control our third-party vendors, or the processing of data by our third-party vendors, our ability to monitor our third-party vendors’ data security is limited and we cannot ensure the integrity or security of the measures they take to protect and prevent the loss of our or our consumers’ data. As a result, we are subject to the risk that cyber-attacks on, or other security incidents affecting, our third-party vendors may adversely affect our business even if an attack or breach does not directly impact our systems.</w:t>
      </w:r>
    </w:p>
    <w:p>
      <w:pPr>
        <w:spacing w:after="0" w:line="164"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While we maintain cyber risk insurance, this insurance may not be sufficient to cover all losses from any breaches of our systems and does not extend to reputational damage or costs incurred to improve or strengthen systems against future threats or activity. Cyber risk insurance has also become more difficult and expensive to obtain, and we cannot be certain that our current level of insurance or the breadth of its terms and conditions will continue to be available on economically reasonable terms.</w:t>
      </w:r>
    </w:p>
    <w:p>
      <w:pPr>
        <w:sectPr>
          <w:pgSz w:w="12240" w:h="15840" w:orient="portrait"/>
          <w:cols w:equalWidth="0" w:num="1">
            <w:col w:w="10260"/>
          </w:cols>
          <w:pgMar w:left="1000" w:top="43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10260"/>
          </w:cols>
          <w:pgMar w:left="1000" w:top="430" w:right="980" w:bottom="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9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estimates and judgments we make, or the assumptions on which we rely, in preparing our consolidated financial statements could prove inaccurate.</w:t>
      </w:r>
    </w:p>
    <w:p>
      <w:pPr>
        <w:spacing w:after="0" w:line="128"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Our consolidated financial statements have been prepared in accordance with accounting principles generally accepted in the United States of America. The preparation of these consolidated financial statements requires us to make estimates and judgments that affect the reported amounts of our assets, liabilities, revenues and expenses, the amounts of charges accrued by us and related disclosure of contingent assets and liabilities. We base our estimates on historical experience and on various other assumptions that we believe to be reasonable under the circumstances. We cannot assure, however, that our estimates, or the assumptions underlying them, will not change over time or otherwise prove inaccurate. Any potential litigation related to the estimates and judgments we make, or the assumptions on which we rely, in preparing our consolidated financial statements could have a material adverse effect on our financial results, harm our business, and cause our share price to decline.</w:t>
      </w:r>
    </w:p>
    <w:p>
      <w:pPr>
        <w:spacing w:after="0" w:line="16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Unanticipated changes in our tax provisions, the adoption of new tax legislation or exposure to additional tax liabilities could affect our profitability and cash flows.</w:t>
      </w:r>
    </w:p>
    <w:p>
      <w:pPr>
        <w:spacing w:after="0" w:line="128"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We are subject to income and other taxes in the United States federal jurisdiction and various local, state and foreign jurisdictions. Our effective tax rate in the future could be adversely affected by changes to our operating structure, changes in the mix of earnings in countries with differing statutory tax rates, changes in the valuation of deferred tax assets (such as net operating losses and tax credits) and liabilities, changes in tax laws and the discovery of new information in the course of our tax return preparation process. In particular, the carrying value of deferred tax assets is dependent on our ability to generate future taxable income of the appropriate character in the relevant jurisdiction.</w:t>
      </w:r>
    </w:p>
    <w:p>
      <w:pPr>
        <w:spacing w:after="0" w:line="157"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From time to time, tax proposals are introduced, considered, or implemented by the U.S. Congress or the legislative bodies in local, state and foreign jurisdictions that could also affect our tax rate, the carrying value of our deferred tax assets, or our tax liabilities. For example, in July 2025, the One Big Beautiful Bill Act ("OBBBA") was enacted. The OBBBA makes permanent key elements of the Tax Cuts and Jobs Act of 2017, along with additional changes to certain U.S. corporate tax provisions. The Company is currently evaluating the impact of OBBBA, but does not believe that the tax provisions of the legislation will have a material impact on the Company's results of operations. Our tax liabilities are also affected by the amounts we charge for inventory, services, licenses and funding.</w:t>
      </w:r>
    </w:p>
    <w:p>
      <w:pPr>
        <w:spacing w:after="0" w:line="162"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We are subject to ongoing tax audits in various jurisdictions. In connection with these audits (or future audits), tax authorities may disagree with our determinations and assess additional taxes. We regularly assess the likely outcomes of our audits in order to determine the appropriateness of our tax provision and financial statements. As a result, the ultimate resolution of our tax audits, changes in tax laws or tax rates, and the ability to utilize our deferred tax assets could materially affect our tax provision, net income and cash flows in future periods.</w:t>
      </w:r>
    </w:p>
    <w:p>
      <w:pPr>
        <w:spacing w:after="0" w:line="15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be limited in our ability to utilize, or may not be able to utilize, net operating loss carryforwards to reduce our future tax liability.</w:t>
      </w:r>
    </w:p>
    <w:p>
      <w:pPr>
        <w:spacing w:after="0" w:line="128"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0"/>
          <w:szCs w:val="20"/>
          <w:color w:val="auto"/>
        </w:rPr>
        <w:t xml:space="preserve">As of December 31, 2025, we had U.S. federal net operating loss ("NOL") carryforwards of approximately $238.1 million, the utilization of which may be limited annually due to certain change in ownership provisions of Section 382 of the Internal Revenue Code of 1986, as amended (the "Code"). Our federal NOL carryforwards will begin to expire in 2037. See Note 14 - </w:t>
      </w:r>
      <w:r>
        <w:rPr>
          <w:rFonts w:ascii="Times New Roman" w:cs="Times New Roman" w:eastAsia="Times New Roman" w:hAnsi="Times New Roman"/>
          <w:sz w:val="20"/>
          <w:szCs w:val="20"/>
          <w:i w:val="1"/>
          <w:iCs w:val="1"/>
          <w:color w:val="auto"/>
        </w:rPr>
        <w:t>Income Taxes,</w:t>
      </w:r>
      <w:r>
        <w:rPr>
          <w:rFonts w:ascii="Times New Roman" w:cs="Times New Roman" w:eastAsia="Times New Roman" w:hAnsi="Times New Roman"/>
          <w:sz w:val="20"/>
          <w:szCs w:val="20"/>
          <w:color w:val="auto"/>
        </w:rPr>
        <w:t xml:space="preserve"> in the notes to the consolidated financial statements included elsewhere in this Annual Report on Form 10-K for a further discussion of the carryforward of our NOLs. As of December 31, 2025, we maintained a valuation allowance of approximately $149.1 million on the majority of our domestic and foreign net deferred tax assets.</w:t>
      </w:r>
    </w:p>
    <w:p>
      <w:pPr>
        <w:spacing w:after="0" w:line="162"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An "ownership change" (generally defined as greater than 50-percentage-point cumulative changes in the equity ownership of certain stockholders over a rolling three-year period) under Section 382 of the Code may limit our ability to utilize fully our pre-change NOL carryforwards to reduce our taxable income in periods following the ownership change. In general, an ownership change would limit our ability to utilize NOL carryforwards to an amount equal to the aggregate value of our equity at the time of the ownership change multiplied by a specified tax-exempt interest rate, subject to increase by certain built-in gains. Similar provisions of state tax law may also apply to our state NOL carryforwards. In addition, future changes in our stock ownership, some of which may be beyond our control, could result in additional ownership changes under Section 382 of the Code.</w:t>
      </w:r>
    </w:p>
    <w:p>
      <w:pPr>
        <w:spacing w:after="0" w:line="16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Acquisitions, other strategic alliances and investments could result in operating difficulties, dilution, and other harmful consequences that may adversely impact our business and results of operations.</w:t>
      </w:r>
    </w:p>
    <w:p>
      <w:pPr>
        <w:spacing w:after="0" w:line="128" w:lineRule="exact"/>
        <w:rPr>
          <w:sz w:val="20"/>
          <w:szCs w:val="20"/>
          <w:color w:val="auto"/>
        </w:rPr>
      </w:pPr>
    </w:p>
    <w:p>
      <w:pPr>
        <w:jc w:val="both"/>
        <w:ind w:firstLine="720"/>
        <w:spacing w:after="0" w:line="287" w:lineRule="auto"/>
        <w:rPr>
          <w:sz w:val="20"/>
          <w:szCs w:val="20"/>
          <w:color w:val="auto"/>
        </w:rPr>
      </w:pPr>
      <w:r>
        <w:rPr>
          <w:rFonts w:ascii="Times New Roman" w:cs="Times New Roman" w:eastAsia="Times New Roman" w:hAnsi="Times New Roman"/>
          <w:sz w:val="20"/>
          <w:szCs w:val="20"/>
          <w:color w:val="auto"/>
        </w:rPr>
        <w:t>Acquisitions have been an important element of our overall corporate strategy, and these transactions entailed investments by us that are material to our financial condition and results of operations. We may evaluate and enter into</w:t>
      </w:r>
    </w:p>
    <w:p>
      <w:pPr>
        <w:sectPr>
          <w:pgSz w:w="12240" w:h="15840" w:orient="portrait"/>
          <w:cols w:equalWidth="0" w:num="1">
            <w:col w:w="10260"/>
          </w:cols>
          <w:pgMar w:left="1000" w:top="430" w:right="980" w:bottom="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10260"/>
          </w:cols>
          <w:pgMar w:left="1000" w:top="430" w:right="980" w:bottom="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9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discussions regarding potential strategic transactions. The process of integrating an acquired company, business, or product has created, and will continue to create, unforeseen operating difficulties and expenditures. The areas where we face risks may include, but are not limited to:</w:t>
      </w:r>
    </w:p>
    <w:p>
      <w:pPr>
        <w:spacing w:after="0" w:line="147" w:lineRule="exact"/>
        <w:rPr>
          <w:sz w:val="20"/>
          <w:szCs w:val="20"/>
          <w:color w:val="auto"/>
        </w:rPr>
      </w:pPr>
    </w:p>
    <w:p>
      <w:pPr>
        <w:ind w:left="1440" w:hanging="370"/>
        <w:spacing w:after="0"/>
        <w:tabs>
          <w:tab w:leader="none" w:pos="14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diversion of management’s time and focus from operating our business to acquisition integration challenges;</w:t>
      </w:r>
    </w:p>
    <w:p>
      <w:pPr>
        <w:spacing w:after="0" w:line="209"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successfully further develop the acquired business or products;</w:t>
      </w:r>
    </w:p>
    <w:p>
      <w:pPr>
        <w:spacing w:after="0" w:line="21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implementation or remediation of controls, procedures and policies at the acquired company;</w:t>
      </w:r>
    </w:p>
    <w:p>
      <w:pPr>
        <w:spacing w:after="0" w:line="210" w:lineRule="exact"/>
        <w:rPr>
          <w:rFonts w:ascii="Times New Roman" w:cs="Times New Roman" w:eastAsia="Times New Roman" w:hAnsi="Times New Roman"/>
          <w:sz w:val="20"/>
          <w:szCs w:val="20"/>
          <w:color w:val="auto"/>
        </w:rPr>
      </w:pPr>
    </w:p>
    <w:p>
      <w:pPr>
        <w:ind w:left="720" w:right="20" w:firstLine="350"/>
        <w:spacing w:after="0" w:line="287" w:lineRule="auto"/>
        <w:tabs>
          <w:tab w:leader="none" w:pos="14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integration of the acquired company’s accounting, information technology (IT) systems, human resources and other administrative systems, and coordination of product, engineering and sales and marketing functions;</w:t>
      </w:r>
    </w:p>
    <w:p>
      <w:pPr>
        <w:spacing w:after="0" w:line="129"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transition of operations, users and customers onto our existing platforms;</w:t>
      </w:r>
    </w:p>
    <w:p>
      <w:pPr>
        <w:spacing w:after="0" w:line="210" w:lineRule="exact"/>
        <w:rPr>
          <w:rFonts w:ascii="Times New Roman" w:cs="Times New Roman" w:eastAsia="Times New Roman" w:hAnsi="Times New Roman"/>
          <w:sz w:val="20"/>
          <w:szCs w:val="20"/>
          <w:color w:val="auto"/>
        </w:rPr>
      </w:pPr>
    </w:p>
    <w:p>
      <w:pPr>
        <w:ind w:left="720" w:right="20" w:firstLine="350"/>
        <w:spacing w:after="0" w:line="288" w:lineRule="auto"/>
        <w:tabs>
          <w:tab w:leader="none" w:pos="14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reliance on the expertise of our strategic partners with respect to market development, sales, local regulatory compliance and other operational matters;</w:t>
      </w:r>
    </w:p>
    <w:p>
      <w:pPr>
        <w:spacing w:after="0" w:line="128" w:lineRule="exact"/>
        <w:rPr>
          <w:rFonts w:ascii="Times New Roman" w:cs="Times New Roman" w:eastAsia="Times New Roman" w:hAnsi="Times New Roman"/>
          <w:sz w:val="20"/>
          <w:szCs w:val="20"/>
          <w:color w:val="auto"/>
        </w:rPr>
      </w:pPr>
    </w:p>
    <w:p>
      <w:pPr>
        <w:jc w:val="both"/>
        <w:ind w:left="720" w:firstLine="350"/>
        <w:spacing w:after="0" w:line="262" w:lineRule="auto"/>
        <w:tabs>
          <w:tab w:leader="none" w:pos="14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obtain required approvals on a timely basis, if at all, from governmental authorities, or conditions placed upon approval, under competition and antitrust laws which could, among other things, delay or prevent us from completing a transaction, or otherwise restrict our ability to realize the expected financial or strategic goals of an acquisition;</w:t>
      </w:r>
    </w:p>
    <w:p>
      <w:pPr>
        <w:spacing w:after="0" w:line="154" w:lineRule="exact"/>
        <w:rPr>
          <w:rFonts w:ascii="Times New Roman" w:cs="Times New Roman" w:eastAsia="Times New Roman" w:hAnsi="Times New Roman"/>
          <w:sz w:val="20"/>
          <w:szCs w:val="20"/>
          <w:color w:val="auto"/>
        </w:rPr>
      </w:pPr>
    </w:p>
    <w:p>
      <w:pPr>
        <w:ind w:left="720" w:firstLine="350"/>
        <w:spacing w:after="0" w:line="288" w:lineRule="auto"/>
        <w:tabs>
          <w:tab w:leader="none" w:pos="14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foreign acquisitions, the need to integrate operations across different cultures and languages and to address the particular economic, currency, political and regulatory risks associated with specific countries;</w:t>
      </w:r>
    </w:p>
    <w:p>
      <w:pPr>
        <w:spacing w:after="0" w:line="128" w:lineRule="exact"/>
        <w:rPr>
          <w:rFonts w:ascii="Times New Roman" w:cs="Times New Roman" w:eastAsia="Times New Roman" w:hAnsi="Times New Roman"/>
          <w:sz w:val="20"/>
          <w:szCs w:val="20"/>
          <w:color w:val="auto"/>
        </w:rPr>
      </w:pPr>
    </w:p>
    <w:p>
      <w:pPr>
        <w:ind w:left="720" w:firstLine="350"/>
        <w:spacing w:after="0" w:line="288" w:lineRule="auto"/>
        <w:tabs>
          <w:tab w:leader="none" w:pos="14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cultural challenges associated with integrating employees from the acquired company into our organization, and retention of employees from the businesses we acquire;</w:t>
      </w:r>
    </w:p>
    <w:p>
      <w:pPr>
        <w:spacing w:after="0" w:line="128" w:lineRule="exact"/>
        <w:rPr>
          <w:rFonts w:ascii="Times New Roman" w:cs="Times New Roman" w:eastAsia="Times New Roman" w:hAnsi="Times New Roman"/>
          <w:sz w:val="20"/>
          <w:szCs w:val="20"/>
          <w:color w:val="auto"/>
        </w:rPr>
      </w:pPr>
    </w:p>
    <w:p>
      <w:pPr>
        <w:jc w:val="both"/>
        <w:ind w:left="720" w:firstLine="350"/>
        <w:spacing w:after="0" w:line="268" w:lineRule="auto"/>
        <w:tabs>
          <w:tab w:leader="none" w:pos="14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liability for or reputational harm from activities of the acquired company before the acquisition or from our strategic partners, including patent and trademark infringement claims, violations of laws, commercial disputes, tax liabilities and other known and unknown liabilities; and</w:t>
      </w:r>
    </w:p>
    <w:p>
      <w:pPr>
        <w:spacing w:after="0" w:line="148" w:lineRule="exact"/>
        <w:rPr>
          <w:rFonts w:ascii="Times New Roman" w:cs="Times New Roman" w:eastAsia="Times New Roman" w:hAnsi="Times New Roman"/>
          <w:sz w:val="20"/>
          <w:szCs w:val="20"/>
          <w:color w:val="auto"/>
        </w:rPr>
      </w:pPr>
    </w:p>
    <w:p>
      <w:pPr>
        <w:ind w:left="720" w:right="20" w:firstLine="350"/>
        <w:spacing w:after="0" w:line="288" w:lineRule="auto"/>
        <w:tabs>
          <w:tab w:leader="none" w:pos="14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litigation or other claims in connection with the acquired company, including claims from terminated employees, customers, former stockholders or other third parties.</w:t>
      </w:r>
    </w:p>
    <w:p>
      <w:pPr>
        <w:spacing w:after="0" w:line="128"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Our due diligence may fail to identify all liabilities associated with acquisitions and we may not assess the relative benefits and detriments of making an acquisition and may pay acquisition consideration exceeding the value of the acquired business. Our failure to address these risks or other problems encountered in connection with our past or future acquisitions and investments or strategic alliances could cause us to fail to realize the anticipated benefits of such acquisitions, investments or alliances, incur unanticipated liabilities, and harm our business generally.</w:t>
      </w:r>
    </w:p>
    <w:p>
      <w:pPr>
        <w:spacing w:after="0" w:line="159" w:lineRule="exact"/>
        <w:rPr>
          <w:sz w:val="20"/>
          <w:szCs w:val="20"/>
          <w:color w:val="auto"/>
        </w:rPr>
      </w:pPr>
    </w:p>
    <w:p>
      <w:pPr>
        <w:jc w:val="both"/>
        <w:ind w:firstLine="720"/>
        <w:spacing w:after="0" w:line="268" w:lineRule="auto"/>
        <w:rPr>
          <w:sz w:val="20"/>
          <w:szCs w:val="20"/>
          <w:color w:val="auto"/>
        </w:rPr>
      </w:pPr>
      <w:r>
        <w:rPr>
          <w:rFonts w:ascii="Times New Roman" w:cs="Times New Roman" w:eastAsia="Times New Roman" w:hAnsi="Times New Roman"/>
          <w:sz w:val="20"/>
          <w:szCs w:val="20"/>
          <w:color w:val="auto"/>
        </w:rPr>
        <w:t>Our acquisitions could also result in dilutive issuances of our equity securities, the incurrence of debt, contingent liabilities or amortization expenses, or impairment of goodwill, intangible assets and purchased long-lived assets, and restructuring charges, any of which could harm our financial condition or results of operations and cash flows.</w:t>
      </w:r>
    </w:p>
    <w:p>
      <w:pPr>
        <w:spacing w:after="0" w:line="149" w:lineRule="exact"/>
        <w:rPr>
          <w:sz w:val="20"/>
          <w:szCs w:val="20"/>
          <w:color w:val="auto"/>
        </w:rPr>
      </w:pPr>
    </w:p>
    <w:p>
      <w:pPr>
        <w:jc w:val="both"/>
        <w:ind w:firstLine="720"/>
        <w:spacing w:after="0" w:line="269" w:lineRule="auto"/>
        <w:rPr>
          <w:sz w:val="20"/>
          <w:szCs w:val="20"/>
          <w:color w:val="auto"/>
        </w:rPr>
      </w:pPr>
      <w:r>
        <w:rPr>
          <w:rFonts w:ascii="Times New Roman" w:cs="Times New Roman" w:eastAsia="Times New Roman" w:hAnsi="Times New Roman"/>
          <w:sz w:val="20"/>
          <w:szCs w:val="20"/>
          <w:color w:val="auto"/>
        </w:rPr>
        <w:t>There can be no assurance that we will be able to identify appropriate acquisition targets or potential strategic transactions, successfully execute such potential transactions, or successfully integrate the business of acquired companies to realize the full, anticipated benefits of such acquisitions.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product liability lawsuits are brought against us, we may incur substantial liabilities.</w:t>
      </w:r>
    </w:p>
    <w:p>
      <w:pPr>
        <w:spacing w:after="0" w:line="210"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We face a potential risk of product liability as a result of any of the products that we offer for sale. For example, we may be sued if any product we sell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Even successful defense would require significant financial and management resources. Regardless of the merits or eventual outcome, liability claims may result in: (i) decreased demand for products that we may offer for sale; (ii) injury to our reputation; (iii) costs to defend the related litigation; (iv) a diversion of management’s time and our resources; (v) substantial monetary awards to trial participants or patients; (vi) product recalls,</w:t>
      </w:r>
    </w:p>
    <w:p>
      <w:pPr>
        <w:sectPr>
          <w:pgSz w:w="12240" w:h="15840" w:orient="portrait"/>
          <w:cols w:equalWidth="0" w:num="1">
            <w:col w:w="10260"/>
          </w:cols>
          <w:pgMar w:left="1000" w:top="430" w:right="980" w:bottom="0" w:gutter="0" w:footer="0" w:header="0"/>
        </w:sectPr>
      </w:pPr>
    </w:p>
    <w:p>
      <w:pPr>
        <w:spacing w:after="0" w:line="200" w:lineRule="exact"/>
        <w:rPr>
          <w:sz w:val="20"/>
          <w:szCs w:val="20"/>
          <w:color w:val="auto"/>
        </w:rPr>
      </w:pPr>
    </w:p>
    <w:p>
      <w:pPr>
        <w:spacing w:after="0" w:line="23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10260"/>
          </w:cols>
          <w:pgMar w:left="1000" w:top="430" w:right="980" w:bottom="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9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withdrawals or labeling, marketing or promotional restrictions; or (vii) a decline in our stock price. Our inability to retain sufficient product liability insurance at an acceptable cost to protect against potential product liability claims could prevent or inhibit the commercialization of products we develop. We may have to pay amounts awarded by a court or negotiated in a settlement that exceed our insurance coverage limitations or that are not covered by our insurance, and we may not have, or be able to obtain, sufficient capital to pay such amounts.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Relating to Our Indebtedness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Substantially all of our and our Subsidiary Obligors’ assets are pledged to secure obligations under the Term Loan.</w:t>
      </w:r>
    </w:p>
    <w:p>
      <w:pPr>
        <w:spacing w:after="0" w:line="210"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On February 4, 2026, we elected to defer making an interest payment of approximately $2.8 million on the Term Loan. As a result of our failure to pay the interest within the grace period, an event of default occurred with respect to the Term Loan. On February 11, 2026, the lenders, through the administrative agent, notified us of such event of default and informed us that the administrative agent or the collateral agent may exercise any rights and remedies provided under the Term Loan agreement and related financing documents, but it did not seek to enforce such remedies as of such time.</w:t>
      </w:r>
    </w:p>
    <w:p>
      <w:pPr>
        <w:spacing w:after="0" w:line="155" w:lineRule="exact"/>
        <w:rPr>
          <w:sz w:val="20"/>
          <w:szCs w:val="20"/>
          <w:color w:val="auto"/>
        </w:rPr>
      </w:pPr>
    </w:p>
    <w:p>
      <w:pPr>
        <w:jc w:val="both"/>
        <w:ind w:firstLine="720"/>
        <w:spacing w:after="0" w:line="272" w:lineRule="auto"/>
        <w:rPr>
          <w:sz w:val="20"/>
          <w:szCs w:val="20"/>
          <w:color w:val="auto"/>
        </w:rPr>
      </w:pPr>
      <w:r>
        <w:rPr>
          <w:rFonts w:ascii="Times New Roman" w:cs="Times New Roman" w:eastAsia="Times New Roman" w:hAnsi="Times New Roman"/>
          <w:sz w:val="19"/>
          <w:szCs w:val="19"/>
          <w:color w:val="auto"/>
        </w:rPr>
        <w:t>We and our Subsidiary Obligors have granted a continuing security interest in substantially all of our assets to JPMorgan. As we have received a notice of default from JPMorgan, we note that they are entitled to exercise remedies available to them resulting from such default, including increasing the applicable interest rate on all amounts outstanding to the stated default rate, declaring all amounts due thereunder immediately due and payable, assuming possession of the secured assets, and exercising all other rights and remedies of a secured party under the Uniform Commercial Code, as applicable then in the United States, or the Personal Property Security Act, as applicable then in Canada. Our ability to conduct our business may be materially harmed as a result of the exercise of any remedies, in the event that such remedies are exercisable, by JPMorgan.</w:t>
      </w:r>
    </w:p>
    <w:p>
      <w:pPr>
        <w:spacing w:after="0" w:line="14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Servicing our debt may require a significant amount of cash and is dependent on the performance of our business. If our business does not provide sufficient cash flow from operations or our business does not perform as we expect, our lenders may not refinance or restructure our debt on the terms that we find attractive, or at all.</w:t>
      </w:r>
    </w:p>
    <w:p>
      <w:pPr>
        <w:spacing w:after="0" w:line="147"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Our ability to make scheduled payments of the principal of, to pay special interest, if any, on or to refinance the existing Term Loan depends on our future performance, which is subject to economic, financial, competitive and other factors beyond our control. Our business may not generate sufficient cash flow from operations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the existing Term Loan will depend on the capital markets and our financial condition at such time. We may not be able to engage in any of these activities or engage in these activities on desirable terms, which could result in a default on our debt obligations. In addition, any of our future debt agreements may contain restrictive covenants that may prohibit us from adopting any of these alternatives. Our failure to comply with these covenants could result in an event of default which, if not cured or waived, could result in the acceleration of our debt repayment.</w:t>
      </w:r>
    </w:p>
    <w:p>
      <w:pPr>
        <w:spacing w:after="0" w:line="16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Our Term Loan contains, and future debt facilities may contain, restrictions that limit our flexibility in operating our business; we intend to fund interest payments from cash flows generated in our operations, and to the extent that cash flows deteriorate, it could be difficult or impossible to timely make our debt service payments or obtain additional debt financing.</w:t>
      </w:r>
    </w:p>
    <w:p>
      <w:pPr>
        <w:spacing w:after="0" w:line="14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We maintain a substantial amount of debt, and we may incur additional debt in the future to help fund our business.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substantial indebtedness and interest expense could adversely affect our business and results of operations, including:</w:t>
      </w:r>
    </w:p>
    <w:p>
      <w:pPr>
        <w:spacing w:after="0" w:line="184" w:lineRule="exact"/>
        <w:rPr>
          <w:sz w:val="20"/>
          <w:szCs w:val="20"/>
          <w:color w:val="auto"/>
        </w:rPr>
      </w:pPr>
    </w:p>
    <w:p>
      <w:pPr>
        <w:jc w:val="both"/>
        <w:ind w:left="720" w:firstLine="350"/>
        <w:spacing w:after="0" w:line="263" w:lineRule="auto"/>
        <w:tabs>
          <w:tab w:leader="none" w:pos="14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limiting our ability to use a substantial portion of our cash flow from operations in other areas of our business, including for working capital, expanding our infrastructure, capital expenditures and other general business activities and investment opportunities in our company, because we must dedicate a substantial portion of these funds to pay interest and/or service our debt and because the documents contain restrictions on certain of those actions;</w:t>
      </w:r>
    </w:p>
    <w:p>
      <w:pPr>
        <w:spacing w:after="0" w:line="152" w:lineRule="exact"/>
        <w:rPr>
          <w:rFonts w:ascii="Times New Roman" w:cs="Times New Roman" w:eastAsia="Times New Roman" w:hAnsi="Times New Roman"/>
          <w:sz w:val="20"/>
          <w:szCs w:val="20"/>
          <w:color w:val="auto"/>
        </w:rPr>
      </w:pPr>
    </w:p>
    <w:p>
      <w:pPr>
        <w:ind w:left="720" w:firstLine="350"/>
        <w:spacing w:after="0" w:line="287" w:lineRule="auto"/>
        <w:tabs>
          <w:tab w:leader="none" w:pos="14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impacting our cash flows, results of operations and financial condition as interest rates fluctuate, as our Term Loan incurs interest at a floating rate;</w:t>
      </w:r>
    </w:p>
    <w:p>
      <w:pPr>
        <w:spacing w:after="0" w:line="129" w:lineRule="exact"/>
        <w:rPr>
          <w:rFonts w:ascii="Times New Roman" w:cs="Times New Roman" w:eastAsia="Times New Roman" w:hAnsi="Times New Roman"/>
          <w:sz w:val="20"/>
          <w:szCs w:val="20"/>
          <w:color w:val="auto"/>
        </w:rPr>
      </w:pPr>
    </w:p>
    <w:p>
      <w:pPr>
        <w:ind w:left="720" w:firstLine="350"/>
        <w:spacing w:after="0" w:line="288" w:lineRule="auto"/>
        <w:tabs>
          <w:tab w:leader="none" w:pos="14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requiring us to seek to incur further indebtedness in order to make the capital expenditures and other expenses or investments necessary to operate the business to the extent our future cash flows are insufficient;</w:t>
      </w:r>
    </w:p>
    <w:p>
      <w:pPr>
        <w:spacing w:after="0" w:line="128" w:lineRule="exact"/>
        <w:rPr>
          <w:rFonts w:ascii="Times New Roman" w:cs="Times New Roman" w:eastAsia="Times New Roman" w:hAnsi="Times New Roman"/>
          <w:sz w:val="20"/>
          <w:szCs w:val="20"/>
          <w:color w:val="auto"/>
        </w:rPr>
      </w:pPr>
    </w:p>
    <w:p>
      <w:pPr>
        <w:ind w:left="720" w:firstLine="350"/>
        <w:spacing w:after="0" w:line="288" w:lineRule="auto"/>
        <w:tabs>
          <w:tab w:leader="none" w:pos="14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limiting our ability to obtain additional financing in the future for working capital, capital expenditures, debt service requirements, acquisitions and the execution of our strategy, and other expenses or investments planned by us;</w:t>
      </w:r>
    </w:p>
    <w:p>
      <w:pPr>
        <w:sectPr>
          <w:pgSz w:w="12240" w:h="15840" w:orient="portrait"/>
          <w:cols w:equalWidth="0" w:num="1">
            <w:col w:w="10260"/>
          </w:cols>
          <w:pgMar w:left="1000" w:top="43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10260"/>
          </w:cols>
          <w:pgMar w:left="1000" w:top="430" w:right="980" w:bottom="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91" w:lineRule="exact"/>
        <w:rPr>
          <w:sz w:val="20"/>
          <w:szCs w:val="20"/>
          <w:color w:val="auto"/>
        </w:rPr>
      </w:pPr>
    </w:p>
    <w:p>
      <w:pPr>
        <w:ind w:left="720" w:firstLine="350"/>
        <w:spacing w:after="0" w:line="288" w:lineRule="auto"/>
        <w:tabs>
          <w:tab w:leader="none" w:pos="14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limiting our flexibility and our ability to capitalize on business opportunities and to react to competitive pressures and adverse changes in government regulation, our business and our industry;</w:t>
      </w:r>
    </w:p>
    <w:p>
      <w:pPr>
        <w:spacing w:after="0" w:line="128" w:lineRule="exact"/>
        <w:rPr>
          <w:rFonts w:ascii="Times New Roman" w:cs="Times New Roman" w:eastAsia="Times New Roman" w:hAnsi="Times New Roman"/>
          <w:sz w:val="20"/>
          <w:szCs w:val="20"/>
          <w:color w:val="auto"/>
        </w:rPr>
      </w:pPr>
    </w:p>
    <w:p>
      <w:pPr>
        <w:ind w:left="720" w:firstLine="350"/>
        <w:spacing w:after="0" w:line="287" w:lineRule="auto"/>
        <w:tabs>
          <w:tab w:leader="none" w:pos="14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inability to satisfy our obligations under our indebtedness (which could result in an event of default and acceleration if we fail to comply with the requirements of our indebtedness); and</w:t>
      </w:r>
    </w:p>
    <w:p>
      <w:pPr>
        <w:spacing w:after="0" w:line="129" w:lineRule="exact"/>
        <w:rPr>
          <w:rFonts w:ascii="Times New Roman" w:cs="Times New Roman" w:eastAsia="Times New Roman" w:hAnsi="Times New Roman"/>
          <w:sz w:val="20"/>
          <w:szCs w:val="20"/>
          <w:color w:val="auto"/>
        </w:rPr>
      </w:pPr>
    </w:p>
    <w:p>
      <w:pPr>
        <w:ind w:left="720" w:firstLine="350"/>
        <w:spacing w:after="0" w:line="288" w:lineRule="auto"/>
        <w:tabs>
          <w:tab w:leader="none" w:pos="14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increasing our vulnerability to a downturn in our business and to adverse economic and industry conditions generally.</w:t>
      </w:r>
    </w:p>
    <w:p>
      <w:pPr>
        <w:spacing w:after="0" w:line="128"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 xml:space="preserve">The existing Term Loan (as discussed in more detail in </w:t>
      </w:r>
      <w:r>
        <w:rPr>
          <w:rFonts w:ascii="Times New Roman" w:cs="Times New Roman" w:eastAsia="Times New Roman" w:hAnsi="Times New Roman"/>
          <w:sz w:val="20"/>
          <w:szCs w:val="20"/>
          <w:i w:val="1"/>
          <w:iCs w:val="1"/>
          <w:color w:val="auto"/>
        </w:rPr>
        <w:t>Item 7, Management’s Discussion And Analysis of Financial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Condition and Results of Operations </w:t>
      </w:r>
      <w:r>
        <w:rPr>
          <w:rFonts w:ascii="Times New Roman" w:cs="Times New Roman" w:eastAsia="Times New Roman" w:hAnsi="Times New Roman"/>
          <w:sz w:val="20"/>
          <w:szCs w:val="20"/>
          <w:color w:val="auto"/>
        </w:rPr>
        <w:t>included elsewhere in this Annual Report on Form 10-K) contains, and any documents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governing our or our subsidiaries’ future indebtedness may contain, numerous financial and operating covenants that limit the discretion of management with respect to certain business matters. Such restrictive covenants include restrictions on, among others, our and our subsidiaries’ ability to: (1) incur additional indebtedness; (2) create or suffer to exist any liens upon any of our or our subsidiaries’ property; (3) pay dividends and other distributions or enter into agreements restricting our subsidiaries’ ability to pay dividends; (4) make investments; (5) make certain loans; (6) dispose of assets; (7) merge, amalgamate, combine or consolidate; (8) engage in certain transactions with stockholders or affiliates; (9) amend or otherwise alter the terms of our or our subsidiaries’ indebtedness; and (10) alter the business that we currently conduct. The existing Term Loan also requires us, and any documents governing our and our subsidiaries’ future indebtedness may require us to meet certain financial ratios and tests in order to enter into certain transactions, incur additional indebtedness, pay dividends and take other actions.</w:t>
      </w:r>
    </w:p>
    <w:p>
      <w:pPr>
        <w:spacing w:after="0" w:line="163"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We and our Subsidiary Obligors’ ability to comply with these and other provisions of the existing Term Loan is dependent on our future performance, which will be subject to many factors, some of which are beyond our control. The breach of any of these covenants or noncompliance with any applicable financial ratios and tests could result in an event of default under the existing debt agreements, which, if not cured or waived, could result in acceleration of the related debt and the acceleration of debt under other instruments evidencing indebtedness that may also contain cross-acceleration or cross-default provisions. Variable rate indebtedness subjects us and the Subsidiary Obligors to the risk of higher interest rates, which could cause our future debt service obligations to increase significantly.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Term Loan has restrictions on our ability to sell our products directly to the cannabis industry.</w:t>
      </w:r>
    </w:p>
    <w:p>
      <w:pPr>
        <w:spacing w:after="0" w:line="210"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Our Term Loan contains customary covenants, restrictions and defaults. The Term Loan prohibits us and the Subsidiary Obligors from selling our products, inventory or services directly to cannabis growers operating in any country that prohibits the sale and use of cannabis products other than in accordance with the applicable laws of such country. We are in compliance with the relevant terms set forth in the Term Loan and maintain policies and procedures that are designed to promote and achieve continued compliance with such requirements.</w:t>
      </w:r>
    </w:p>
    <w:p>
      <w:pPr>
        <w:spacing w:after="0" w:line="155"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These compliance requirements may require that we be more selective than our competitors when selecting to whom we sell our products, and in certain situations, may afford our competitors a competitive advantage if we are not able to sell our products to a certain customer, and may negatively impact our marketing efforts, sales and reputation in the market. Moreover, the breach of any of these compliance requirements may result in the occurrence of an event of default under the Term Loan, which would entitle the administrative agent on behalf of the lenders party to such agreements, to terminate the commitments thereunder and declare all loans then outstanding to be due and payable. The foregoing events would have a material adverse effect on our business, results of operations and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Third Parties</w:t>
      </w:r>
    </w:p>
    <w:p>
      <w:pPr>
        <w:spacing w:after="0" w:line="21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Disruptions in the availability or increases in the prices of raw materials sourced by suppliers could adversely affect our results of operations.</w:t>
      </w:r>
    </w:p>
    <w:p>
      <w:pPr>
        <w:spacing w:after="0" w:line="128" w:lineRule="exact"/>
        <w:rPr>
          <w:sz w:val="20"/>
          <w:szCs w:val="20"/>
          <w:color w:val="auto"/>
        </w:rPr>
      </w:pPr>
    </w:p>
    <w:p>
      <w:pPr>
        <w:jc w:val="both"/>
        <w:ind w:firstLine="720"/>
        <w:spacing w:after="0" w:line="262" w:lineRule="auto"/>
        <w:rPr>
          <w:sz w:val="20"/>
          <w:szCs w:val="20"/>
          <w:color w:val="auto"/>
        </w:rPr>
      </w:pPr>
      <w:r>
        <w:rPr>
          <w:rFonts w:ascii="Times New Roman" w:cs="Times New Roman" w:eastAsia="Times New Roman" w:hAnsi="Times New Roman"/>
          <w:sz w:val="20"/>
          <w:szCs w:val="20"/>
          <w:color w:val="auto"/>
        </w:rPr>
        <w:t>We source many of our product components from outside of the United States. The general availability and price of those components can be affected by numerous forces beyond our control, including political instability, trade restrictions and other government regulations, duties and tariffs, price controls, the availability of shipping and transportation services, changes in currency exchange rates and weather.</w:t>
      </w:r>
    </w:p>
    <w:p>
      <w:pPr>
        <w:spacing w:after="0" w:line="155" w:lineRule="exact"/>
        <w:rPr>
          <w:sz w:val="20"/>
          <w:szCs w:val="20"/>
          <w:color w:val="auto"/>
        </w:rPr>
      </w:pPr>
    </w:p>
    <w:p>
      <w:pPr>
        <w:jc w:val="both"/>
        <w:ind w:firstLine="720"/>
        <w:spacing w:after="0" w:line="263" w:lineRule="auto"/>
        <w:rPr>
          <w:sz w:val="20"/>
          <w:szCs w:val="20"/>
          <w:color w:val="auto"/>
        </w:rPr>
      </w:pPr>
      <w:r>
        <w:rPr>
          <w:rFonts w:ascii="Times New Roman" w:cs="Times New Roman" w:eastAsia="Times New Roman" w:hAnsi="Times New Roman"/>
          <w:sz w:val="20"/>
          <w:szCs w:val="20"/>
          <w:color w:val="auto"/>
        </w:rPr>
        <w:t>A significant disruption in the availability of any of our key product components could negatively impact our business. In addition, increases in the prices of key commodities and other raw materials could adversely affect our ability to manage our cost structure. Market conditions may limit our ability to raise selling prices to offset increases in our raw material costs. Our proprietary technologies can limit our ability to locate or utilize alternative inputs for certain products. For certain inputs, new</w:t>
      </w:r>
    </w:p>
    <w:p>
      <w:pPr>
        <w:sectPr>
          <w:pgSz w:w="12240" w:h="15840" w:orient="portrait"/>
          <w:cols w:equalWidth="0" w:num="1">
            <w:col w:w="10260"/>
          </w:cols>
          <w:pgMar w:left="1000" w:top="43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10260"/>
          </w:cols>
          <w:pgMar w:left="1000" w:top="430" w:right="980" w:bottom="0" w:gutter="0" w:footer="0" w:header="0"/>
          <w:type w:val="continuous"/>
        </w:sectPr>
      </w:pPr>
    </w:p>
    <w:bookmarkStart w:id="30" w:name="page31"/>
    <w:bookmarkEnd w:id="30"/>
    <w:p>
      <w:pPr>
        <w:ind w:left="20"/>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91" w:lineRule="exact"/>
        <w:rPr>
          <w:sz w:val="20"/>
          <w:szCs w:val="20"/>
          <w:color w:val="auto"/>
        </w:rPr>
      </w:pPr>
    </w:p>
    <w:p>
      <w:pPr>
        <w:jc w:val="both"/>
        <w:ind w:left="20"/>
        <w:spacing w:after="0" w:line="288" w:lineRule="auto"/>
        <w:rPr>
          <w:sz w:val="20"/>
          <w:szCs w:val="20"/>
          <w:color w:val="auto"/>
        </w:rPr>
      </w:pPr>
      <w:r>
        <w:rPr>
          <w:rFonts w:ascii="Times New Roman" w:cs="Times New Roman" w:eastAsia="Times New Roman" w:hAnsi="Times New Roman"/>
          <w:sz w:val="20"/>
          <w:szCs w:val="20"/>
          <w:color w:val="auto"/>
        </w:rPr>
        <w:t>sources of supply may have to be qualified under regulatory standards, which can require additional investment and delay bringing a product to market.</w:t>
      </w:r>
    </w:p>
    <w:p>
      <w:pPr>
        <w:spacing w:after="0" w:line="128" w:lineRule="exact"/>
        <w:rPr>
          <w:sz w:val="20"/>
          <w:szCs w:val="20"/>
          <w:color w:val="auto"/>
        </w:rPr>
      </w:pPr>
    </w:p>
    <w:p>
      <w:pPr>
        <w:jc w:val="both"/>
        <w:ind w:left="2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If our suppliers that currently, or will in the future, sell directly to the retail market in which we conduct our current or future business, or if our customers that currently, or will in the future, manufacture and sell competitive products, our ability to sell certain products could be harmed.</w:t>
      </w:r>
    </w:p>
    <w:p>
      <w:pPr>
        <w:spacing w:after="0" w:line="149" w:lineRule="exact"/>
        <w:rPr>
          <w:sz w:val="20"/>
          <w:szCs w:val="20"/>
          <w:color w:val="auto"/>
        </w:rPr>
      </w:pPr>
    </w:p>
    <w:p>
      <w:pPr>
        <w:jc w:val="both"/>
        <w:ind w:left="20" w:firstLine="720"/>
        <w:spacing w:after="0" w:line="256" w:lineRule="auto"/>
        <w:rPr>
          <w:sz w:val="20"/>
          <w:szCs w:val="20"/>
          <w:color w:val="auto"/>
        </w:rPr>
      </w:pPr>
      <w:r>
        <w:rPr>
          <w:rFonts w:ascii="Times New Roman" w:cs="Times New Roman" w:eastAsia="Times New Roman" w:hAnsi="Times New Roman"/>
          <w:sz w:val="20"/>
          <w:szCs w:val="20"/>
          <w:color w:val="auto"/>
        </w:rPr>
        <w:t>Distributed brand suppliers may sell through us in order to access our customers across the United States and Canada. Based on our knowledge and communication with our suppliers, we believe some of our suppliers sell directly to the retail market. If these suppliers were to cease working with us, or proceed to enhance their direct-to-customer efforts, our product offerings, reputation, operation and business could be materially adversely affected. Certain of our customers may also begin, or enhance, their manufacturing of goods that compete with our product offerings, potentially reducing demand of our products. As our suppliers and customers more directly compete in our market, we could experience a decrease in market share and operations.</w:t>
      </w:r>
    </w:p>
    <w:p>
      <w:pPr>
        <w:spacing w:after="0" w:line="1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Disruption in our global supply chain or vendor relationships may negatively impact our businesses.</w:t>
      </w:r>
    </w:p>
    <w:p>
      <w:pPr>
        <w:spacing w:after="0" w:line="210" w:lineRule="exact"/>
        <w:rPr>
          <w:sz w:val="20"/>
          <w:szCs w:val="20"/>
          <w:color w:val="auto"/>
        </w:rPr>
      </w:pPr>
    </w:p>
    <w:p>
      <w:pPr>
        <w:jc w:val="both"/>
        <w:ind w:left="20" w:firstLine="720"/>
        <w:spacing w:after="0" w:line="254" w:lineRule="auto"/>
        <w:rPr>
          <w:sz w:val="20"/>
          <w:szCs w:val="20"/>
          <w:color w:val="auto"/>
        </w:rPr>
      </w:pPr>
      <w:r>
        <w:rPr>
          <w:rFonts w:ascii="Times New Roman" w:cs="Times New Roman" w:eastAsia="Times New Roman" w:hAnsi="Times New Roman"/>
          <w:sz w:val="20"/>
          <w:szCs w:val="20"/>
          <w:color w:val="auto"/>
        </w:rPr>
        <w:t>The products we sell are sourced from a variety of domestic and international vendors, and any disruption in our supply chain or inability to find qualified vendors and access products that meet requisite quality and safety standards in a timely and efficient manner could adversely impact our businesses. The loss or disruption of such supply arrangements for any reason, including for issues such as health epidemics or pandemics, labor disputes, loss or impairment of key manufacturing sites, inability to procure sufficient raw materials, quality control issues, ethical sourcing issues, a supplier’s financial distress, natural disasters, looting, vandalism or acts of war or terrorism, trade sanctions or other external factors over which we have no control, could interrupt product supply and, if not effectively managed and remedied, have a material adverse impact on our business operations, financial condition and results of operations. If we are unable to maintain supplier arrangements and relationships, if we are unable to contract with suppliers at the quantity and quality levels needed for our business, or if any of our key suppliers becomes insolvent or experience other financial distress, we could experience disruptions in production, which could have a material adverse effect on our financial condition, results of operations and cash flows.</w:t>
      </w:r>
    </w:p>
    <w:p>
      <w:pPr>
        <w:spacing w:after="0" w:line="162" w:lineRule="exact"/>
        <w:rPr>
          <w:sz w:val="20"/>
          <w:szCs w:val="20"/>
          <w:color w:val="auto"/>
        </w:rPr>
      </w:pPr>
    </w:p>
    <w:p>
      <w:pPr>
        <w:ind w:left="20" w:right="2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A significant interruption in the operation of our or our suppliers’ facilities could impact our capacity to produce products and service our customers, which could adversely affect revenues and earnings.</w:t>
      </w:r>
    </w:p>
    <w:p>
      <w:pPr>
        <w:spacing w:after="0" w:line="128" w:lineRule="exact"/>
        <w:rPr>
          <w:sz w:val="20"/>
          <w:szCs w:val="20"/>
          <w:color w:val="auto"/>
        </w:rPr>
      </w:pPr>
    </w:p>
    <w:p>
      <w:pPr>
        <w:jc w:val="both"/>
        <w:ind w:left="20" w:firstLine="720"/>
        <w:spacing w:after="0" w:line="258" w:lineRule="auto"/>
        <w:rPr>
          <w:sz w:val="20"/>
          <w:szCs w:val="20"/>
          <w:color w:val="auto"/>
        </w:rPr>
      </w:pPr>
      <w:r>
        <w:rPr>
          <w:rFonts w:ascii="Times New Roman" w:cs="Times New Roman" w:eastAsia="Times New Roman" w:hAnsi="Times New Roman"/>
          <w:sz w:val="20"/>
          <w:szCs w:val="20"/>
          <w:color w:val="auto"/>
        </w:rPr>
        <w:t>Operations at our and our suppliers’ facilities are subject to disruption for a variety of reasons, including fire, flooding or other natural disasters, disease outbreaks or pandemics, acts of war, terrorism, government shut-downs and work stoppages. A significant interruption in the operation of our or our suppliers’ facilities, especially for those products manufactured at a limited number of facilities, such as fertilizer and liquid products, could significantly impact our capacity to sell products and service our customers in a timely manner, which could have a material adverse effect on our customer relationships, revenues, earnings and financial position.</w:t>
      </w:r>
    </w:p>
    <w:p>
      <w:pPr>
        <w:spacing w:after="0" w:line="157" w:lineRule="exact"/>
        <w:rPr>
          <w:sz w:val="20"/>
          <w:szCs w:val="20"/>
          <w:color w:val="auto"/>
        </w:rPr>
      </w:pPr>
    </w:p>
    <w:p>
      <w:pPr>
        <w:jc w:val="both"/>
        <w:ind w:left="2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If our suppliers are unable to source raw materials in sufficient quantities, on a timely basis, and at acceptable costs, our ability to sell our products may be harmed.</w:t>
      </w:r>
    </w:p>
    <w:p>
      <w:pPr>
        <w:spacing w:after="0" w:line="129"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 manufacture of some of our products is complex and requires precise high quality manufacturing that is difficult to achieve. We have in the past experienced, and may in the future experience, difficulties in manufacturing our products on a timely basis and in sufficient quantities. These difficulties may result in increased delivery lead-times and increased costs of manufacturing these products. Our failure to achieve and maintain the required manufacturing standards could result in further delays or failures in product testing or delivery, cost overruns, product recalls or withdrawals, increased warranty costs or other problems that could harm our business and prospects.</w:t>
      </w:r>
    </w:p>
    <w:p>
      <w:pPr>
        <w:spacing w:after="0" w:line="157" w:lineRule="exact"/>
        <w:rPr>
          <w:sz w:val="20"/>
          <w:szCs w:val="20"/>
          <w:color w:val="auto"/>
        </w:rPr>
      </w:pPr>
    </w:p>
    <w:p>
      <w:pPr>
        <w:jc w:val="both"/>
        <w:ind w:left="20" w:firstLine="720"/>
        <w:spacing w:after="0" w:line="263" w:lineRule="auto"/>
        <w:rPr>
          <w:sz w:val="20"/>
          <w:szCs w:val="20"/>
          <w:color w:val="auto"/>
        </w:rPr>
      </w:pPr>
      <w:r>
        <w:rPr>
          <w:rFonts w:ascii="Times New Roman" w:cs="Times New Roman" w:eastAsia="Times New Roman" w:hAnsi="Times New Roman"/>
          <w:sz w:val="20"/>
          <w:szCs w:val="20"/>
          <w:color w:val="auto"/>
        </w:rPr>
        <w:t>In determining the required quantities of our products and the manufacturing schedule, we must make significant judgments and estimates based on historical experience, inventory levels, current market trends and other related factors. Because of the inherent nature of estimates, there could be significant differences between our estimates and the actual amounts of products we require, which could harm our business and results of operations.</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Risks Relating to the Cannabis Industry</w:t>
      </w:r>
    </w:p>
    <w:p>
      <w:pPr>
        <w:spacing w:after="0" w:line="213" w:lineRule="exact"/>
        <w:rPr>
          <w:sz w:val="20"/>
          <w:szCs w:val="20"/>
          <w:color w:val="auto"/>
        </w:rPr>
      </w:pPr>
    </w:p>
    <w:p>
      <w:pPr>
        <w:jc w:val="both"/>
        <w:ind w:left="20" w:firstLine="720"/>
        <w:spacing w:after="0" w:line="263" w:lineRule="auto"/>
        <w:rPr>
          <w:sz w:val="20"/>
          <w:szCs w:val="20"/>
          <w:color w:val="auto"/>
        </w:rPr>
      </w:pPr>
      <w:r>
        <w:rPr>
          <w:rFonts w:ascii="Times New Roman" w:cs="Times New Roman" w:eastAsia="Times New Roman" w:hAnsi="Times New Roman"/>
          <w:sz w:val="20"/>
          <w:szCs w:val="20"/>
          <w:color w:val="auto"/>
        </w:rPr>
        <w:t>The risks referred to below, to the extent they relate to our customers could impact us indirectly. In addition, if our business is deemed to transact with companies in the United States involved in the cannabis business, these risks could apply directly to us. "Cannabis Industry Participants" means the potential customers and end-users of our products who are engaged in the cannabis industry.</w:t>
      </w:r>
    </w:p>
    <w:p>
      <w:pPr>
        <w:sectPr>
          <w:pgSz w:w="12240" w:h="15840" w:orient="portrait"/>
          <w:cols w:equalWidth="0" w:num="1">
            <w:col w:w="10280"/>
          </w:cols>
          <w:pgMar w:left="980" w:top="430" w:right="980" w:bottom="0"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10280"/>
          </w:cols>
          <w:pgMar w:left="980" w:top="430" w:right="980" w:bottom="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91"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are subject to a number of risks, directly and indirectly through Cannabis Industry Participants, because cannabis is illegal under federal law.</w:t>
      </w:r>
    </w:p>
    <w:p>
      <w:pPr>
        <w:spacing w:after="0" w:line="128" w:lineRule="exact"/>
        <w:rPr>
          <w:sz w:val="20"/>
          <w:szCs w:val="20"/>
          <w:color w:val="auto"/>
        </w:rPr>
      </w:pPr>
    </w:p>
    <w:p>
      <w:pPr>
        <w:jc w:val="both"/>
        <w:ind w:firstLine="720"/>
        <w:spacing w:after="0" w:line="268" w:lineRule="auto"/>
        <w:rPr>
          <w:sz w:val="20"/>
          <w:szCs w:val="20"/>
          <w:color w:val="auto"/>
        </w:rPr>
      </w:pPr>
      <w:r>
        <w:rPr>
          <w:rFonts w:ascii="Times New Roman" w:cs="Times New Roman" w:eastAsia="Times New Roman" w:hAnsi="Times New Roman"/>
          <w:sz w:val="20"/>
          <w:szCs w:val="20"/>
          <w:color w:val="auto"/>
        </w:rPr>
        <w:t>As of the date of this Annual Report on Form 10-K, cannabis is illegal under U.S. federal law. Federal law and enforcement may adversely affect the implementation of medical cannabis and/or adult use cannabis laws, and may negatively impact our revenues and profits.</w:t>
      </w:r>
    </w:p>
    <w:p>
      <w:pPr>
        <w:spacing w:after="0" w:line="149"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 xml:space="preserve">Under the CSA, the U.S. federal government currently lists cannabis as a Schedule I controlled substance (i.e., deemed to have no medical value), and accordingly the manufacturing (cultivation), sale, or possession of cannabis is federally illegal. It is also federally illegal in the United States to advertise the sale of cannabis or to sell paraphernalia designed or intended primarily for use with cannabis, unless the paraphernalia is authorized by federal, state, or local law. The U.S. Supreme Court ruled in </w:t>
      </w:r>
      <w:r>
        <w:rPr>
          <w:rFonts w:ascii="Times New Roman" w:cs="Times New Roman" w:eastAsia="Times New Roman" w:hAnsi="Times New Roman"/>
          <w:sz w:val="20"/>
          <w:szCs w:val="20"/>
          <w:i w:val="1"/>
          <w:iCs w:val="1"/>
          <w:color w:val="auto"/>
        </w:rPr>
        <w:t>United States v. Oakland Cannabis Buyers’ Cooperative</w:t>
      </w:r>
      <w:r>
        <w:rPr>
          <w:rFonts w:ascii="Times New Roman" w:cs="Times New Roman" w:eastAsia="Times New Roman" w:hAnsi="Times New Roman"/>
          <w:sz w:val="20"/>
          <w:szCs w:val="20"/>
          <w:color w:val="auto"/>
        </w:rPr>
        <w:t xml:space="preserve">, 532 U.S. 483 (2001) and </w:t>
      </w:r>
      <w:r>
        <w:rPr>
          <w:rFonts w:ascii="Times New Roman" w:cs="Times New Roman" w:eastAsia="Times New Roman" w:hAnsi="Times New Roman"/>
          <w:sz w:val="20"/>
          <w:szCs w:val="20"/>
          <w:i w:val="1"/>
          <w:iCs w:val="1"/>
          <w:color w:val="auto"/>
        </w:rPr>
        <w:t>Gonzales v. Raich</w:t>
      </w:r>
      <w:r>
        <w:rPr>
          <w:rFonts w:ascii="Times New Roman" w:cs="Times New Roman" w:eastAsia="Times New Roman" w:hAnsi="Times New Roman"/>
          <w:sz w:val="20"/>
          <w:szCs w:val="20"/>
          <w:color w:val="auto"/>
        </w:rPr>
        <w:t>, 545 U.S. 1 (2005) that the U.S. federal government has the right to regulate and criminalize cannabis, even for medical purposes. The illegality of cannabis under U.S. federal law preempts state laws that legalize or decriminalize its use. Therefore, strict enforcement of U.S. federal law regarding cannabis would likely adversely affect our revenues and results of operations.</w:t>
      </w:r>
    </w:p>
    <w:p>
      <w:pPr>
        <w:spacing w:after="0" w:line="1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Other laws that directly impact Cannabis Industry Participants include:</w:t>
      </w:r>
    </w:p>
    <w:p>
      <w:pPr>
        <w:spacing w:after="0" w:line="210" w:lineRule="exact"/>
        <w:rPr>
          <w:sz w:val="20"/>
          <w:szCs w:val="20"/>
          <w:color w:val="auto"/>
        </w:rPr>
      </w:pPr>
    </w:p>
    <w:p>
      <w:pPr>
        <w:jc w:val="both"/>
        <w:ind w:left="720" w:firstLine="350"/>
        <w:spacing w:after="0" w:line="262" w:lineRule="auto"/>
        <w:tabs>
          <w:tab w:leader="none" w:pos="14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Businesses trafficking in cannabis may not take tax deductions for costs beyond costs of goods sold under Code Section 280E. There is no way to predict how the federal government may treat cannabis businesses from a taxation standpoint in the future and no assurance can be given to what extent Code Section 280E, or other tax-related laws and regulations, may be applied to cannabis businesses in the future.</w:t>
      </w:r>
    </w:p>
    <w:p>
      <w:pPr>
        <w:spacing w:after="0" w:line="154" w:lineRule="exact"/>
        <w:rPr>
          <w:rFonts w:ascii="Times New Roman" w:cs="Times New Roman" w:eastAsia="Times New Roman" w:hAnsi="Times New Roman"/>
          <w:sz w:val="20"/>
          <w:szCs w:val="20"/>
          <w:color w:val="auto"/>
        </w:rPr>
      </w:pPr>
    </w:p>
    <w:p>
      <w:pPr>
        <w:jc w:val="both"/>
        <w:ind w:left="720" w:firstLine="350"/>
        <w:spacing w:after="0" w:line="260" w:lineRule="auto"/>
        <w:tabs>
          <w:tab w:leader="none" w:pos="14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Because the manufacturing (cultivation), sale, possession and use of cannabis is illegal under federal law, cannabis businesses may have restricted intellectual property rights, particularly with respect to obtaining and enforcing patents and trademarks. In addition, cannabis businesses may face court action by third parties under RICO. Intellectual property rights could be impaired as a result of cannabis business, and cannabis businesses could be named as a defendant in an action asserting a RICO violation.</w:t>
      </w:r>
    </w:p>
    <w:p>
      <w:pPr>
        <w:spacing w:after="0" w:line="154" w:lineRule="exact"/>
        <w:rPr>
          <w:rFonts w:ascii="Times New Roman" w:cs="Times New Roman" w:eastAsia="Times New Roman" w:hAnsi="Times New Roman"/>
          <w:sz w:val="20"/>
          <w:szCs w:val="20"/>
          <w:color w:val="auto"/>
        </w:rPr>
      </w:pPr>
    </w:p>
    <w:p>
      <w:pPr>
        <w:jc w:val="both"/>
        <w:ind w:left="720" w:firstLine="350"/>
        <w:spacing w:after="0" w:line="258" w:lineRule="auto"/>
        <w:tabs>
          <w:tab w:leader="none" w:pos="14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Federal bankruptcy courts cannot provide relief for parties who engage in cannabis businesses. Recent bankruptcy rulings have denied bankruptcies for cannabis dispensaries upon the justification that businesses cannot violate federal law and then claim the benefits of federal bankruptcy for the same activity and upon the justification that courts cannot ask a bankruptcy trustee to take possession of, and distribute cannabis assets as such action would violate the CSA. Therefore, cannabis businesses may not be able to seek the protection of the bankruptcy courts and this could materially affect their financial performance and/or their ability to obtain or maintain credit.</w:t>
      </w:r>
    </w:p>
    <w:p>
      <w:pPr>
        <w:spacing w:after="0" w:line="157" w:lineRule="exact"/>
        <w:rPr>
          <w:rFonts w:ascii="Times New Roman" w:cs="Times New Roman" w:eastAsia="Times New Roman" w:hAnsi="Times New Roman"/>
          <w:sz w:val="20"/>
          <w:szCs w:val="20"/>
          <w:color w:val="auto"/>
        </w:rPr>
      </w:pPr>
    </w:p>
    <w:p>
      <w:pPr>
        <w:jc w:val="both"/>
        <w:ind w:left="720" w:firstLine="350"/>
        <w:spacing w:after="0" w:line="257" w:lineRule="auto"/>
        <w:tabs>
          <w:tab w:leader="none" w:pos="14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cannabis is illegal under federal law, there is a strong argument that banks cannot accept for deposit funds from businesses involved in the cannabis industry. Consequently, businesses involved in the cannabis industry often have difficulty finding a bank willing to accept their business. Any such inability to open or maintain bank accounts may make it difficult for cannabis businesses to operate. Under the BSA, banks must report to the federal government any suspected illegal activity, which includes any transaction associated with a cannabis business. These reports must be filed even though the business is operating legitimately under state law.</w:t>
      </w:r>
    </w:p>
    <w:p>
      <w:pPr>
        <w:spacing w:after="0" w:line="161" w:lineRule="exact"/>
        <w:rPr>
          <w:rFonts w:ascii="Times New Roman" w:cs="Times New Roman" w:eastAsia="Times New Roman" w:hAnsi="Times New Roman"/>
          <w:sz w:val="20"/>
          <w:szCs w:val="20"/>
          <w:color w:val="auto"/>
        </w:rPr>
      </w:pPr>
    </w:p>
    <w:p>
      <w:pPr>
        <w:ind w:left="720" w:firstLine="350"/>
        <w:spacing w:after="0" w:line="288" w:lineRule="auto"/>
        <w:tabs>
          <w:tab w:leader="none" w:pos="14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Insurance that is otherwise readily available, such as general liability and directors and officer’s insurance, may be more difficult to find, and more expensive.</w:t>
      </w:r>
    </w:p>
    <w:p>
      <w:pPr>
        <w:spacing w:after="0" w:line="128"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Any presidential administration, current or future, could change federal enforcement policy or execution and decide to enforce the federal cannabis laws more strongly. Recent administrations have disagreed on how strongly to enforce federal cannabis laws. For example, on August 29, 2013, the DOJ under the Obama administration issued the Cole Memorandum, characterizing strict enforcement as an inefficient use of federal investigative and prosecutorial resources. The Cole Memorandum provided guidance to all federal prosecutors indicating that federal enforcement of the CSA against cannabis-related conduct should be focused on specific priorities, including cannabis distribution to minors, violence in connection with cannabis distribution, cannabis cultivation on federal property, and collection of cannabis-derived revenue by criminal enterprises, gangs and cartels. On January 4, 2018, the DOJ under the Trump administration issued the Sessions Memorandum, which effectively rescinded the Cole Memorandum and directed federal prosecutors to enforce the CSA and to follow well-established principles when pursuing prosecutions related to cannabis activities. The DOJ under the Biden administration did not readopt the Cole Memorandum, but former President Biden indicated support for decriminalization of cannabis. On October 6, 2022, former President Biden issued an executive order pardoning all persons convicted of simple possession of cannabis under the CSA. In the same executive order, former President Biden also directed the Secretary of HHS and the Attorney General to initiate an administrative process to review the scheduling of cannabis under the CSA, and on August 29, 2023, the</w:t>
      </w:r>
    </w:p>
    <w:p>
      <w:pPr>
        <w:sectPr>
          <w:pgSz w:w="12240" w:h="15840" w:orient="portrait"/>
          <w:cols w:equalWidth="0" w:num="1">
            <w:col w:w="10260"/>
          </w:cols>
          <w:pgMar w:left="1000" w:top="430" w:right="980" w:bottom="0" w:gutter="0" w:footer="0" w:header="0"/>
        </w:sectPr>
      </w:pPr>
    </w:p>
    <w:p>
      <w:pPr>
        <w:spacing w:after="0" w:line="40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10260"/>
          </w:cols>
          <w:pgMar w:left="1000" w:top="430" w:right="980" w:bottom="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Department of HHS officially recommended that the DEA reschedule cannabis from Schedule I to Schedule III, although the DEA is not obligated to follow this recommendation. Further, on December 2, 2022, former President Biden signed into law the Medical Marijuana and Cannabidiol Research Expansion Act, which streamlines and expands the process for researching the medical use of cannabis. On May 16, 2024, the DOJ announced that the Attorney General submitted a notice of proposed rulemaking process for rescheduling cannabis. The DEA held a preliminary hearing on the proposed rescheduling of cannabis on December 2, 2024, and was scheduled to have another hearing on January 21, 2025. On January 15, 2025, the DEA indefinitely postponed this hearing regarding pending resolution of an appeal filed by a party in the proceedings. On December 18, 2025, President Trump issued an executive order instructing the Attorney General to expedite the rulemaking process related to rescheduling cannabis from a Schedule 1 to a Schedule III controlled substance under the CSA. Despite these advancements in rescheduling, we cannot predict how the current administration or future administrations will enforce the CSA or other laws against cannabis activities. Any change in the federal government’s enforcement of current federal laws could cause significant financial damage to us. The legal uncertainty and possible future changes in law could negatively affect our growth, revenues, results of operations and success generally.</w:t>
      </w:r>
    </w:p>
    <w:p>
      <w:pPr>
        <w:spacing w:after="0" w:line="169"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0"/>
          <w:szCs w:val="20"/>
          <w:color w:val="auto"/>
        </w:rPr>
        <w:t>Unless and until cannabis is de-scheduled entirely or Congress amends the CSA with respect to medical and/or adult use cannabis, there is a risk that federal prosecutors may enforce the existing CSA. Federal authorities may decide to change their current posture and begin to enforce current federal cannabis law and, if they decide to ignore the principles in the Cole Memorandum and begin to aggressively enforce such laws, it is possible that they could allege that we violated federal laws by selling products used in the cannabis industry. As a result, active enforcement of the current federal regulatory position on cannabis may directly or indirectly adversely affect our revenues and profits.</w:t>
      </w:r>
    </w:p>
    <w:p>
      <w:pPr>
        <w:spacing w:after="0" w:line="162"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Violations of any U.S. federal laws and regulations could result in significant fines, penalties, administrative sanctions, convictions or settlements arising from civil proceedings conducted by either the U.S. federal government or private citizens, or criminal charges, including, but not limited to, disgorgement of profits, cessation of business activities or divestiture. This could have a material adverse effect on our business, including our reputation and ability to conduct business, the listing of our securities on any stock exchanges, the settlement of trades of our securities, our ability to obtain banking services, our financial position, operating results, profitability or liquidity or the market price of our publicly-traded shares. In addition, it is difficult for us to estimate the time or resources that would be needed for the investigation of any such matters or their final resolution because, in part, the time and resources that may be needed are dependent on the nature and extent of any information requested by the applicable authorities involved, and such time or resources could be substantial.</w:t>
      </w:r>
    </w:p>
    <w:p>
      <w:pPr>
        <w:spacing w:after="0" w:line="16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Cannabis Industry Participants are subject to federal and state controlled substance laws and regulations. As a result, we are indirectly subject to a number of risks related to controlled substances.</w:t>
      </w:r>
    </w:p>
    <w:p>
      <w:pPr>
        <w:spacing w:after="0" w:line="128" w:lineRule="exact"/>
        <w:rPr>
          <w:sz w:val="20"/>
          <w:szCs w:val="20"/>
          <w:color w:val="auto"/>
        </w:rPr>
      </w:pPr>
    </w:p>
    <w:p>
      <w:pPr>
        <w:jc w:val="both"/>
        <w:ind w:firstLine="720"/>
        <w:spacing w:after="0" w:line="262" w:lineRule="auto"/>
        <w:rPr>
          <w:sz w:val="20"/>
          <w:szCs w:val="20"/>
          <w:color w:val="auto"/>
        </w:rPr>
      </w:pPr>
      <w:r>
        <w:rPr>
          <w:rFonts w:ascii="Times New Roman" w:cs="Times New Roman" w:eastAsia="Times New Roman" w:hAnsi="Times New Roman"/>
          <w:sz w:val="20"/>
          <w:szCs w:val="20"/>
          <w:color w:val="auto"/>
        </w:rPr>
        <w:t>Some of our products are sold to Cannabis Industry Participants and used in connection with cannabis businesses that are subject to federal and state controlled substance laws and regulations. Companies that transact directly or indirectly with cannabis businesses are subject to a number of risks related to controlled substances, which risks could reduce demand for our products by Cannabis Industry Participants. Such risks include, but are not limited to, the following:</w:t>
      </w:r>
    </w:p>
    <w:p>
      <w:pPr>
        <w:spacing w:after="0" w:line="155" w:lineRule="exact"/>
        <w:rPr>
          <w:sz w:val="20"/>
          <w:szCs w:val="20"/>
          <w:color w:val="auto"/>
        </w:rPr>
      </w:pPr>
    </w:p>
    <w:p>
      <w:pPr>
        <w:jc w:val="both"/>
        <w:ind w:left="720" w:firstLine="350"/>
        <w:spacing w:after="0" w:line="263" w:lineRule="auto"/>
        <w:tabs>
          <w:tab w:leader="none" w:pos="14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date of this Annual Report on Form 10-K, cannabis is a Schedule I drug under the CSA and regulated by the DEA as an illegal substance. The FDA, in conjunction with the DEA, licenses cannabis research and drugs containing active ingredients derived from cannabis. If cannabis were to become legal under federal law, its sale and use could become regulated by the FDA or another federal agency.</w:t>
      </w:r>
    </w:p>
    <w:p>
      <w:pPr>
        <w:spacing w:after="0" w:line="152" w:lineRule="exact"/>
        <w:rPr>
          <w:rFonts w:ascii="Times New Roman" w:cs="Times New Roman" w:eastAsia="Times New Roman" w:hAnsi="Times New Roman"/>
          <w:sz w:val="20"/>
          <w:szCs w:val="20"/>
          <w:color w:val="auto"/>
        </w:rPr>
      </w:pPr>
    </w:p>
    <w:p>
      <w:pPr>
        <w:jc w:val="both"/>
        <w:ind w:left="720" w:firstLine="350"/>
        <w:spacing w:after="0" w:line="258" w:lineRule="auto"/>
        <w:tabs>
          <w:tab w:leader="none" w:pos="14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cannabis were to become regulated by the FDA or another federal agency, extensive regulations may be imposed on the sale or use of cannabis. Such regulations could result in a decrease in cannabis sales and have a material adverse impact on the demand for our products. If we or our Cannabis Industry Participants are unable to comply with any applicable regulations and/or registration prescribed by the FDA, we may be unable to continue to transact with retailers and resellers who sell products to cannabis businesses and/or our financial condition may be adversely impacted.</w:t>
      </w:r>
    </w:p>
    <w:p>
      <w:pPr>
        <w:spacing w:after="0" w:line="157" w:lineRule="exact"/>
        <w:rPr>
          <w:rFonts w:ascii="Times New Roman" w:cs="Times New Roman" w:eastAsia="Times New Roman" w:hAnsi="Times New Roman"/>
          <w:sz w:val="20"/>
          <w:szCs w:val="20"/>
          <w:color w:val="auto"/>
        </w:rPr>
      </w:pPr>
    </w:p>
    <w:p>
      <w:pPr>
        <w:jc w:val="both"/>
        <w:ind w:left="720" w:firstLine="350"/>
        <w:spacing w:after="0" w:line="256" w:lineRule="auto"/>
        <w:tabs>
          <w:tab w:leader="none" w:pos="14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Controlled substance legislation differs between states, and legislation in certain states may restrict or limit Cannabis Industry Participants from buying our products. Cannabis Industry Participants may be required to obtain separate state registrations, permits or licenses in order to be able to obtain, handle and/or distribute controlled substances in a state. Such state regulatory requirements may be costly and, the failure of such Cannabis Industry Participants to meet such regulatory requirements could lead to enforcement and sanctions by the states in addition to any from the DEA or otherwise arising under federal law. We could be implicated in such enforcement or sanctions because of the purchase of our products by such Cannabis Industry Participants.</w:t>
      </w:r>
    </w:p>
    <w:p>
      <w:pPr>
        <w:sectPr>
          <w:pgSz w:w="12240" w:h="15840" w:orient="portrait"/>
          <w:cols w:equalWidth="0" w:num="1">
            <w:col w:w="10260"/>
          </w:cols>
          <w:pgMar w:left="1000" w:top="43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10260"/>
          </w:cols>
          <w:pgMar w:left="1000" w:top="430" w:right="980" w:bottom="0" w:gutter="0" w:footer="0" w:header="0"/>
          <w:type w:val="continuous"/>
        </w:sectPr>
      </w:pPr>
    </w:p>
    <w:bookmarkStart w:id="33" w:name="page34"/>
    <w:bookmarkEnd w:id="33"/>
    <w:p>
      <w:pPr>
        <w:ind w:left="20"/>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91" w:lineRule="exact"/>
        <w:rPr>
          <w:sz w:val="20"/>
          <w:szCs w:val="20"/>
          <w:color w:val="auto"/>
        </w:rPr>
      </w:pPr>
    </w:p>
    <w:p>
      <w:pPr>
        <w:jc w:val="both"/>
        <w:ind w:left="740" w:firstLine="350"/>
        <w:spacing w:after="0" w:line="269" w:lineRule="auto"/>
        <w:tabs>
          <w:tab w:leader="none" w:pos="14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of our Cannabis Industry Participants to comply with applicable controlled substance laws and regulations, or the cost of compliance with these laws and regulations, may adversely affect the demand for our products and, as a result, the financial results of our business operations and our financial condition.</w:t>
      </w:r>
    </w:p>
    <w:p>
      <w:pPr>
        <w:spacing w:after="0" w:line="147" w:lineRule="exact"/>
        <w:rPr>
          <w:sz w:val="20"/>
          <w:szCs w:val="20"/>
          <w:color w:val="auto"/>
        </w:rPr>
      </w:pPr>
    </w:p>
    <w:p>
      <w:pPr>
        <w:jc w:val="both"/>
        <w:ind w:left="20" w:firstLine="720"/>
        <w:spacing w:after="0" w:line="287" w:lineRule="auto"/>
        <w:rPr>
          <w:sz w:val="20"/>
          <w:szCs w:val="20"/>
          <w:color w:val="auto"/>
        </w:rPr>
      </w:pPr>
      <w:r>
        <w:rPr>
          <w:rFonts w:ascii="Times New Roman" w:cs="Times New Roman" w:eastAsia="Times New Roman" w:hAnsi="Times New Roman"/>
          <w:sz w:val="20"/>
          <w:szCs w:val="20"/>
          <w:color w:val="auto"/>
        </w:rPr>
        <w:t>Furthermore, the Term Loan restricts our ability and the ability of the Subsidiary Obligors to sell our products directly to U.S. Cannabis Industry Participants.</w:t>
      </w:r>
    </w:p>
    <w:p>
      <w:pPr>
        <w:spacing w:after="0" w:line="129" w:lineRule="exact"/>
        <w:rPr>
          <w:sz w:val="20"/>
          <w:szCs w:val="20"/>
          <w:color w:val="auto"/>
        </w:rPr>
      </w:pPr>
    </w:p>
    <w:p>
      <w:pPr>
        <w:jc w:val="both"/>
        <w:ind w:left="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Our growth is highly dependent on the U.S. cannabis market. In the past, California regulations caused licensing shortages and future regulations may create other limitations that decrease the demand for our products. State level regulations adopted in the future may adversely impact our business. Supply and demand and prevailing prices for cannabis may also adversely impact our business.</w:t>
      </w:r>
    </w:p>
    <w:p>
      <w:pPr>
        <w:spacing w:after="0" w:line="152" w:lineRule="exact"/>
        <w:rPr>
          <w:sz w:val="20"/>
          <w:szCs w:val="20"/>
          <w:color w:val="auto"/>
        </w:rPr>
      </w:pPr>
    </w:p>
    <w:p>
      <w:pPr>
        <w:jc w:val="both"/>
        <w:ind w:left="20" w:firstLine="720"/>
        <w:spacing w:after="0" w:line="263" w:lineRule="auto"/>
        <w:rPr>
          <w:sz w:val="20"/>
          <w:szCs w:val="20"/>
          <w:color w:val="auto"/>
        </w:rPr>
      </w:pPr>
      <w:r>
        <w:rPr>
          <w:rFonts w:ascii="Times New Roman" w:cs="Times New Roman" w:eastAsia="Times New Roman" w:hAnsi="Times New Roman"/>
          <w:sz w:val="20"/>
          <w:szCs w:val="20"/>
          <w:color w:val="auto"/>
        </w:rPr>
        <w:t>The base of cannabis growers in the United States has grown over the past 20 years since the legalization of cannabis in various U.S. states such as California, Colorado, Michigan, Nevada, Oregon and Washington, with growers depending on products similar to those we distribute. If the U.S. cannabis cultivation market does not grow as expected, our business, financial condition and results of operations could be adversely impacted.</w:t>
      </w:r>
    </w:p>
    <w:p>
      <w:pPr>
        <w:spacing w:after="0" w:line="152" w:lineRule="exact"/>
        <w:rPr>
          <w:sz w:val="20"/>
          <w:szCs w:val="20"/>
          <w:color w:val="auto"/>
        </w:rPr>
      </w:pPr>
    </w:p>
    <w:p>
      <w:pPr>
        <w:jc w:val="both"/>
        <w:ind w:left="20" w:firstLine="720"/>
        <w:spacing w:after="0" w:line="254" w:lineRule="auto"/>
        <w:rPr>
          <w:sz w:val="20"/>
          <w:szCs w:val="20"/>
          <w:color w:val="auto"/>
        </w:rPr>
      </w:pPr>
      <w:r>
        <w:rPr>
          <w:rFonts w:ascii="Times New Roman" w:cs="Times New Roman" w:eastAsia="Times New Roman" w:hAnsi="Times New Roman"/>
          <w:sz w:val="20"/>
          <w:szCs w:val="20"/>
          <w:color w:val="auto"/>
        </w:rPr>
        <w:t>Cannabis remains illegal under U.S. federal law, with cannabis currently listed as a Schedule I substance under the CSA. Notwithstanding laws in various states permitting certain cannabis activities, all cannabis activities, including possession, distribution, processing and manufacturing of cannabis and investment in, and financial services or transactions involving proceeds of, or promoting such activities remain illegal under various U.S. federal criminal and civil laws and regulations, including the CSA, as well as laws and regulations of several states that have not legalized some or any cannabis activities to date. Compliance with applicable state laws regarding cannabis activities does not protect us from federal prosecution or other enforcement action, such as seizure or forfeiture remedies, nor does it provide any defense to such prosecution or action. Cannabis activities conducted in or related to conduct in multiple states may potentially face a higher level of scrutiny from federal authorities. Penalties for violating federal drug, conspiracy, aiding, abetting, bank fraud and/or money laundering laws may include prison, fines, and seizure/forfeiture of property used in connection with cannabis activities, including proceeds derived from such activities.</w:t>
      </w:r>
    </w:p>
    <w:p>
      <w:pPr>
        <w:spacing w:after="0" w:line="162" w:lineRule="exact"/>
        <w:rPr>
          <w:sz w:val="20"/>
          <w:szCs w:val="20"/>
          <w:color w:val="auto"/>
        </w:rPr>
      </w:pPr>
    </w:p>
    <w:p>
      <w:pPr>
        <w:jc w:val="both"/>
        <w:ind w:left="20" w:firstLine="720"/>
        <w:spacing w:after="0" w:line="255" w:lineRule="auto"/>
        <w:rPr>
          <w:sz w:val="20"/>
          <w:szCs w:val="20"/>
          <w:color w:val="auto"/>
        </w:rPr>
      </w:pPr>
      <w:r>
        <w:rPr>
          <w:rFonts w:ascii="Times New Roman" w:cs="Times New Roman" w:eastAsia="Times New Roman" w:hAnsi="Times New Roman"/>
          <w:sz w:val="20"/>
          <w:szCs w:val="20"/>
          <w:color w:val="auto"/>
        </w:rPr>
        <w:t>We sell our products through third-party retailers and resellers, however, it is evident to us that the movement towards the legalization of cannabis in the United States and its legalization in Canada has ultimately had a significant, positive impact on our industry. We are not currently subject directly to any state laws or regulations controlling participants in the legal cannabis industry. However, regulation of the cannabis industry does impact those that we believe represent many end-users for our products and, accordingly, there can be no assurance that changes in regulation of the industry and more rigorous enforcement by federal authorities will not have a material adverse effect on us. For example, legalization of cannabis in the United States may invite into the market for hydroponic equipment and supplies for the CEA industry additional competitors who are better resourced than us.</w:t>
      </w:r>
    </w:p>
    <w:p>
      <w:pPr>
        <w:spacing w:after="0" w:line="166" w:lineRule="exact"/>
        <w:rPr>
          <w:sz w:val="20"/>
          <w:szCs w:val="20"/>
          <w:color w:val="auto"/>
        </w:rPr>
      </w:pPr>
    </w:p>
    <w:p>
      <w:pPr>
        <w:jc w:val="both"/>
        <w:ind w:left="20"/>
        <w:spacing w:after="0" w:line="260" w:lineRule="auto"/>
        <w:rPr>
          <w:sz w:val="20"/>
          <w:szCs w:val="20"/>
          <w:color w:val="auto"/>
        </w:rPr>
      </w:pPr>
      <w:r>
        <w:rPr>
          <w:rFonts w:ascii="Times New Roman" w:cs="Times New Roman" w:eastAsia="Times New Roman" w:hAnsi="Times New Roman"/>
          <w:sz w:val="20"/>
          <w:szCs w:val="20"/>
          <w:b w:val="1"/>
          <w:bCs w:val="1"/>
          <w:i w:val="1"/>
          <w:iCs w:val="1"/>
          <w:color w:val="auto"/>
        </w:rPr>
        <w:t>Legislation and regulations pertaining to the use and cultivation of cannabis are enacted on both the state and federal government level within the United States. As a result, the laws governing the cultivation and use of cannabis may be subject to change. Any new laws and regulations limiting the use or cultivation of cannabis and any enforcement actions by state and federal governments could indirectly reduce demand for our products, and may impact our current and planned future operations.</w:t>
      </w:r>
    </w:p>
    <w:p>
      <w:pPr>
        <w:spacing w:after="0" w:line="155"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Individual state laws allowing the cultivation and possession of cannabis for adult and medical uses conflict with federal laws prohibiting the cultivation, possession and use of cannabis for any purpose. A number of states have passed legislation legalizing or decriminalizing cannabis for adult use, other states have enacted legislation specifically permitting the cultivation and use of cannabis for medicinal purposes, and several states have enacted legislation permitting cannabis cultivation and use for both adult and medicinal purposes. Variations exist among those states’ cannabis laws. Evolving federal and state laws and regulations pertaining to the use or cultivation of cannabis, as well as active enforcement by federal or state authorities of the laws and regulations governing the use and cultivation of cannabis may indirectly and adversely affect our business, our revenues and our profits.</w:t>
      </w:r>
    </w:p>
    <w:p>
      <w:pPr>
        <w:spacing w:after="0" w:line="16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Certain of our products may be purchased for use in new and emerging industries and/or be subject to varying, inconsistent, and rapidly changing laws, regulations, administrative practices, enforcement approaches, judicial interpretations, future scientific research and public perception.</w:t>
      </w:r>
    </w:p>
    <w:p>
      <w:pPr>
        <w:spacing w:after="0" w:line="147" w:lineRule="exact"/>
        <w:rPr>
          <w:sz w:val="20"/>
          <w:szCs w:val="20"/>
          <w:color w:val="auto"/>
        </w:rPr>
      </w:pPr>
    </w:p>
    <w:p>
      <w:pPr>
        <w:jc w:val="both"/>
        <w:ind w:firstLine="720"/>
        <w:spacing w:after="0" w:line="269" w:lineRule="auto"/>
        <w:rPr>
          <w:sz w:val="20"/>
          <w:szCs w:val="20"/>
          <w:color w:val="auto"/>
        </w:rPr>
      </w:pPr>
      <w:r>
        <w:rPr>
          <w:rFonts w:ascii="Times New Roman" w:cs="Times New Roman" w:eastAsia="Times New Roman" w:hAnsi="Times New Roman"/>
          <w:sz w:val="20"/>
          <w:szCs w:val="20"/>
          <w:color w:val="auto"/>
        </w:rPr>
        <w:t>We sell products, including hydroponic gardening products, through third-party retailers and resellers. End users may purchase these products for use in new and emerging industries, including the growing of cannabis that may not achieve market acceptance in a manner that we can predict. The demand for these products is dependent on the growth of these industries,</w:t>
      </w:r>
    </w:p>
    <w:p>
      <w:pPr>
        <w:sectPr>
          <w:pgSz w:w="12240" w:h="15840" w:orient="portrait"/>
          <w:cols w:equalWidth="0" w:num="1">
            <w:col w:w="10280"/>
          </w:cols>
          <w:pgMar w:left="980" w:top="430" w:right="980" w:bottom="0" w:gutter="0" w:footer="0" w:header="0"/>
        </w:sectPr>
      </w:pPr>
    </w:p>
    <w:p>
      <w:pPr>
        <w:spacing w:after="0" w:line="38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10280"/>
          </w:cols>
          <w:pgMar w:left="980" w:top="430" w:right="980" w:bottom="0" w:gutter="0" w:footer="0" w:header="0"/>
          <w:type w:val="continuous"/>
        </w:sectPr>
      </w:pPr>
    </w:p>
    <w:bookmarkStart w:id="34" w:name="page35"/>
    <w:bookmarkEnd w:id="34"/>
    <w:p>
      <w:pPr>
        <w:ind w:left="20"/>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91" w:lineRule="exact"/>
        <w:rPr>
          <w:sz w:val="20"/>
          <w:szCs w:val="20"/>
          <w:color w:val="auto"/>
        </w:rPr>
      </w:pPr>
    </w:p>
    <w:p>
      <w:pPr>
        <w:jc w:val="both"/>
        <w:ind w:left="20" w:right="20"/>
        <w:spacing w:after="0" w:line="288" w:lineRule="auto"/>
        <w:rPr>
          <w:sz w:val="20"/>
          <w:szCs w:val="20"/>
          <w:color w:val="auto"/>
        </w:rPr>
      </w:pPr>
      <w:r>
        <w:rPr>
          <w:rFonts w:ascii="Times New Roman" w:cs="Times New Roman" w:eastAsia="Times New Roman" w:hAnsi="Times New Roman"/>
          <w:sz w:val="20"/>
          <w:szCs w:val="20"/>
          <w:color w:val="auto"/>
        </w:rPr>
        <w:t>which is uncertain, as well as the laws governing the growth, possession, and use of cannabis by adults for both adult and medical use.</w:t>
      </w:r>
    </w:p>
    <w:p>
      <w:pPr>
        <w:spacing w:after="0" w:line="128" w:lineRule="exact"/>
        <w:rPr>
          <w:sz w:val="20"/>
          <w:szCs w:val="20"/>
          <w:color w:val="auto"/>
        </w:rPr>
      </w:pPr>
    </w:p>
    <w:p>
      <w:pPr>
        <w:jc w:val="both"/>
        <w:ind w:left="20" w:firstLine="720"/>
        <w:spacing w:after="0" w:line="257" w:lineRule="auto"/>
        <w:rPr>
          <w:sz w:val="20"/>
          <w:szCs w:val="20"/>
          <w:color w:val="auto"/>
        </w:rPr>
      </w:pPr>
      <w:r>
        <w:rPr>
          <w:rFonts w:ascii="Times New Roman" w:cs="Times New Roman" w:eastAsia="Times New Roman" w:hAnsi="Times New Roman"/>
          <w:sz w:val="20"/>
          <w:szCs w:val="20"/>
          <w:color w:val="auto"/>
        </w:rPr>
        <w:t>Laws and regulations affecting the U.S. cannabis industry are continually changing, which could detrimentally affect our growth, revenues, results of operations and success generally. Local, state and federal cannabis laws and regulations are broad in scope and subject to evolving interpretations, which could require the end users of certain of our products or us to incur substantial costs associated with compliance or to alter our respective business plans. In addition, violations of these laws, or allegations of such violations, could disrupt our business and result in a material adverse effect on our results of operations and financial condition.</w:t>
      </w:r>
    </w:p>
    <w:p>
      <w:pPr>
        <w:spacing w:after="0" w:line="162" w:lineRule="exact"/>
        <w:rPr>
          <w:sz w:val="20"/>
          <w:szCs w:val="20"/>
          <w:color w:val="auto"/>
        </w:rPr>
      </w:pPr>
    </w:p>
    <w:p>
      <w:pPr>
        <w:jc w:val="both"/>
        <w:ind w:left="20" w:firstLine="720"/>
        <w:spacing w:after="0" w:line="263" w:lineRule="auto"/>
        <w:rPr>
          <w:sz w:val="20"/>
          <w:szCs w:val="20"/>
          <w:color w:val="auto"/>
        </w:rPr>
      </w:pPr>
      <w:r>
        <w:rPr>
          <w:rFonts w:ascii="Times New Roman" w:cs="Times New Roman" w:eastAsia="Times New Roman" w:hAnsi="Times New Roman"/>
          <w:sz w:val="20"/>
          <w:szCs w:val="20"/>
          <w:color w:val="auto"/>
        </w:rPr>
        <w:t>Scientific research related to the benefits of cannabis remains in its early stages, is subject to a number of important assumptions, and may prove to be inaccurate. Future research studies and clinical trials may reach negative conclusions regarding the viability, safety, efficacy, dosing, social acceptance or other facts and perceptions related to medical cannabis, which could materially impact the demand for our products for use in the cannabis industry.</w:t>
      </w:r>
    </w:p>
    <w:p>
      <w:pPr>
        <w:spacing w:after="0" w:line="152" w:lineRule="exact"/>
        <w:rPr>
          <w:sz w:val="20"/>
          <w:szCs w:val="20"/>
          <w:color w:val="auto"/>
        </w:rPr>
      </w:pPr>
    </w:p>
    <w:p>
      <w:pPr>
        <w:jc w:val="both"/>
        <w:ind w:left="20" w:firstLine="720"/>
        <w:spacing w:after="0" w:line="254" w:lineRule="auto"/>
        <w:rPr>
          <w:sz w:val="20"/>
          <w:szCs w:val="20"/>
          <w:color w:val="auto"/>
        </w:rPr>
      </w:pPr>
      <w:r>
        <w:rPr>
          <w:rFonts w:ascii="Times New Roman" w:cs="Times New Roman" w:eastAsia="Times New Roman" w:hAnsi="Times New Roman"/>
          <w:sz w:val="20"/>
          <w:szCs w:val="20"/>
          <w:color w:val="auto"/>
        </w:rPr>
        <w:t>The public’s perception of cannabis may significantly impact the cannabis industry’s success. Both the medical and adult use of cannabis are controversial topics, and there is no guarantee that future scientific research, publicity, regulations, medical opinion, and public opinion relating to cannabis will be favorable. The cannabis industry is constantly evolving with no guarantee of viability. The market for medical and adult use of cannabis is uncertain, and any adverse or negative publicity, scientific research, limiting regulations, medical opinion and public opinion (whether or not accurate or with merit) relating to the consumption of cannabis, whether in the United States or internationally, may have a material adverse effect on our operational results, consumer base, and financial results. Among other things, such a shift in public opinion could cause state jurisdictions to abandon initiatives or proposals to legalize medical or adult use cannabis or adopt new laws or regulations restricting or prohibiting the medical or adult use of cannabis where it is now legal, thereby limiting the business of Cannabis Industry Participants.</w:t>
      </w:r>
    </w:p>
    <w:p>
      <w:pPr>
        <w:spacing w:after="0" w:line="166" w:lineRule="exact"/>
        <w:rPr>
          <w:sz w:val="20"/>
          <w:szCs w:val="20"/>
          <w:color w:val="auto"/>
        </w:rPr>
      </w:pPr>
    </w:p>
    <w:p>
      <w:pPr>
        <w:jc w:val="both"/>
        <w:ind w:left="20" w:firstLine="720"/>
        <w:spacing w:after="0" w:line="268" w:lineRule="auto"/>
        <w:rPr>
          <w:sz w:val="20"/>
          <w:szCs w:val="20"/>
          <w:color w:val="auto"/>
        </w:rPr>
      </w:pPr>
      <w:r>
        <w:rPr>
          <w:rFonts w:ascii="Times New Roman" w:cs="Times New Roman" w:eastAsia="Times New Roman" w:hAnsi="Times New Roman"/>
          <w:sz w:val="20"/>
          <w:szCs w:val="20"/>
          <w:color w:val="auto"/>
        </w:rPr>
        <w:t>Subsequently, demand for our products may be negatively impacted depending on how laws, regulations, administrative practices, enforcement approaches, judicial interpretations, and consumer perceptions develop. We cannot predict the nature of such developments or the effect, if any, that such developments could have on our business.</w:t>
      </w:r>
    </w:p>
    <w:p>
      <w:pPr>
        <w:spacing w:after="0" w:line="149" w:lineRule="exact"/>
        <w:rPr>
          <w:sz w:val="20"/>
          <w:szCs w:val="20"/>
          <w:color w:val="auto"/>
        </w:rPr>
      </w:pPr>
    </w:p>
    <w:p>
      <w:pPr>
        <w:jc w:val="both"/>
        <w:ind w:left="20"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indirect involvement in the cannabis industry could affect the public’s perception of us and be detrimental to our reputation.</w:t>
      </w:r>
    </w:p>
    <w:p>
      <w:pPr>
        <w:spacing w:after="0" w:line="128" w:lineRule="exact"/>
        <w:rPr>
          <w:sz w:val="20"/>
          <w:szCs w:val="20"/>
          <w:color w:val="auto"/>
        </w:rPr>
      </w:pPr>
    </w:p>
    <w:p>
      <w:pPr>
        <w:jc w:val="both"/>
        <w:ind w:left="20" w:firstLine="720"/>
        <w:spacing w:after="0" w:line="254" w:lineRule="auto"/>
        <w:rPr>
          <w:sz w:val="20"/>
          <w:szCs w:val="20"/>
          <w:color w:val="auto"/>
        </w:rPr>
      </w:pPr>
      <w:r>
        <w:rPr>
          <w:rFonts w:ascii="Times New Roman" w:cs="Times New Roman" w:eastAsia="Times New Roman" w:hAnsi="Times New Roman"/>
          <w:sz w:val="20"/>
          <w:szCs w:val="20"/>
          <w:color w:val="auto"/>
        </w:rPr>
        <w:t>Damage to our reputation can be the result of the actual or perceived occurrence of any number of events, and could include any negative publicity, whether true or not. Cannabis has often been associated with various other narcotics, violence and criminal activities, the risk of which is that our retailers and resellers that transact with cannabis businesses might attract negative publicity. There is also risk that the action(s) of other participants, companies and service providers in the cannabis industry may negatively affect the reputation of the industry as a whole and thereby negatively impact our reputation. The increased use of social media and other web-based tools used to generate, publish and discuss user-generated content and to connect with other users has made it increasingly easier for individuals and groups to communicate and share opinions and views with regard to the cannabis industry in general, cannabis companies and their activities, whether true or not. We do not have control over how the cannabis industry is perceived by others. Reputation loss may result in decreased investor confidence, increased challenges in developing and maintaining community relations and an impediment to our overall ability to advance our business strategy and realize our growth prospects, thereby having a material adverse impact on our business.</w:t>
      </w:r>
    </w:p>
    <w:p>
      <w:pPr>
        <w:spacing w:after="0" w:line="163" w:lineRule="exact"/>
        <w:rPr>
          <w:sz w:val="20"/>
          <w:szCs w:val="20"/>
          <w:color w:val="auto"/>
        </w:rPr>
      </w:pPr>
    </w:p>
    <w:p>
      <w:pPr>
        <w:jc w:val="both"/>
        <w:ind w:left="20" w:firstLine="720"/>
        <w:spacing w:after="0" w:line="262" w:lineRule="auto"/>
        <w:rPr>
          <w:sz w:val="20"/>
          <w:szCs w:val="20"/>
          <w:color w:val="auto"/>
        </w:rPr>
      </w:pPr>
      <w:r>
        <w:rPr>
          <w:rFonts w:ascii="Times New Roman" w:cs="Times New Roman" w:eastAsia="Times New Roman" w:hAnsi="Times New Roman"/>
          <w:sz w:val="20"/>
          <w:szCs w:val="20"/>
          <w:color w:val="auto"/>
        </w:rPr>
        <w:t>In addition, third parties with whom we may do business could perceive that they are exposed to reputational risk as a result of our retailers’ and resellers’ involvement with cannabis businesses. Failure to establish or maintain business relationships due to reputational risk arising in connection with the nature of our business could have a material adverse effect on our business, financial condition and results of operations.</w:t>
      </w:r>
    </w:p>
    <w:p>
      <w:pPr>
        <w:spacing w:after="0" w:line="155" w:lineRule="exact"/>
        <w:rPr>
          <w:sz w:val="20"/>
          <w:szCs w:val="20"/>
          <w:color w:val="auto"/>
        </w:rPr>
      </w:pPr>
    </w:p>
    <w:p>
      <w:pPr>
        <w:jc w:val="both"/>
        <w:ind w:lef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Businesses involved in the cannabis industry, and investments in such businesses, are subject to a variety of laws and regulations related to money laundering, financial recordkeeping and proceeds of crimes.</w:t>
      </w:r>
    </w:p>
    <w:p>
      <w:pPr>
        <w:spacing w:after="0" w:line="128"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Investments in the U.S. cannabis industry are subject to a variety of laws and regulations that involve money laundering, financial recordkeeping and proceeds of crime, including the BSA, as amended by the USA PATRIOT Act, other anti-money laundering laws, and any related or similar rules, regulations or guidelines, issued, administered or enforced by governmental authorities in the United States. In February 2014, the FinCEN Memo was issued providing guidance to banks seeking to provide services to cannabis businesses. The FinCEN Memo outlines circumstances under which banks may provide services to cannabis businesses without risking federal prosecution for violation of U.S. federal money laundering laws and outlines extensive due diligence and reporting requirements. On June 29, 2020, FinCEN issued additional guidance for financial</w:t>
      </w:r>
    </w:p>
    <w:p>
      <w:pPr>
        <w:sectPr>
          <w:pgSz w:w="12240" w:h="15840" w:orient="portrait"/>
          <w:cols w:equalWidth="0" w:num="1">
            <w:col w:w="10280"/>
          </w:cols>
          <w:pgMar w:left="980" w:top="430" w:right="980" w:bottom="0" w:gutter="0" w:footer="0" w:header="0"/>
        </w:sectPr>
      </w:pPr>
    </w:p>
    <w:p>
      <w:pPr>
        <w:spacing w:after="0" w:line="39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10280"/>
          </w:cols>
          <w:pgMar w:left="980" w:top="430" w:right="980" w:bottom="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institutions conducting due diligence and filing suspicious activity reports in connection with hemp-related business customers. While these guidelines clarify that financial institutions are not required to file suspicious activity reports solely based on a customer’s hemp-related business operations that comply with applicable state law and regulations, these requirements can still present challenges for certain end users of our products in establishing and maintaining banking relationships, and restrictions on cannabis-related banking activities remain. The U.S. House of Representatives has passed the SAFE Banking Act numerous times, and, if enacted, this bill would protect banks and credit unions from federal prosecution for providing services to cannabis companies. However, the Senate has thus far failed to pass the SAFE Banking Act or other similar legislation. Compliance with applicable state laws regarding cannabis activities does not protect from federal prosecution or other enforcement action, such as seizure or forfeiture remedies, nor does it provide any defense to such prosecution or action. Cannabis-related activities conducted in or related to conduct in multiple states may potentially face a higher level of scrutiny from federal authorities. Changes to current DOJ or Treasury Department policies or current state laws or regulations might adversely affect the legal risks under federal anti-money laundering laws posed by the acceptance directly by our distributors or indirectly by us of proceeds of our end users’ cannabis growing activities.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Other Regulations</w:t>
      </w:r>
    </w:p>
    <w:p>
      <w:pPr>
        <w:spacing w:after="0" w:line="213"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Certain state and other regulations pertaining to the use of certain ingredients in grow media and plant nutrients could adversely impact us by restricting our ability to sell such products.</w:t>
      </w:r>
    </w:p>
    <w:p>
      <w:pPr>
        <w:spacing w:after="0" w:line="128"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One of our leading product lines is grow media and nutrients products. This product line includes certain products, such as organic soils and nutrients that contain ingredients that require product registrations with certain regulators. The use and disposal of these products in some jurisdictions are subject to regulation by various agencies. A decision by a regulatory agency to significantly restrict the use of such products that have traditionally been used in the cultivation of our products could have an adverse impact on us or those companies providing us with such regulated products, and as a result, limit our ability to sell these products.</w:t>
      </w:r>
    </w:p>
    <w:p>
      <w:pPr>
        <w:spacing w:after="0" w:line="15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We are currently subject to, and may in the future become subject to additional, U.S., state and foreign laws and regulations imposing obligations on how we collect, store and process personal information. Our actual or perceived failure to comply with such obligations could harm our business.</w:t>
      </w:r>
    </w:p>
    <w:p>
      <w:pPr>
        <w:spacing w:after="0" w:line="149"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157"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become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addition, on November 3, 2020, California voters approved a new privacy law, the California Privacy Rights Act ("CPRA"). The CPRA came into effect on January 1, 2023, and significantly modifies the CCPA, including by expanding consumers’ rights with respect to certain personal information and creating a new state agency to oversee implementation and enforcement efforts. As of the date of this Annual Report on Form 10-K, approximately 20 states have enacted comprehensive data privacy laws similar to the CCPA.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to if it is enacted.</w:t>
      </w:r>
    </w:p>
    <w:p>
      <w:pPr>
        <w:spacing w:after="0" w:line="174" w:lineRule="exact"/>
        <w:rPr>
          <w:sz w:val="20"/>
          <w:szCs w:val="20"/>
          <w:color w:val="auto"/>
        </w:rPr>
      </w:pPr>
    </w:p>
    <w:p>
      <w:pPr>
        <w:jc w:val="both"/>
        <w:ind w:firstLine="720"/>
        <w:spacing w:after="0" w:line="262" w:lineRule="auto"/>
        <w:rPr>
          <w:sz w:val="20"/>
          <w:szCs w:val="20"/>
          <w:color w:val="auto"/>
        </w:rPr>
      </w:pPr>
      <w:r>
        <w:rPr>
          <w:rFonts w:ascii="Times New Roman" w:cs="Times New Roman" w:eastAsia="Times New Roman" w:hAnsi="Times New Roman"/>
          <w:sz w:val="20"/>
          <w:szCs w:val="20"/>
          <w:color w:val="auto"/>
        </w:rPr>
        <w:t>Internationally, laws, regulations and standards in many jurisdictions apply broadly to the collection, use, retention, security, disclosure, transfer and other processing of personal information. For example, the European Union ("EU") General Data Protection Regulation ("GDPR"), which became effective in May 2018, greatly increased the jurisdictional reach of the European Commission's laws and added a broad array of requirements for handling personal data. EU member states are tasked</w:t>
      </w:r>
    </w:p>
    <w:p>
      <w:pPr>
        <w:sectPr>
          <w:pgSz w:w="12240" w:h="15840" w:orient="portrait"/>
          <w:cols w:equalWidth="0" w:num="1">
            <w:col w:w="10260"/>
          </w:cols>
          <w:pgMar w:left="1000" w:top="430" w:right="980" w:bottom="0" w:gutter="0" w:footer="0" w:header="0"/>
        </w:sectPr>
      </w:pPr>
    </w:p>
    <w:p>
      <w:pPr>
        <w:spacing w:after="0" w:line="31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10260"/>
          </w:cols>
          <w:pgMar w:left="1000" w:top="430" w:right="980" w:bottom="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under the GDPR to enact, and have enacted, certain implementing legislation that adds to and/or further interprets the GDPR requirements and potentially extends our obligations and potential liability for failing to meet such obligations. The GDPR, together with national legislation, regulations and guidelines of the EU member states and the United Kingdom governing the processing of personal data, impose strict obligations and restrictions on the ability to collect, use, retain, protect, disclose, transfer and otherwise process personal data. In particular, the GDPR includes obligations and restrictions concerning the consent and rights of individuals to whom the personal data relates, the transfer of personal data out of the European Economic Area or the United Kingdom, security breach notifications and the security and confidentiality of personal data. The GDPR authorizes fines for certain violations of up to 4% of global annual revenue or €20 million, whichever is greater.</w:t>
      </w:r>
    </w:p>
    <w:p>
      <w:pPr>
        <w:spacing w:after="0" w:line="166"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to comply with any applicable federal, state or similar foreign laws and regulations relating to data privacy and security could result in damage to our reputation, as well as proceedings or litigation by government agencies or other third parties, including class action privacy litigation in certain jurisdictions, which would subject us to significant fines, sanctions, awards, penalties or judgements, all of which could have a material adverse effect on our business, financial condition, results of operations and prospects.</w:t>
      </w:r>
    </w:p>
    <w:p>
      <w:pPr>
        <w:spacing w:after="0" w:line="16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Compliance with, or violation of, environmental, health and safety laws and regulations, including laws pertaining to the use of pesticides, could result in significant costs that adversely impact our reputation, businesses, financial position, results of operations and cash flows.</w:t>
      </w:r>
    </w:p>
    <w:p>
      <w:pPr>
        <w:spacing w:after="0" w:line="147"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International, federal, state, provincial and local laws and regulations relating to environmental, health and safety matters affect us in several ways in light of the ingredients that are used in products included in our grow media and nutrients product line. In the United States, products containing pesticides generally must be registered with the EPA, and similar state agencies before they can be sold. The failure by one of our partners to obtain or the cancellation of any such registration, or the withdrawal from the marketplace of such pesticides, could have an adverse effect on our businesses, the severity of which would depend on the products involved, whether other products could be substituted and whether our competitors were similarly affected. The pesticides we may produce or distribute are either granted a license by the EPA or exempt from such a license and may be evaluated by the EPA as part of its ongoing exposure risk assessment. The EPA may decide that a pesticide we distribute will be limited or will not be re-registered for use in the United States. We cannot predict the outcome or the severity of the effect on our business of any future evaluations, if any, conducted by the EPA.</w:t>
      </w:r>
    </w:p>
    <w:p>
      <w:pPr>
        <w:spacing w:after="0" w:line="166"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In addition, the end user application or use of certain pesticide products is regulated by various international, federal, state, provincial and local environmental and public health agencies. Although we strive to educate the end user with such laws and regulations, we may be unable to prevent violations of these or other laws and regulations from occurring. Even if we are able to comply with all applicable laws and regulations and obtain all necessary registrations and licenses, the pesticides or other products we distribute, could be alleged to cause injury to the environment, to people or to animals, or such products could be banned in certain circumstances. The costs of compliance, noncompliance, investigation, remediation, combating reputational harm or defending civil or criminal proceedings, products liability, personal injury or other lawsuits could have a material adverse impact on our reputation, businesses, financial position, results of operations and cash flows.</w:t>
      </w:r>
    </w:p>
    <w:p>
      <w:pPr>
        <w:spacing w:after="0" w:line="164" w:lineRule="exact"/>
        <w:rPr>
          <w:sz w:val="20"/>
          <w:szCs w:val="20"/>
          <w:color w:val="auto"/>
        </w:rPr>
      </w:pPr>
    </w:p>
    <w:p>
      <w:pPr>
        <w:ind w:right="2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are a "smaller reporting company" and, because we have opted to use the reduced reporting requirements available to us, certain investors may find investing in our securities less attractive.</w:t>
      </w:r>
    </w:p>
    <w:p>
      <w:pPr>
        <w:spacing w:after="0" w:line="128"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We are a "smaller reporting company" under the SEC’s disclosure rules, and as such, we are permitted to comply with scaled-back disclosure obligations in our SEC filings compared to other issuers, including with respect to disclosure obligations regarding executive compensation in our periodic reports and proxy statements. We have elected to adopt certain of the accommodations available to smaller reporting companies. Until we cease to be a smaller reporting company, the scaled-back disclosure in our SEC filings will result in less information about our company being available than for other public companies. If investors consider our common stock less attractive as a result of our election to use the scaled-back disclosure permitted for smaller reporting companies, there may be a less active trading market for our common stock and our share price may be more volatile.</w:t>
      </w:r>
    </w:p>
    <w:p>
      <w:pPr>
        <w:sectPr>
          <w:pgSz w:w="12240" w:h="15840" w:orient="portrait"/>
          <w:cols w:equalWidth="0" w:num="1">
            <w:col w:w="10260"/>
          </w:cols>
          <w:pgMar w:left="1000" w:top="43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10260"/>
          </w:cols>
          <w:pgMar w:left="1000" w:top="430" w:right="980" w:bottom="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Our Intellectual Property</w:t>
      </w:r>
    </w:p>
    <w:p>
      <w:pPr>
        <w:spacing w:after="0" w:line="214"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We may not be able to adequately obtain, maintain, protect or enforce our intellectual property and other proprietary rights that are material to our business.</w:t>
      </w:r>
    </w:p>
    <w:p>
      <w:pPr>
        <w:spacing w:after="0" w:line="129"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Our ability to compete effectively depends in part on our rights to trademarks, patents and other intellectual property rights we own or license. We have not sought to register every one of our trademarks either in the United States or in every country in which such mark is used. Furthermore, because of the differences in foreign trademark, patent and other intellectual property rights laws, we may not receive the same protection in other countries as we would in the United States with respect to the registered brand names and issued patents we hold. If we are unable to obtain, maintain, protect and enforce our intellectual property rights, including our information and/or brand names, we could suffer a material adverse effect on our business, financial condition and results of operations.</w:t>
      </w:r>
    </w:p>
    <w:p>
      <w:pPr>
        <w:spacing w:after="0" w:line="163"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steps we take to obtain, maintain, protect and enforce our intellectual property rights may be deemed inadequate and despite our efforts to protect these rights, unauthorized third parties, including our competitors, may duplicate, reverse engineer, access, obtain, use or copy the proprietary aspects of our technology, processes, products or services without our permission. In addition, we cannot guarantee that we have entered into confidentiality agreements with each party that has or may have had access to our proprietary information, know-how and trade secrets. Moreover, our contractual arrangements may be breached or otherwise not effectively prevent disclosure of, or control access to, our intellectual property and confidential and proprietary information or provide an adequate remedy in the event of an unauthorized disclosure. If we are unable to obtain, maintain, protect or enforce our intellectual property rights, including our proprietary information and/or brand names, we could suffer a material adverse effect on our business, financial condition and results of operations.</w:t>
      </w:r>
    </w:p>
    <w:p>
      <w:pPr>
        <w:spacing w:after="0" w:line="161"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Litigation may be necessary to enforce our owned or in-licensed intellectual property rights and protect our proprietary information against claims by third parties that our products or services infringe, misappropriate or otherwise violate their intellectual property rights. Any litigation or claims brought by us could result in substantial costs and diversion of our resources and may not be successful, even when our rights have been infringed, misappropriated or otherwise violated. Our efforts to enforce our intellectual property rights may be met with defenses, counterclaims and countersuits attacking the validity and enforceability of our intellectual property rights, and if such defenses, counterclaims or countersuits are successful, we could lose valuable intellectual property rights. Additionally, the mechanisms for enforcement of intellectual property rights in foreign jurisdictions may be inadequate.</w:t>
      </w:r>
    </w:p>
    <w:p>
      <w:pPr>
        <w:spacing w:after="0" w:line="16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Obtaining and maintaining our patent protection depends on compliance with various procedural, document submissions, fee payment and other requirements imposed by governmental patent agencies, and our patent protection could be reduced or eliminated for noncompliance with these requirements.</w:t>
      </w:r>
    </w:p>
    <w:p>
      <w:pPr>
        <w:spacing w:after="0" w:line="147"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Periodic maintenance or annuity fees on any issued patents are due to be paid to the U.S Patent and Trademark Office ("USPTO"), and foreign patent agencies in several stages over the lifetime of the patent. The USPTO and various foreign governmental patent agencies require compliance with a number of procedural, documentary, fee payments and other similar provisions during the patent application process. While an inadvertent or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or our licensors fail to maintain the patents and patent applications covering our products, our competitors might be able to enter the market, which would have a material adverse effect on our business. Additionally, patents have a limited lifespan. Even if patents covering our products or services are obtained, once the patent life has expired, we may be open to competition from competitive products or services. If one of our products requires extended development, testing and/or regulatory review, patents protecting such products might expire before or shortly after such products are commercialized. As a result, our patent portfolio may not provide us with sufficient rights to exclude others from commercializing products similar or identical to ours.</w:t>
      </w:r>
    </w:p>
    <w:p>
      <w:pPr>
        <w:spacing w:after="0" w:line="164"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From time to time, we may need to rely on licenses to proprietary technologies, which may be difficult or expensive to obtain or we may lose certain licenses which may be difficult to replace, harming our competitive position.</w:t>
      </w:r>
    </w:p>
    <w:p>
      <w:pPr>
        <w:spacing w:after="0" w:line="129"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We may need to obtain licenses to patents and other intellectual property rights held by third parties to develop, manufacture and market our products, if, for example, we sought to develop our products, in conjunction with any patented technology. If we are unable to timely obtain these licenses on commercially reasonable terms (or at all) and maintain these licenses, our ability to commercially market our products, may be inhibited or prevented, which could have a material adverse effect on our business, results of operations, financial condition and cash flows.</w:t>
      </w:r>
    </w:p>
    <w:p>
      <w:pPr>
        <w:sectPr>
          <w:pgSz w:w="12240" w:h="15840" w:orient="portrait"/>
          <w:cols w:equalWidth="0" w:num="1">
            <w:col w:w="10260"/>
          </w:cols>
          <w:pgMar w:left="1000" w:top="430" w:right="980" w:bottom="0" w:gutter="0" w:footer="0" w:header="0"/>
        </w:sectPr>
      </w:pPr>
    </w:p>
    <w:p>
      <w:pPr>
        <w:spacing w:after="0" w:line="34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10260"/>
          </w:cols>
          <w:pgMar w:left="1000" w:top="430" w:right="980" w:bottom="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91"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In spite of our best efforts, our potential licensors might conclude that we have materially breached our license agreements and might therefore terminate the license agreements, thereby removing our ability to develop and commercialize products, services and technology covered by these license agreements. If these future in-licenses are terminated, or if the underlying patents in these future licenses fail to provide the intended exclusivity, competitors may have the freedom to market products identical to ours and we may be required to cease using or commercializing our products, services and technology covered by such patents.</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29"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Our success depends upon our ability to develop, manufacture, market and sell our products, and to use our proprietary technologies without infringing, misappropriating or otherwise violating the intellectual property rights of third parties. We may become party to, or threatened with, future adversarial proceedings or litigation regarding intellectual property rights with respect to our products and technology, including interference or derivation proceedings and various other post-grant proceedings before the USPTO and/or non-U.S. opposition proceedings. Third parties may assert infringement claims against us based on existing patents or patents that may be granted in the future. A successful claim of trademark, patent or other intellectual property right infringement, misappropriation or other violation against us, or any other successful challenge to the use of our intellectual property rights, could subject us to damages or prevent us from providing certain products or services, or using certain of our recognized brand names, which could have a material adverse effect on our business, financial condition and results of operations. As a result of any such infringement claims, or other intellectual property claims, regardless of merit, or to avoid potential claims, we may choose or be compelled to seek intellectual property licenses from third parties. These licenses may not be available on acceptable terms, or at all. Even if we are able to obtain a license, the license would likely obligate us to pay license fees, royalties, minimum royalties and/or milestone payments and the rights granted to us could be nonexclusive, which would mean that our competitors may be able to obtain licenses to the same intellectual property. Ultimately, we could be prevented from commercializing a product and/or technology or be forced to cease some aspect of our business operations if, as a result of actual or threatened infringement or other intellectual property claims, we are unable to enter into licenses of the relevant intellectual property on acceptable terms. Further, if we attempt to modify a product and/or technology or to develop alternative methods or products in response to infringement or other intellectual property claims or to avoid potential claims, we could incur substantial costs, encounter delays in product introductions or interruptions in sales.</w:t>
      </w:r>
    </w:p>
    <w:p>
      <w:pPr>
        <w:spacing w:after="0" w:line="17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Intellectual property disputes could cause us to spend substantial resources and distract our personnel from their normal responsibilities.</w:t>
      </w:r>
    </w:p>
    <w:p>
      <w:pPr>
        <w:spacing w:after="0" w:line="128"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Even if resolved in our favor,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value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Uncertainties resulting from the initiation and continuation of patent and other intellectual property litigation or other proceedings could have a material adverse effect on our ability to compete in the marketplace.</w:t>
      </w:r>
    </w:p>
    <w:p>
      <w:pPr>
        <w:spacing w:after="0" w:line="16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our owned or in-licensed trademarks and trade names are not adequately protected, then we may not be able to build name recognition in our markets of interest and our business may be adversely affected.</w:t>
      </w:r>
    </w:p>
    <w:p>
      <w:pPr>
        <w:spacing w:after="0" w:line="128"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We regard our owned and in-licensed trademarks, trade names and service marks as having significant value and as an important factor in the success of our business. The registered or unregistered trademarks, trade names and service marks that we own or in-license from third parties may be challenged, infringed, circumvented, declared generic or determined to be infringing on or dilutive of other marks. Additionally, at times, competitors may adopt trademarks, trade names or service marks similar to the ones we own or in-license, thereby impeding our ability to build brand identity and possibly leading to market confusion. In addition, there could be potential trademark, trade name or service mark infringement claims brought against us or our licensors by owners of other trademarks, trade names and service marks. Over the long term, if we are unable to establish name recognition based on our owned and in-licensed trademarks and trade names, then we may not be able to compete effectively and our business may be adversely affected. We may also license our trademarks, trade names and service marks out to third parties, such as our distributors. Though these license agreements may provide guidelines for how our trademarks, trade names and service marks may be used, a breach of these agreements or misuse of our trademarks, trade names and service marks by our licensees may jeopardize our rights in or diminish the goodwill associated with our trademarks and trade names. Our efforts to enforce or protect our intellectual property rights related to trademarks, trade names and service</w:t>
      </w:r>
    </w:p>
    <w:p>
      <w:pPr>
        <w:sectPr>
          <w:pgSz w:w="12240" w:h="15840" w:orient="portrait"/>
          <w:cols w:equalWidth="0" w:num="1">
            <w:col w:w="10260"/>
          </w:cols>
          <w:pgMar w:left="1000" w:top="430" w:right="980" w:bottom="0" w:gutter="0" w:footer="0" w:header="0"/>
        </w:sectPr>
      </w:pPr>
    </w:p>
    <w:p>
      <w:pPr>
        <w:spacing w:after="0" w:line="28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10260"/>
          </w:cols>
          <w:pgMar w:left="1000" w:top="430" w:right="980" w:bottom="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9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color w:val="auto"/>
        </w:rPr>
        <w:t>marks may be ineffective and could result in substantial costs and diversion of resources and could adversely affect our business, financial condition, results of operations and prospects.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Our Capital Stock</w:t>
      </w:r>
    </w:p>
    <w:p>
      <w:pPr>
        <w:spacing w:after="0" w:line="213"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incur indebtedness or issue capital stock that ranks senior or equally to our common stock as to liquidation preference and other rights and which may dilute our stockholders’ ownership interest.</w:t>
      </w:r>
    </w:p>
    <w:p>
      <w:pPr>
        <w:spacing w:after="0" w:line="128"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Shares of our common stock are common equity interests in us and, as such, will rank junior to all of our existing and future indebtedness and other liabilities. Additionally, our restated certificate of incorporation (the "Certificate of Incorporation") does not prohibit us from issuing any series of preferred stock that would rank senior or equally to our common stock as to dividend payments and liquidation preference. Our Certificate of Incorporation allows for our board of directors to create new series of preferred stock without further approval by our stockholders, which could adversely affect the rights of the holders of our common stock. We have the authority to issue up to 50,000,000 shares of our preferred stock without further stockholder approval. The issuances of any series of preferred stock could have the effect of reducing the amounts available to our holders of common stock in the event of our liquidation. In addition, if we issue preferred stock with voting rights that dilute the voting power of our common stock, the market price of our common stock could decrease. Additional issuances and sales of preferred stock, or the perception that such issuances and sales could occur, may cause prevailing market prices for our common stock to decline and may adversely affect our ability to raise additional capital in the financial markets at times and prices favorable to us. In addition, any additional capital raised through the sale of equity or equity-backed securities may dilute our stockholders’ ownership percentages and could also result in a decrease in the market value of our common stock.</w:t>
      </w:r>
    </w:p>
    <w:p>
      <w:pPr>
        <w:spacing w:after="0" w:line="16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Provisions in our corporate charter documents and under Delaware law could make an acquisition of our company, which may be beneficial to our stockholders, more difficult and may prevent attempts by our stockholders to replace or remove our current management.</w:t>
      </w:r>
    </w:p>
    <w:p>
      <w:pPr>
        <w:spacing w:after="0" w:line="149"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Provisions in our corporate charter documents and under Delaware General Corporation Law ("DGCL") might discourage, delay or prevent a change in control of our company or a change in our management. The existence of these provisions could adversely affect the voting power of holders of common stock and limit the price that investors might be willing to pay in the future for shares of our common stock. Furthermore, we have the authority to issue up to 50,000,000 shares of our preferred stock without further stockholder approval, the rights of which will be determined at the discretion of the board of directors and that, if issued, could operate as a "poison pill" to dilute the stock ownership of a potential hostile acquirer to prevent an acquisition that our board of directors does not approve. In addition, our Certificate of Incorporation and amended and restated bylaws (the "Bylaws") contain provisions that may make the acquisition of our company more difficult, including the following:</w:t>
      </w:r>
    </w:p>
    <w:p>
      <w:pPr>
        <w:spacing w:after="0" w:line="161" w:lineRule="exact"/>
        <w:rPr>
          <w:sz w:val="20"/>
          <w:szCs w:val="20"/>
          <w:color w:val="auto"/>
        </w:rPr>
      </w:pPr>
    </w:p>
    <w:p>
      <w:pPr>
        <w:ind w:left="720" w:firstLine="350"/>
        <w:spacing w:after="0" w:line="288" w:lineRule="auto"/>
        <w:tabs>
          <w:tab w:leader="none" w:pos="14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authorized but unissued and unreserved common stock and preferred stock could make more difficult or discourage an attempt to obtain control of us by means of a proxy contest, tender offer, merger or otherwise;</w:t>
      </w:r>
    </w:p>
    <w:p>
      <w:pPr>
        <w:spacing w:after="0" w:line="128" w:lineRule="exact"/>
        <w:rPr>
          <w:rFonts w:ascii="Times New Roman" w:cs="Times New Roman" w:eastAsia="Times New Roman" w:hAnsi="Times New Roman"/>
          <w:sz w:val="20"/>
          <w:szCs w:val="20"/>
          <w:color w:val="auto"/>
        </w:rPr>
      </w:pPr>
    </w:p>
    <w:p>
      <w:pPr>
        <w:ind w:left="720" w:firstLine="350"/>
        <w:spacing w:after="0" w:line="287" w:lineRule="auto"/>
        <w:tabs>
          <w:tab w:leader="none" w:pos="14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board of directors is classified into three classes of directors with staggered three-year terms and directors are only able to be removed from office for cause;</w:t>
      </w:r>
    </w:p>
    <w:p>
      <w:pPr>
        <w:spacing w:after="0" w:line="129" w:lineRule="exact"/>
        <w:rPr>
          <w:rFonts w:ascii="Times New Roman" w:cs="Times New Roman" w:eastAsia="Times New Roman" w:hAnsi="Times New Roman"/>
          <w:sz w:val="20"/>
          <w:szCs w:val="20"/>
          <w:color w:val="auto"/>
        </w:rPr>
      </w:pPr>
    </w:p>
    <w:p>
      <w:pPr>
        <w:ind w:left="720" w:firstLine="350"/>
        <w:spacing w:after="0" w:line="288" w:lineRule="auto"/>
        <w:tabs>
          <w:tab w:leader="none" w:pos="14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stockholders will only be able to take action at a meeting of stockholders and will not be able to take action by written consent for any matter, except in certain circumstances;</w:t>
      </w:r>
    </w:p>
    <w:p>
      <w:pPr>
        <w:spacing w:after="0" w:line="128" w:lineRule="exact"/>
        <w:rPr>
          <w:rFonts w:ascii="Times New Roman" w:cs="Times New Roman" w:eastAsia="Times New Roman" w:hAnsi="Times New Roman"/>
          <w:sz w:val="20"/>
          <w:szCs w:val="20"/>
          <w:color w:val="auto"/>
        </w:rPr>
      </w:pPr>
    </w:p>
    <w:p>
      <w:pPr>
        <w:ind w:left="720" w:right="20" w:firstLine="350"/>
        <w:spacing w:after="0" w:line="288" w:lineRule="auto"/>
        <w:tabs>
          <w:tab w:leader="none" w:pos="14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special meeting of our stockholders may only be called by the chairperson of our board of directors or a majority of our board of directors;</w:t>
      </w:r>
    </w:p>
    <w:p>
      <w:pPr>
        <w:spacing w:after="0" w:line="128" w:lineRule="exact"/>
        <w:rPr>
          <w:rFonts w:ascii="Times New Roman" w:cs="Times New Roman" w:eastAsia="Times New Roman" w:hAnsi="Times New Roman"/>
          <w:sz w:val="20"/>
          <w:szCs w:val="20"/>
          <w:color w:val="auto"/>
        </w:rPr>
      </w:pPr>
    </w:p>
    <w:p>
      <w:pPr>
        <w:ind w:left="720" w:firstLine="350"/>
        <w:spacing w:after="0" w:line="287" w:lineRule="auto"/>
        <w:tabs>
          <w:tab w:leader="none" w:pos="14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 notice procedures apply for stockholders to nominate candidates for election as directors or to bring matters before an annual meeting of stockholders; and</w:t>
      </w:r>
    </w:p>
    <w:p>
      <w:pPr>
        <w:spacing w:after="0" w:line="129" w:lineRule="exact"/>
        <w:rPr>
          <w:rFonts w:ascii="Times New Roman" w:cs="Times New Roman" w:eastAsia="Times New Roman" w:hAnsi="Times New Roman"/>
          <w:sz w:val="20"/>
          <w:szCs w:val="20"/>
          <w:color w:val="auto"/>
        </w:rPr>
      </w:pPr>
    </w:p>
    <w:p>
      <w:pPr>
        <w:jc w:val="both"/>
        <w:ind w:left="720" w:firstLine="350"/>
        <w:spacing w:after="0" w:line="269" w:lineRule="auto"/>
        <w:tabs>
          <w:tab w:leader="none" w:pos="14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amendments to our Certificate of Incorporation and any amendments to our Bylaws by our stockholders will require the approval of at least two-thirds of our then-outstanding voting power entitled to vote generally in an election of directors, voting together as a single class.</w:t>
      </w:r>
    </w:p>
    <w:p>
      <w:pPr>
        <w:spacing w:after="0" w:line="147"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Various provisions of our lending agreements with JPMorgan, in addition to our Certificate of Incorporation, Bylaws and other corporate documents, could delay or prevent a change of control.</w:t>
      </w:r>
    </w:p>
    <w:p>
      <w:pPr>
        <w:spacing w:after="0" w:line="128" w:lineRule="exact"/>
        <w:rPr>
          <w:sz w:val="20"/>
          <w:szCs w:val="20"/>
          <w:color w:val="auto"/>
        </w:rPr>
      </w:pPr>
    </w:p>
    <w:p>
      <w:pPr>
        <w:jc w:val="both"/>
        <w:ind w:firstLine="720"/>
        <w:spacing w:after="0" w:line="268" w:lineRule="auto"/>
        <w:rPr>
          <w:sz w:val="20"/>
          <w:szCs w:val="20"/>
          <w:color w:val="auto"/>
        </w:rPr>
      </w:pPr>
      <w:r>
        <w:rPr>
          <w:rFonts w:ascii="Times New Roman" w:cs="Times New Roman" w:eastAsia="Times New Roman" w:hAnsi="Times New Roman"/>
          <w:sz w:val="20"/>
          <w:szCs w:val="20"/>
          <w:color w:val="auto"/>
        </w:rPr>
        <w:t xml:space="preserve">The Term Loan prohibits us from undergoing a change of control. Any takeover attempt could be delayed, or prevented, if an amendment or waiver is not provided by the respective lenders. See </w:t>
      </w:r>
      <w:r>
        <w:rPr>
          <w:rFonts w:ascii="Times New Roman" w:cs="Times New Roman" w:eastAsia="Times New Roman" w:hAnsi="Times New Roman"/>
          <w:sz w:val="20"/>
          <w:szCs w:val="20"/>
          <w:i w:val="1"/>
          <w:iCs w:val="1"/>
          <w:color w:val="auto"/>
        </w:rPr>
        <w:t>Risks Relating to Our Indebtedness</w:t>
      </w:r>
      <w:r>
        <w:rPr>
          <w:rFonts w:ascii="Times New Roman" w:cs="Times New Roman" w:eastAsia="Times New Roman" w:hAnsi="Times New Roman"/>
          <w:sz w:val="20"/>
          <w:szCs w:val="20"/>
          <w:color w:val="auto"/>
        </w:rPr>
        <w:t>. Moreover, certain provisions of our Certificate of Incorporation and Bylaws and provisions of DGCL could delay or prevent a</w:t>
      </w:r>
    </w:p>
    <w:p>
      <w:pPr>
        <w:sectPr>
          <w:pgSz w:w="12240" w:h="15840" w:orient="portrait"/>
          <w:cols w:equalWidth="0" w:num="1">
            <w:col w:w="10260"/>
          </w:cols>
          <w:pgMar w:left="1000" w:top="430" w:right="980" w:bottom="0" w:gutter="0" w:footer="0" w:header="0"/>
        </w:sectPr>
      </w:pPr>
    </w:p>
    <w:p>
      <w:pPr>
        <w:spacing w:after="0" w:line="30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10260"/>
          </w:cols>
          <w:pgMar w:left="1000" w:top="430" w:right="980" w:bottom="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9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 xml:space="preserve">change of control or may impede the ability of the holders of our common stock to change our management. In particular, our Certificate of Incorporation and Bylaws, among other things will regulate how stockholders may present proposals or nominate directors for election at stockholders’ meetings and authorize our board of directors to issue preferred stock in one or more series, without stockholder approval. See </w:t>
      </w:r>
      <w:r>
        <w:rPr>
          <w:rFonts w:ascii="Times New Roman" w:cs="Times New Roman" w:eastAsia="Times New Roman" w:hAnsi="Times New Roman"/>
          <w:sz w:val="20"/>
          <w:szCs w:val="20"/>
          <w:i w:val="1"/>
          <w:iCs w:val="1"/>
          <w:color w:val="auto"/>
        </w:rPr>
        <w:t>Description of Capital Stock — Anti-Takeover Provisions</w:t>
      </w:r>
      <w:r>
        <w:rPr>
          <w:rFonts w:ascii="Times New Roman" w:cs="Times New Roman" w:eastAsia="Times New Roman" w:hAnsi="Times New Roman"/>
          <w:sz w:val="20"/>
          <w:szCs w:val="20"/>
          <w:color w:val="auto"/>
        </w:rPr>
        <w:t xml:space="preserve"> which is attached to this Annual Report on Form 10-K as Exhibit 4.2.</w:t>
      </w:r>
    </w:p>
    <w:p>
      <w:pPr>
        <w:spacing w:after="0" w:line="155"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We have no direct operations and no significant assets other than the ownership of capital stock and equity interests of our subsidiaries. Because we conduct our operations through our subsidiaries, we depend on those entities for dividends and other payments to generate the funds necessary to meet our financial obligations. Legal and contractual restrictions in the Term Loan and other agreements which may govern future indebtedness of our subsidiaries, as well as the financial condition and operating requirements of our subsidiaries, may limit our ability to obtain cash from our subsidiaries. The earnings from, or other available assets of, our subsidiaries might not be sufficient to pay dividends or make distributions or loans to enable us to pay any dividends on our common stock or other obligations. Any of the foregoing could materially and adversely affect our business, financial condition, results of operations and cash flows. In addition, our ability to pay dividends is restricted by the terms of the Term Loan and, in addition, future debt financing, if any, may contain terms prohibiting or limiting the amount of dividends that may be declared or paid on our securities.</w:t>
      </w:r>
    </w:p>
    <w:p>
      <w:pPr>
        <w:spacing w:after="0" w:line="165"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We currently intend to retain any future earnings for use in the operation and expansion of our business. Accordingly, we do not expect to pay any dividends to holders of our common stock in the foreseeable future, but will review this policy as circumstances dictate. The declaration and payment of all future dividends to holders of our common stock, if any, will be at the sole discretion of our board of directors, which retains the right to change our dividend policy at any time. In addition, our ability to pay dividends is restricted by the terms of the Term Loan and, in addition, future debt financing, if any, may contain terms prohibiting or limiting the amount of dividends that may be declared or paid on our securities. Consequently, capital appreciation, if any, of our common stock may be the sole source of gain on investment for the foreseeable future.</w:t>
      </w:r>
    </w:p>
    <w:p>
      <w:pPr>
        <w:spacing w:after="0" w:line="163"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are currently not in compliance with the continued listing standards of Nasdaq, and if we are unable to regain compliance, our common stock will be delisted from the exchange.</w:t>
      </w:r>
    </w:p>
    <w:p>
      <w:pPr>
        <w:spacing w:after="0" w:line="128"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Our common stock is currently listed for trading on the Nasdaq under the symbol “HYFM”. The continued listing of our common stock on Nasdaq is subject to our compliance with a number of listing standards, including Nasdaq Listing Rule 5550(b)(1) to maintain a minimum of $2.5 million in stockholders’ equity (the “Minimum Stockholders’ Equity Requirement”) or the alternative requirements of Nasdaq Listing Rule 5550(b)(2)-(3) of having a market value of listed securities of at least $35 million or net income from continuing operations of $500,000 in the most recently completed fiscal year or two of the last three most recently completed fiscal years (the “Alternative Requirement”). As of December 31, 2025, we had a stockholder’s deficit of approximately $(63) million, the market value of our listed securities was below $35 million as of the date of this Annual Report on Form 10-K, and we realized a net loss in each of the past three fiscal years. Accordingly, we do not meet the requirements of the Minimum Stockholders’ Equity Requirement or Alternative Requirement. As such we anticipate the Listing Qualifications Staff of Nasdaq will notify us that we no longer meet the requirements of Nasdaq Listing Rule 5550(b)(1).</w:t>
      </w:r>
    </w:p>
    <w:p>
      <w:pPr>
        <w:spacing w:after="0" w:line="165" w:lineRule="exact"/>
        <w:rPr>
          <w:sz w:val="20"/>
          <w:szCs w:val="20"/>
          <w:color w:val="auto"/>
        </w:rPr>
      </w:pPr>
    </w:p>
    <w:p>
      <w:pPr>
        <w:jc w:val="both"/>
        <w:ind w:firstLine="720"/>
        <w:spacing w:after="0" w:line="263" w:lineRule="auto"/>
        <w:rPr>
          <w:sz w:val="20"/>
          <w:szCs w:val="20"/>
          <w:color w:val="auto"/>
        </w:rPr>
      </w:pPr>
      <w:r>
        <w:rPr>
          <w:rFonts w:ascii="Times New Roman" w:cs="Times New Roman" w:eastAsia="Times New Roman" w:hAnsi="Times New Roman"/>
          <w:sz w:val="20"/>
          <w:szCs w:val="20"/>
          <w:color w:val="auto"/>
        </w:rPr>
        <w:t>Upon notice from the Nasdaq noncompliance with Listing Rule 5550(b)(1), we may be granted 45 calendar days from the date of any notification letter to submit a plan to regain compliance with the Minimum Stockholders’ Equity Requirement and while there is no certainty we will be granted additional time, we may receive a compliance period, typically of no more than 180 days, to regain compliance with the Minimum Stockholder’s Equity Requirement.</w:t>
      </w:r>
    </w:p>
    <w:p>
      <w:pPr>
        <w:spacing w:after="0" w:line="152"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If we fail to regain compliance with the Nasdaq continued listing standards, after any compliance period, if granted, or we fail to comply with other continued listing requirements, Nasdaq will provide notice that our common stock will be subject to delisting, which could adversely affect our ability to raise additional financing through the public or private sale of equity securities, would significantly affect the ability of investors to trade our securities and would negatively affect the value and liquidity of our common stock. Delisting could also have other negative results, including the potential loss of confidence by employees, the loss of institutional investor interest and fewer business development opportunities. If our common stock is delisted by Nasdaq, the price of our common stock may decline and our common stock may be eligible to trade on the OTC Bulletin Board, another over-the-counter quotation system, or on the pink sheets where an investor may find it more difficult to dispose of their common stock or obtain accurate quotations as to the market value of our common stock. A delisting from Nasdaq and failure to obtain listing on another market or exchange would subject our common stock to so-called penny stock rules that impose additional sales practice and market-making requirements on broker-dealers who sell or make a market in such securities. Further, if we are delisted, we would incur additional costs under requirements of state “blue sky” laws in connection with any sales of our securities. These requirements could severely limit the market liquidity of our common stock and the ability of our stockholders to sell our common stock in the secondary market.</w:t>
      </w:r>
    </w:p>
    <w:p>
      <w:pPr>
        <w:sectPr>
          <w:pgSz w:w="12240" w:h="15840" w:orient="portrait"/>
          <w:cols w:equalWidth="0" w:num="1">
            <w:col w:w="10260"/>
          </w:cols>
          <w:pgMar w:left="1000" w:top="43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10260"/>
          </w:cols>
          <w:pgMar w:left="1000" w:top="430" w:right="980" w:bottom="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market price of our common stock could be negatively affected by future sales of our common stock.</w:t>
      </w:r>
    </w:p>
    <w:p>
      <w:pPr>
        <w:spacing w:after="0" w:line="210" w:lineRule="exact"/>
        <w:rPr>
          <w:sz w:val="20"/>
          <w:szCs w:val="20"/>
          <w:color w:val="auto"/>
        </w:rPr>
      </w:pPr>
    </w:p>
    <w:p>
      <w:pPr>
        <w:jc w:val="both"/>
        <w:ind w:firstLine="720"/>
        <w:spacing w:after="0" w:line="262" w:lineRule="auto"/>
        <w:rPr>
          <w:sz w:val="20"/>
          <w:szCs w:val="20"/>
          <w:color w:val="auto"/>
        </w:rPr>
      </w:pPr>
      <w:r>
        <w:rPr>
          <w:rFonts w:ascii="Times New Roman" w:cs="Times New Roman" w:eastAsia="Times New Roman" w:hAnsi="Times New Roman"/>
          <w:sz w:val="20"/>
          <w:szCs w:val="20"/>
          <w:color w:val="auto"/>
        </w:rPr>
        <w:t>If our existing stockholders, our directors, their affiliates, or our executive officers, sell a substantial number of shares of our common stock in the public market, the market price of our common stock could decrease significantly. The perception in the public market that these stockholders might sell our common stock could also depress the market price of our common stock and could impair our future ability to obtain capital, especially through an offering of equity securities.</w:t>
      </w:r>
    </w:p>
    <w:p>
      <w:pPr>
        <w:spacing w:after="0" w:line="15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price of our common stock has been, and may continue to be, volatile and may fluctuate substantially, which could result in substantial losses for purchasers of our common stock.</w:t>
      </w:r>
    </w:p>
    <w:p>
      <w:pPr>
        <w:spacing w:after="0" w:line="128" w:lineRule="exact"/>
        <w:rPr>
          <w:sz w:val="20"/>
          <w:szCs w:val="20"/>
          <w:color w:val="auto"/>
        </w:rPr>
      </w:pPr>
    </w:p>
    <w:p>
      <w:pPr>
        <w:jc w:val="both"/>
        <w:ind w:firstLine="720"/>
        <w:spacing w:after="0" w:line="269" w:lineRule="auto"/>
        <w:rPr>
          <w:sz w:val="20"/>
          <w:szCs w:val="20"/>
          <w:color w:val="auto"/>
        </w:rPr>
      </w:pPr>
      <w:r>
        <w:rPr>
          <w:rFonts w:ascii="Times New Roman" w:cs="Times New Roman" w:eastAsia="Times New Roman" w:hAnsi="Times New Roman"/>
          <w:sz w:val="20"/>
          <w:szCs w:val="20"/>
          <w:color w:val="auto"/>
        </w:rPr>
        <w:t>The market price of our common stock has fluctuated substantially due to a number of factors. These fluctuations could cause you to lose all or part of your investment in our common stock since you might be unable to sell your shares at or above the price you paid. Factors that could cause fluctuations in the trading price of our common stock include the following:</w:t>
      </w:r>
    </w:p>
    <w:p>
      <w:pPr>
        <w:spacing w:after="0" w:line="147" w:lineRule="exact"/>
        <w:rPr>
          <w:sz w:val="20"/>
          <w:szCs w:val="20"/>
          <w:color w:val="auto"/>
        </w:rPr>
      </w:pPr>
    </w:p>
    <w:p>
      <w:pPr>
        <w:ind w:left="1440" w:hanging="370"/>
        <w:spacing w:after="0"/>
        <w:tabs>
          <w:tab w:leader="none" w:pos="14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and volume fluctuations in the overall stock market from time to time;</w:t>
      </w:r>
    </w:p>
    <w:p>
      <w:pPr>
        <w:spacing w:after="0" w:line="209"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volatility in the trading prices and trading volumes of stocks in our industry;</w:t>
      </w:r>
    </w:p>
    <w:p>
      <w:pPr>
        <w:spacing w:after="0" w:line="210" w:lineRule="exact"/>
        <w:rPr>
          <w:rFonts w:ascii="Times New Roman" w:cs="Times New Roman" w:eastAsia="Times New Roman" w:hAnsi="Times New Roman"/>
          <w:sz w:val="20"/>
          <w:szCs w:val="20"/>
          <w:color w:val="auto"/>
        </w:rPr>
      </w:pPr>
    </w:p>
    <w:p>
      <w:pPr>
        <w:ind w:left="720" w:firstLine="350"/>
        <w:spacing w:after="0" w:line="288" w:lineRule="auto"/>
        <w:tabs>
          <w:tab w:leader="none" w:pos="14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operating performance and stock market valuations of other companies generally, or those in our industry in particular;</w:t>
      </w:r>
    </w:p>
    <w:p>
      <w:pPr>
        <w:spacing w:after="0" w:line="128"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of shares of our common stock by us or our stockholders;</w:t>
      </w:r>
    </w:p>
    <w:p>
      <w:pPr>
        <w:spacing w:after="0" w:line="209" w:lineRule="exact"/>
        <w:rPr>
          <w:rFonts w:ascii="Times New Roman" w:cs="Times New Roman" w:eastAsia="Times New Roman" w:hAnsi="Times New Roman"/>
          <w:sz w:val="20"/>
          <w:szCs w:val="20"/>
          <w:color w:val="auto"/>
        </w:rPr>
      </w:pPr>
    </w:p>
    <w:p>
      <w:pPr>
        <w:ind w:left="720" w:firstLine="350"/>
        <w:spacing w:after="0" w:line="288" w:lineRule="auto"/>
        <w:tabs>
          <w:tab w:leader="none" w:pos="14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of securities analysts to maintain coverage of us, changes in financial estimates by securities analysts who follow our company or our failure to meet these estimates or the expectations of investors;</w:t>
      </w:r>
    </w:p>
    <w:p>
      <w:pPr>
        <w:spacing w:after="0" w:line="128" w:lineRule="exact"/>
        <w:rPr>
          <w:rFonts w:ascii="Times New Roman" w:cs="Times New Roman" w:eastAsia="Times New Roman" w:hAnsi="Times New Roman"/>
          <w:sz w:val="20"/>
          <w:szCs w:val="20"/>
          <w:color w:val="auto"/>
        </w:rPr>
      </w:pPr>
    </w:p>
    <w:p>
      <w:pPr>
        <w:ind w:left="720" w:firstLine="350"/>
        <w:spacing w:after="0" w:line="288" w:lineRule="auto"/>
        <w:tabs>
          <w:tab w:leader="none" w:pos="14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financial projections we may provide to the public, any changes in those projections or our failure to meet those projections;</w:t>
      </w:r>
    </w:p>
    <w:p>
      <w:pPr>
        <w:spacing w:after="0" w:line="128"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announcements by us or our competitors of new offerings or platform features;</w:t>
      </w:r>
    </w:p>
    <w:p>
      <w:pPr>
        <w:spacing w:after="0" w:line="209"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public’s reaction to our press releases, other public announcements and filings with the SEC;</w:t>
      </w:r>
    </w:p>
    <w:p>
      <w:pPr>
        <w:spacing w:after="0" w:line="210" w:lineRule="exact"/>
        <w:rPr>
          <w:rFonts w:ascii="Times New Roman" w:cs="Times New Roman" w:eastAsia="Times New Roman" w:hAnsi="Times New Roman"/>
          <w:sz w:val="20"/>
          <w:szCs w:val="20"/>
          <w:color w:val="auto"/>
        </w:rPr>
      </w:pPr>
    </w:p>
    <w:p>
      <w:pPr>
        <w:ind w:left="720" w:firstLine="350"/>
        <w:spacing w:after="0" w:line="288" w:lineRule="auto"/>
        <w:tabs>
          <w:tab w:leader="none" w:pos="14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rumors and market speculation involving us or other companies in our industry and the cannabis industry, including the legalization of cannabis in the United States;</w:t>
      </w:r>
    </w:p>
    <w:p>
      <w:pPr>
        <w:spacing w:after="0" w:line="128"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anticipated changes in our results of operations or fluctuations in our results of operations;</w:t>
      </w:r>
    </w:p>
    <w:p>
      <w:pPr>
        <w:spacing w:after="0" w:line="209" w:lineRule="exact"/>
        <w:rPr>
          <w:rFonts w:ascii="Times New Roman" w:cs="Times New Roman" w:eastAsia="Times New Roman" w:hAnsi="Times New Roman"/>
          <w:sz w:val="20"/>
          <w:szCs w:val="20"/>
          <w:color w:val="auto"/>
        </w:rPr>
      </w:pPr>
    </w:p>
    <w:p>
      <w:pPr>
        <w:ind w:left="720" w:right="20" w:firstLine="350"/>
        <w:spacing w:after="0" w:line="288" w:lineRule="auto"/>
        <w:tabs>
          <w:tab w:leader="none" w:pos="14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anticipated developments in our business, our competitors’ businesses or the competitive landscape generally;</w:t>
      </w:r>
    </w:p>
    <w:p>
      <w:pPr>
        <w:spacing w:after="0" w:line="128" w:lineRule="exact"/>
        <w:rPr>
          <w:rFonts w:ascii="Times New Roman" w:cs="Times New Roman" w:eastAsia="Times New Roman" w:hAnsi="Times New Roman"/>
          <w:sz w:val="20"/>
          <w:szCs w:val="20"/>
          <w:color w:val="auto"/>
        </w:rPr>
      </w:pPr>
    </w:p>
    <w:p>
      <w:pPr>
        <w:ind w:left="720" w:right="20" w:firstLine="350"/>
        <w:spacing w:after="0" w:line="288" w:lineRule="auto"/>
        <w:tabs>
          <w:tab w:leader="none" w:pos="14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litigation involving us, our industry or both, or investigations by regulators into our operations or those of our competitors;</w:t>
      </w:r>
    </w:p>
    <w:p>
      <w:pPr>
        <w:spacing w:after="0" w:line="128"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developments or disputes concerning our intellectual property or other proprietary rights;</w:t>
      </w:r>
    </w:p>
    <w:p>
      <w:pPr>
        <w:spacing w:after="0" w:line="209"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announced or completed acquisitions of businesses, services or technologies by us or our competitors;</w:t>
      </w:r>
    </w:p>
    <w:p>
      <w:pPr>
        <w:spacing w:after="0" w:line="21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laws or regulations or new interpretations of existing laws or regulations applicable to our business;</w:t>
      </w:r>
    </w:p>
    <w:p>
      <w:pPr>
        <w:spacing w:after="0" w:line="21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accounting standards, policies, guidelines, interpretations or principles;</w:t>
      </w:r>
    </w:p>
    <w:p>
      <w:pPr>
        <w:spacing w:after="0" w:line="209"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significant change in our management;</w:t>
      </w:r>
    </w:p>
    <w:p>
      <w:pPr>
        <w:spacing w:after="0" w:line="210" w:lineRule="exact"/>
        <w:rPr>
          <w:rFonts w:ascii="Times New Roman" w:cs="Times New Roman" w:eastAsia="Times New Roman" w:hAnsi="Times New Roman"/>
          <w:sz w:val="20"/>
          <w:szCs w:val="20"/>
          <w:color w:val="auto"/>
        </w:rPr>
      </w:pPr>
    </w:p>
    <w:p>
      <w:pPr>
        <w:ind w:left="720" w:firstLine="350"/>
        <w:spacing w:after="0" w:line="288" w:lineRule="auto"/>
        <w:tabs>
          <w:tab w:leader="none" w:pos="14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continued threat of terrorism and the impact of military and other action, including military actions involving Russia and Ukraine and the ongoing conflict in Israel and Gaza; and</w:t>
      </w:r>
    </w:p>
    <w:p>
      <w:pPr>
        <w:spacing w:after="0" w:line="128"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economic conditions and slow or negative growth of our markets.</w:t>
      </w:r>
    </w:p>
    <w:p>
      <w:pPr>
        <w:spacing w:after="0" w:line="209" w:lineRule="exact"/>
        <w:rPr>
          <w:sz w:val="20"/>
          <w:szCs w:val="20"/>
          <w:color w:val="auto"/>
        </w:rPr>
      </w:pPr>
    </w:p>
    <w:p>
      <w:pPr>
        <w:jc w:val="both"/>
        <w:ind w:right="20" w:firstLine="720"/>
        <w:spacing w:after="0" w:line="269" w:lineRule="auto"/>
        <w:rPr>
          <w:sz w:val="20"/>
          <w:szCs w:val="20"/>
          <w:color w:val="auto"/>
        </w:rPr>
      </w:pPr>
      <w:r>
        <w:rPr>
          <w:rFonts w:ascii="Times New Roman" w:cs="Times New Roman" w:eastAsia="Times New Roman" w:hAnsi="Times New Roman"/>
          <w:sz w:val="20"/>
          <w:szCs w:val="20"/>
          <w:color w:val="auto"/>
        </w:rPr>
        <w:t>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ectPr>
          <w:pgSz w:w="12240" w:h="15840" w:orient="portrait"/>
          <w:cols w:equalWidth="0" w:num="1">
            <w:col w:w="10260"/>
          </w:cols>
          <w:pgMar w:left="1000" w:top="430" w:right="980" w:bottom="0"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10260"/>
          </w:cols>
          <w:pgMar w:left="1000" w:top="430" w:right="980" w:bottom="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our shares of common stock become subject to the penny stock rules, it would become more difficult to trade our shares</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The SEC has adopted rules that regulate broker-dealer practices in connection with transactions in penny stocks. Penny stocks are generally equity securities with a price of less than $5.00, other than securities registered on certain national securities exchanges or authorized for quotation on certain automated quotation systems, provided that current price and volume information with respect to transactions in such securities is provided by the exchange or system. If we do not retain a listing on Nasdaq and if the price of our common stock is less than $5.00, our common stock will be deemed a penny stock. The penny stock rules require a broker-dealer, before a transaction in a penny stock not otherwise exempt from those rules, to deliver a standardized risk disclosure document containing specified information. In addition, the penny stock rules require that before effecting any transaction in a penny stock not otherwise exempt from those rules, a broker-dealer must make a special written determination that the penny stock is a suitable investment for the purchaser and receive (i) the purchaser’s written acknowledgment of the receipt of a risk disclosure statement; (ii) a written agreement to transactions involving penny stocks; and (iii) a signed and dated copy of a written suitability statement. These disclosure requirements may have the effect of reducing the trading activity in the secondary market for our common stock, and therefore stockholders may have difficulty selling their shares.</w:t>
      </w:r>
    </w:p>
    <w:p>
      <w:pPr>
        <w:spacing w:after="0" w:line="16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Certificate of Incorporation provides that the doctrine of "corporate opportunity" will not apply with respect to any director or stockholder who is not employed by us or our affiliates.</w:t>
      </w:r>
    </w:p>
    <w:p>
      <w:pPr>
        <w:spacing w:after="0" w:line="128"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The doctrine of corporate opportunity generally provides that a corporate fiduciary may not develop an opportunity using corporate resources,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or directors or other fiduciaries from personally benefiting from opportunities that belong to the corporation. Our Certificate of Incorporation provides that the doctrine of "corporate opportunity" does not apply with respect to any director or stockholder who is not employed by us or our affiliates. Any director or stockholder who is not employed by us or our affiliates will therefore have no duty to communicate or present corporate opportunities to us, and will have the right to either hold any corporate opportunity for their (and their affiliates’) own account and benefit or to recommend, assign or otherwise transfer such corporate opportunity to persons other than us, including to any director or stockholder who is not employed by us or our affiliates.</w:t>
      </w:r>
    </w:p>
    <w:p>
      <w:pPr>
        <w:spacing w:after="0" w:line="163"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As a result, certain of our stockholders, directors and their respective affiliates will not be prohibited from operating or investing in competing businesses. We therefore may find ourselves in competition with certain of our stockholders, directors or their respective affiliates, and we may not have knowledge of, or be able to pursue, transactions that could potentially be beneficial to us. Accordingly, we may lose a corporate opportunity or suffer competitive harm, which could negatively impact our business or prospects.</w:t>
      </w:r>
    </w:p>
    <w:p>
      <w:pPr>
        <w:spacing w:after="0" w:line="158"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Certificate of Incorporation and our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147"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Our Certificate of Incorporation and our Bylaws provide that the Court of Chancery of the State of Delaware is the exclusive forum for any derivative action or proceeding brought on our behalf; any action asserting a breach of fiduciary duty; any action asserting a claim against us arising pursuant to the DGCL, our Certificate of Incorporation or our Bylaws; or any action asserting a claim against us that is governed by the internal affairs doctrine. Notwithstanding the foregoing, the exclusive forum provision does not apply to suits brought to enforce any liability or duty created by the Exchange Act, Securities Act of 1933, as amended (the "Securities Act"), or any other claim for which the federal courts have exclusive jurisdiction. Unless we consent in writing to the selection of an alternative forum, the federal district courts of the United States of America shall, to the fullest extent permitted by applicable law, be the sole and exclusive forum for the resolution of any complaint asserting a cause of action arising under the Securities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Certificate of Incorporation and our Bylaws to be inapplicable or unenforceable in an action, we may incur additional costs associated with resolving such action in other jurisdictions, which could materially and adversely affect our business, financial condition, and results of operations.</w:t>
      </w:r>
    </w:p>
    <w:p>
      <w:pPr>
        <w:sectPr>
          <w:pgSz w:w="12240" w:h="15840" w:orient="portrait"/>
          <w:cols w:equalWidth="0" w:num="1">
            <w:col w:w="10260"/>
          </w:cols>
          <w:pgMar w:left="1000" w:top="43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10260"/>
          </w:cols>
          <w:pgMar w:left="1000" w:top="430" w:right="980" w:bottom="0" w:gutter="0" w:footer="0" w:header="0"/>
          <w:type w:val="continuous"/>
        </w:sectPr>
      </w:pPr>
    </w:p>
    <w:bookmarkStart w:id="43" w:name="page44"/>
    <w:bookmarkEnd w:id="43"/>
    <w:p>
      <w:pPr>
        <w:ind w:left="20"/>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General Risk Factors</w:t>
      </w:r>
    </w:p>
    <w:p>
      <w:pPr>
        <w:spacing w:after="0" w:line="214" w:lineRule="exact"/>
        <w:rPr>
          <w:sz w:val="20"/>
          <w:szCs w:val="20"/>
          <w:color w:val="auto"/>
        </w:rPr>
      </w:pPr>
    </w:p>
    <w:p>
      <w:pPr>
        <w:jc w:val="both"/>
        <w:ind w:left="2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retain key personnel, we may not be able to implement our business plan and our business may fail; our headcount reductions may cause undesirable consequences.</w:t>
      </w:r>
    </w:p>
    <w:p>
      <w:pPr>
        <w:spacing w:after="0" w:line="129" w:lineRule="exact"/>
        <w:rPr>
          <w:sz w:val="20"/>
          <w:szCs w:val="20"/>
          <w:color w:val="auto"/>
        </w:rPr>
      </w:pPr>
    </w:p>
    <w:p>
      <w:pPr>
        <w:jc w:val="both"/>
        <w:ind w:left="20" w:firstLine="720"/>
        <w:spacing w:after="0" w:line="254" w:lineRule="auto"/>
        <w:rPr>
          <w:sz w:val="20"/>
          <w:szCs w:val="20"/>
          <w:color w:val="auto"/>
        </w:rPr>
      </w:pPr>
      <w:r>
        <w:rPr>
          <w:rFonts w:ascii="Times New Roman" w:cs="Times New Roman" w:eastAsia="Times New Roman" w:hAnsi="Times New Roman"/>
          <w:sz w:val="20"/>
          <w:szCs w:val="20"/>
          <w:color w:val="auto"/>
        </w:rPr>
        <w:t>If we are unable to retain key personnel, our business may be materially adversely affected. We reduced headcount in 2025 and 2024, and may implement further reductions in the future to create operational efficiencies. This workforce reduction may yield unintended consequences, such as attrition beyond our intended reductions and reduced employee morale, which may cause our employees who were not affected by the headcount reductions to seek alternate employment. We cannot provide assurance that we will not undertake additional workforce reductions or that we will be able to realize cost savings and other anticipated benefits from our previous or any future workforce reduction plans. In addition, this may adversely impact our ability to respond rapidly to any new product, growth or revenue opportunities and to execute on our business plans. In light of recent inflation, we may be required to increase the compensation we offer to current and prospective employees in order to compete for talent, and any wage increases may make it more difficult for us maintain general operating expenses at desired levels.</w:t>
      </w:r>
    </w:p>
    <w:p>
      <w:pPr>
        <w:spacing w:after="0" w:line="166" w:lineRule="exact"/>
        <w:rPr>
          <w:sz w:val="20"/>
          <w:szCs w:val="20"/>
          <w:color w:val="auto"/>
        </w:rPr>
      </w:pPr>
    </w:p>
    <w:p>
      <w:pPr>
        <w:jc w:val="both"/>
        <w:ind w:left="20" w:firstLine="720"/>
        <w:spacing w:after="0" w:line="263" w:lineRule="auto"/>
        <w:rPr>
          <w:sz w:val="20"/>
          <w:szCs w:val="20"/>
          <w:color w:val="auto"/>
        </w:rPr>
      </w:pPr>
      <w:r>
        <w:rPr>
          <w:rFonts w:ascii="Times New Roman" w:cs="Times New Roman" w:eastAsia="Times New Roman" w:hAnsi="Times New Roman"/>
          <w:sz w:val="20"/>
          <w:szCs w:val="20"/>
          <w:color w:val="auto"/>
        </w:rPr>
        <w:t>Additionally, in November 2025, we completed a Chief Executive Officer transition. Management transitions may create uncertainty and involve a diversion of resources and management attention, be disruptive to our daily operations or impact public or market perception, any of which could negatively impact our ability to operate effectively or execute our strategies and result in a material adverse impact on our business, financial condition, and results of operations.</w:t>
      </w:r>
    </w:p>
    <w:p>
      <w:pPr>
        <w:spacing w:after="0" w:line="1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Litigation may adversely affect our business, financial condition and results of operations.</w:t>
      </w:r>
    </w:p>
    <w:p>
      <w:pPr>
        <w:spacing w:after="0" w:line="209" w:lineRule="exact"/>
        <w:rPr>
          <w:sz w:val="20"/>
          <w:szCs w:val="20"/>
          <w:color w:val="auto"/>
        </w:rPr>
      </w:pPr>
    </w:p>
    <w:p>
      <w:pPr>
        <w:jc w:val="both"/>
        <w:ind w:left="20" w:firstLine="720"/>
        <w:spacing w:after="0" w:line="258" w:lineRule="auto"/>
        <w:rPr>
          <w:sz w:val="20"/>
          <w:szCs w:val="20"/>
          <w:color w:val="auto"/>
        </w:rPr>
      </w:pPr>
      <w:r>
        <w:rPr>
          <w:rFonts w:ascii="Times New Roman" w:cs="Times New Roman" w:eastAsia="Times New Roman" w:hAnsi="Times New Roman"/>
          <w:sz w:val="20"/>
          <w:szCs w:val="20"/>
          <w:color w:val="auto"/>
        </w:rPr>
        <w:t>From time to time in the normal course of our business operations, we may become subject to litigation that may result in liability material to our financial statements as a whole or may negatively affect our operating results if changes to our business operation are required. The cost to defend such litigation may be significant and may require a diversion of our resources. There also may be adverse publicity associated with litigation that could negatively affect customer perception of our business, regardless of whether the allegations are valid or whether we are ultimately found liable. As a result, litigation may adversely affect our business, financial condition and results of operations.</w:t>
      </w:r>
    </w:p>
    <w:p>
      <w:pPr>
        <w:spacing w:after="0" w:line="157" w:lineRule="exact"/>
        <w:rPr>
          <w:sz w:val="20"/>
          <w:szCs w:val="20"/>
          <w:color w:val="auto"/>
        </w:rPr>
      </w:pPr>
    </w:p>
    <w:p>
      <w:pPr>
        <w:jc w:val="both"/>
        <w:ind w:lef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equity incentive plans may have a dilutive effect on your percentage ownership and may result in a dilution of your voting power and an increase in the number of shares of common stock eligible for future resale in the public market, which may negatively impact the trading price of our shares of common stock.</w:t>
      </w:r>
    </w:p>
    <w:p>
      <w:pPr>
        <w:spacing w:after="0" w:line="147" w:lineRule="exact"/>
        <w:rPr>
          <w:sz w:val="20"/>
          <w:szCs w:val="20"/>
          <w:color w:val="auto"/>
        </w:rPr>
      </w:pPr>
    </w:p>
    <w:p>
      <w:pPr>
        <w:jc w:val="both"/>
        <w:ind w:left="20" w:firstLine="720"/>
        <w:spacing w:after="0" w:line="255" w:lineRule="auto"/>
        <w:rPr>
          <w:sz w:val="20"/>
          <w:szCs w:val="20"/>
          <w:color w:val="auto"/>
        </w:rPr>
      </w:pPr>
      <w:r>
        <w:rPr>
          <w:rFonts w:ascii="Times New Roman" w:cs="Times New Roman" w:eastAsia="Times New Roman" w:hAnsi="Times New Roman"/>
          <w:sz w:val="20"/>
          <w:szCs w:val="20"/>
          <w:color w:val="auto"/>
        </w:rPr>
        <w:t>Our equity incentive plans, including the vesting of restricted stock units and performance stock units, and the exercise of some or all of our outstanding options could result in significant dilution in the percentage ownership interest of existing investors and in the percentage ownership interest of our existing common stockholders and in a significant dilution of voting rights and earnings per share. In addition to the dilutive effects described above, the vesting or exercise of those securities would lead to an increase in the number of shares of common stock eligible for resale in the public market. Sales of substantial numbers of such shares of common stock in the public market could adversely affect the market price of our shares of common stock. Substantial dilution and/or a substantial increase in the number of shares of common stock available for future resale may negatively impact the trading price of our shares of common stock.</w:t>
      </w:r>
    </w:p>
    <w:p>
      <w:pPr>
        <w:spacing w:after="0" w:line="1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Our security holders may be diluted by future issuances of securities by us.</w:t>
      </w:r>
    </w:p>
    <w:p>
      <w:pPr>
        <w:spacing w:after="0" w:line="210" w:lineRule="exact"/>
        <w:rPr>
          <w:sz w:val="20"/>
          <w:szCs w:val="20"/>
          <w:color w:val="auto"/>
        </w:rPr>
      </w:pPr>
    </w:p>
    <w:p>
      <w:pPr>
        <w:jc w:val="both"/>
        <w:ind w:left="20" w:firstLine="720"/>
        <w:spacing w:after="0" w:line="269" w:lineRule="auto"/>
        <w:rPr>
          <w:sz w:val="20"/>
          <w:szCs w:val="20"/>
          <w:color w:val="auto"/>
        </w:rPr>
      </w:pPr>
      <w:r>
        <w:rPr>
          <w:rFonts w:ascii="Times New Roman" w:cs="Times New Roman" w:eastAsia="Times New Roman" w:hAnsi="Times New Roman"/>
          <w:sz w:val="20"/>
          <w:szCs w:val="20"/>
          <w:color w:val="auto"/>
        </w:rPr>
        <w:t>In the future, we may issue our authorized but previously unissued equity securities, including additional shares of capital stock or securities convertible into or exchangeable for our common stock. Such issuance of additional securities would dilute the ownership stake in us held by our existing stockholders and could adversely affect the value of our securities.</w:t>
      </w:r>
    </w:p>
    <w:p>
      <w:pPr>
        <w:spacing w:after="0" w:line="147" w:lineRule="exact"/>
        <w:rPr>
          <w:sz w:val="20"/>
          <w:szCs w:val="20"/>
          <w:color w:val="auto"/>
        </w:rPr>
      </w:pPr>
    </w:p>
    <w:p>
      <w:pPr>
        <w:jc w:val="both"/>
        <w:ind w:left="20" w:firstLine="720"/>
        <w:spacing w:after="0" w:line="256" w:lineRule="auto"/>
        <w:rPr>
          <w:sz w:val="20"/>
          <w:szCs w:val="20"/>
          <w:color w:val="auto"/>
        </w:rPr>
      </w:pPr>
      <w:r>
        <w:rPr>
          <w:rFonts w:ascii="Times New Roman" w:cs="Times New Roman" w:eastAsia="Times New Roman" w:hAnsi="Times New Roman"/>
          <w:sz w:val="20"/>
          <w:szCs w:val="20"/>
          <w:color w:val="auto"/>
        </w:rPr>
        <w:t>We may also issue additional shares of our common stock, warrants or other securities that are convertible into or exercisable for the purchase of shares of our common stock in connection with hiring and/or retaining employees or consultants, future acquisitions, future sales of our securities for capital raising purposes, or for other business purposes. The future issuance of any such additional shares of our common stock or other securities, for any reason including those stated above, may have a negative impact on the market price of our common stock. There can be no assurance that the issuance of any additional shares of common stock, warrants or other convertible securities may not be at a price (or exercise prices) below the price a stockholder paid for its shares of our common stock.</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Failure to comply with the U.S. Foreign Corrupt Practices Act could subject us to penalties and other adverse consequences.</w:t>
      </w:r>
    </w:p>
    <w:p>
      <w:pPr>
        <w:spacing w:after="0" w:line="210"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color w:val="auto"/>
        </w:rPr>
        <w:t>As a Delaware corporation, we are subject to the U.S. Foreign Corrupt Practices Act, which generally prohibits U.S. companies from engaging in bribery or other prohibited payments to foreign officials for the purpose of obtaining or retaining</w:t>
      </w:r>
    </w:p>
    <w:p>
      <w:pPr>
        <w:sectPr>
          <w:pgSz w:w="12240" w:h="15840" w:orient="portrait"/>
          <w:cols w:equalWidth="0" w:num="1">
            <w:col w:w="10280"/>
          </w:cols>
          <w:pgMar w:left="980" w:top="430" w:right="980" w:bottom="0" w:gutter="0" w:footer="0" w:header="0"/>
        </w:sectPr>
      </w:pPr>
    </w:p>
    <w:p>
      <w:pPr>
        <w:spacing w:after="0" w:line="24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10280"/>
          </w:cols>
          <w:pgMar w:left="980" w:top="430" w:right="980" w:bottom="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9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business. Corruption, extortion, bribery, pay-offs, theft and other fraudulent practices may occur from time-to-time in countries in which we conduct our business. If we are not successful in implementing and maintaining adequate preventative measures, we may be responsible for the acts of our employees or other agents engaging in such conduct. If our employees or other agents are found to have engaged in such practices, we could suffer severe penalties and other consequences that may have a material adverse effect on our business, financial condition and results of operations</w:t>
      </w:r>
    </w:p>
    <w:p>
      <w:pPr>
        <w:spacing w:after="0" w:line="15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Delaware law contains anti-takeover provisions that could deter takeover attempts that could be beneficial to our stockholders.</w:t>
      </w:r>
    </w:p>
    <w:p>
      <w:pPr>
        <w:spacing w:after="0" w:line="129"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Provisions of Delaware law could make it more difficult for a third party to acquire us, even if doing so would be beneficial to our stockholders. Section 203 of the DGCL may make the acquisition of our company and the removal of incumbent officers and directors more difficult by prohibiting stockholders holding 15% or more of our outstanding voting stock from acquiring us, without the consent of our board of directors, for at least three years from the date they first hold 15% or more of the voting stock.</w:t>
      </w:r>
    </w:p>
    <w:p>
      <w:pPr>
        <w:spacing w:after="0" w:line="350"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Item 1B.</w:t>
      </w:r>
      <w:r>
        <w:rPr>
          <w:sz w:val="20"/>
          <w:szCs w:val="20"/>
          <w:color w:val="auto"/>
        </w:rPr>
        <w:tab/>
      </w:r>
      <w:r>
        <w:rPr>
          <w:rFonts w:ascii="Times New Roman" w:cs="Times New Roman" w:eastAsia="Times New Roman" w:hAnsi="Times New Roman"/>
          <w:sz w:val="19"/>
          <w:szCs w:val="19"/>
          <w:b w:val="1"/>
          <w:bCs w:val="1"/>
          <w:color w:val="auto"/>
        </w:rPr>
        <w:t>UNRESOLVED STAFF COMMENTS</w:t>
      </w:r>
    </w:p>
    <w:p>
      <w:pPr>
        <w:spacing w:after="0" w:line="21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06"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20"/>
          <w:szCs w:val="20"/>
          <w:b w:val="1"/>
          <w:bCs w:val="1"/>
          <w:color w:val="auto"/>
        </w:rPr>
        <w:t>Item 1C.</w:t>
      </w:r>
      <w:r>
        <w:rPr>
          <w:sz w:val="20"/>
          <w:szCs w:val="20"/>
          <w:color w:val="auto"/>
        </w:rPr>
        <w:tab/>
      </w:r>
      <w:r>
        <w:rPr>
          <w:rFonts w:ascii="Times New Roman" w:cs="Times New Roman" w:eastAsia="Times New Roman" w:hAnsi="Times New Roman"/>
          <w:sz w:val="20"/>
          <w:szCs w:val="20"/>
          <w:b w:val="1"/>
          <w:bCs w:val="1"/>
          <w:color w:val="auto"/>
        </w:rPr>
        <w:t>CYBERSECURITY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Cybersecurity Risk Management and Strategy</w:t>
      </w:r>
    </w:p>
    <w:p>
      <w:pPr>
        <w:spacing w:after="0" w:line="214"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Cybersecurity risks are critical to our business and our processes for identifying and managing material risks from cybersecurity threats have been integrated into our overall risk management system and processes. We rely on complex information technology systems and networks to conduct business, including communicating with employees and our distribution centers, ordering and managing materials from suppliers, selling and shipping products and analyzing and reporting results of operations, as well as for storing sensitive, personal and other confidential information. While we employ resources to monitor and protect our technology infrastructure and sensitive information, these security measures or those of our third-party vendors may not prevent all attempted data security breaches or cyber-attacks. If our or our third-party vendors’ information technology systems are damaged or cease to be available or function properly for an extended period of time, whether as a result of a significant cyber incident or otherwise, our ability to communicate internally as well as with our customers could be significantly impaired, which may adversely impact our business.</w:t>
      </w:r>
    </w:p>
    <w:p>
      <w:pPr>
        <w:spacing w:after="0" w:line="166"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Addressing cybersecurity risks requires ongoing monitoring and vigilance, and the Company continues to make enhancements to its cybersecurity policies, procedures and practices to safeguard sensitive information as well as information from our partners, customers and employees. We employ a risk-based strategy, aligned with the National Institute of Standards and Technology Cybersecurity framework, focused on safeguarding critical assets by implementing controls around access, data, and infrastructure security to protect the confidentiality, integrity, and availability of our data. Maturation and refinement of the Company's cybersecurity risk management strategy and related procedures is a continuous activity to ensure appropriate identification, assessment, and response to risks from cybersecurity threats that may adversely impact our operations. Our employee training and awareness programs are in place to improve cybersecurity awareness throughout the organization and we are committed to educating our employees on best practices for data protection, phishing awareness, and incident response. We also engage with third-party cybersecurity assessors, consultants, and auditors that provide independent assessments of our systems and processes, as well as those of certain third-party service providers, contributing to our efforts to strengthen our cybersecurity posture and enhance our defenses.</w:t>
      </w:r>
    </w:p>
    <w:p>
      <w:pPr>
        <w:spacing w:after="0" w:line="170"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On January 31, 2022, certain computer systems related to the Aurora acquisition that had not yet been integrated into our main systems were the victim of a cybersecurity attack. We immediately took steps to isolate those systems and implemented measures to prevent the spread of the attack, including taking systems offline in an abundance of caution. Together with an outside cybersecurity forensics firm, we investigated the attack to determine its nature, scope, duration, and impacts, as well as our vulnerability to another such attack and whether there was any exfiltration or misappropriation of data. There was no evidence that the attack extended beyond the Aurora acquisition’s systems, and it was determined that no critical data was accessed. We have subsequently integrated the acquisition’s systems with our main systems, which we completed in 2024.</w:t>
      </w:r>
    </w:p>
    <w:p>
      <w:pPr>
        <w:spacing w:after="0" w:line="166" w:lineRule="exact"/>
        <w:rPr>
          <w:sz w:val="20"/>
          <w:szCs w:val="20"/>
          <w:color w:val="auto"/>
        </w:rPr>
      </w:pPr>
    </w:p>
    <w:p>
      <w:pPr>
        <w:jc w:val="both"/>
        <w:ind w:firstLine="720"/>
        <w:spacing w:after="0" w:line="269" w:lineRule="auto"/>
        <w:rPr>
          <w:sz w:val="20"/>
          <w:szCs w:val="20"/>
          <w:color w:val="auto"/>
        </w:rPr>
      </w:pPr>
      <w:r>
        <w:rPr>
          <w:rFonts w:ascii="Times New Roman" w:cs="Times New Roman" w:eastAsia="Times New Roman" w:hAnsi="Times New Roman"/>
          <w:sz w:val="20"/>
          <w:szCs w:val="20"/>
          <w:color w:val="auto"/>
        </w:rPr>
        <w:t>As of December 31, 2025, we are not aware of any cybersecurity incidents or identified risks from cybersecurity threats that have materially affected, or are reasonably likely to affect, our business strategy, results of operations or financial condition. There is no guarantee that cybersecurity incidents or risks from cybersecurity incidents may not be material in the</w:t>
      </w:r>
    </w:p>
    <w:p>
      <w:pPr>
        <w:sectPr>
          <w:pgSz w:w="12240" w:h="15840" w:orient="portrait"/>
          <w:cols w:equalWidth="0" w:num="1">
            <w:col w:w="10260"/>
          </w:cols>
          <w:pgMar w:left="1000" w:top="430" w:right="980" w:bottom="0" w:gutter="0" w:footer="0" w:header="0"/>
        </w:sectPr>
      </w:pPr>
    </w:p>
    <w:p>
      <w:pPr>
        <w:spacing w:after="0" w:line="26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10260"/>
          </w:cols>
          <w:pgMar w:left="1000" w:top="430" w:right="980" w:bottom="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future. We maintain cyber insurance coverage to supplement our cybersecurity program given the complex and evolving nature of global cyber threats; however, the insurance may not be sufficient to cover all losses from any breaches of our systems and does not extend to reputational damage or costs incurred to improve or strengthen systems against future threats or activity. Given the increasing sophisticated threats, a disruption from a cybersecurity incident is possible to occur and we are actively taking actions to minimize the likelihood and impact of such incidents. In the event of such an incident, our information security team is continuously engaged to investigate and respond, including isolating systems, performing forensics, containing and eradicating malicious activity, and recovering systems in-line with business expectations and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Cybersecurity Governance</w:t>
      </w:r>
    </w:p>
    <w:p>
      <w:pPr>
        <w:spacing w:after="0" w:line="213"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Our board of directors oversees the cybersecurity risk management program and is regularly informed of cybersecurity risks through periodic updates provided by the Director of Information Technology ("IT") and Information Security team, to address our cybersecurity processes and risk mitigation efforts. Certain members of the board of directors have cybersecurity risk certification credentials and experience with, and exposure to, cyber risk oversight. The periodic updates provided by the Director of IT and Information Security team to the board of directors generally encompass emerging cyber threats, the Company’s security posture changes, significant cybersecurity incidents, progress of risk mitigation efforts, and cybersecurity strategies and investments. The frequency of these updates allows for timely decision-making and ensures that our board of directors is fully informed of our cybersecurity risks.</w:t>
      </w:r>
    </w:p>
    <w:p>
      <w:pPr>
        <w:spacing w:after="0" w:line="166"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Our Director of IT is responsible for identifying, assessing, and mitigating cybersecurity risks across the Company. Supported by our Information Security team, the Director of IT monitors the cyber threat landscape, plans and implements security controls, and responds to incidents. The collective team has extensive experience in information security and cybersecurity risk management and performs detection and monitoring of cybersecurity threats and incidents on an ongoing basis using a combination of security tooling, automated systems and manual processes.</w:t>
      </w:r>
    </w:p>
    <w:p>
      <w:pPr>
        <w:sectPr>
          <w:pgSz w:w="12240" w:h="15840" w:orient="portrait"/>
          <w:cols w:equalWidth="0" w:num="1">
            <w:col w:w="10260"/>
          </w:cols>
          <w:pgMar w:left="1000" w:top="43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10260"/>
          </w:cols>
          <w:pgMar w:left="1000" w:top="430" w:right="980" w:bottom="0" w:gutter="0" w:footer="0" w:header="0"/>
          <w:type w:val="continuous"/>
        </w:sectPr>
      </w:pPr>
    </w:p>
    <w:bookmarkStart w:id="46" w:name="page47"/>
    <w:bookmarkEnd w:id="46"/>
    <w:p>
      <w:pPr>
        <w:ind w:left="160"/>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87" w:lineRule="exact"/>
        <w:rPr>
          <w:sz w:val="20"/>
          <w:szCs w:val="20"/>
          <w:color w:val="auto"/>
        </w:rPr>
      </w:pPr>
    </w:p>
    <w:p>
      <w:pPr>
        <w:ind w:left="160"/>
        <w:spacing w:after="0"/>
        <w:tabs>
          <w:tab w:leader="none" w:pos="1580" w:val="left"/>
        </w:tabs>
        <w:rPr>
          <w:sz w:val="20"/>
          <w:szCs w:val="20"/>
          <w:color w:val="auto"/>
        </w:rPr>
      </w:pPr>
      <w:r>
        <w:rPr>
          <w:rFonts w:ascii="Times New Roman" w:cs="Times New Roman" w:eastAsia="Times New Roman" w:hAnsi="Times New Roman"/>
          <w:sz w:val="20"/>
          <w:szCs w:val="20"/>
          <w:b w:val="1"/>
          <w:bCs w:val="1"/>
          <w:color w:val="auto"/>
        </w:rPr>
        <w:t>Item 2.</w:t>
      </w:r>
      <w:r>
        <w:rPr>
          <w:sz w:val="20"/>
          <w:szCs w:val="20"/>
          <w:color w:val="auto"/>
        </w:rPr>
        <w:tab/>
      </w:r>
      <w:r>
        <w:rPr>
          <w:rFonts w:ascii="Times New Roman" w:cs="Times New Roman" w:eastAsia="Times New Roman" w:hAnsi="Times New Roman"/>
          <w:sz w:val="19"/>
          <w:szCs w:val="19"/>
          <w:b w:val="1"/>
          <w:bCs w:val="1"/>
          <w:color w:val="auto"/>
        </w:rPr>
        <w:t>PROPERTIES</w:t>
      </w:r>
    </w:p>
    <w:p>
      <w:pPr>
        <w:spacing w:after="0" w:line="214" w:lineRule="exact"/>
        <w:rPr>
          <w:sz w:val="20"/>
          <w:szCs w:val="20"/>
          <w:color w:val="auto"/>
        </w:rPr>
      </w:pPr>
    </w:p>
    <w:p>
      <w:pPr>
        <w:jc w:val="both"/>
        <w:ind w:left="160" w:firstLine="720"/>
        <w:spacing w:after="0" w:line="287" w:lineRule="auto"/>
        <w:rPr>
          <w:sz w:val="20"/>
          <w:szCs w:val="20"/>
          <w:color w:val="auto"/>
        </w:rPr>
      </w:pPr>
      <w:r>
        <w:rPr>
          <w:rFonts w:ascii="Times New Roman" w:cs="Times New Roman" w:eastAsia="Times New Roman" w:hAnsi="Times New Roman"/>
          <w:sz w:val="20"/>
          <w:szCs w:val="20"/>
          <w:color w:val="auto"/>
        </w:rPr>
        <w:t>Information regarding each of our significant facilities, which may include multiple leases at each location, is set forth below. We believe that our existing facilities are adequate for our needs at this time.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314"/>
        </w:trPr>
        <w:tc>
          <w:tcPr>
            <w:tcW w:w="70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Location</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D2EEF5"/>
            </w:tcBorders>
          </w:tcPr>
          <w:p>
            <w:pPr>
              <w:spacing w:after="0"/>
              <w:rPr>
                <w:sz w:val="24"/>
                <w:szCs w:val="24"/>
                <w:color w:val="auto"/>
              </w:rPr>
            </w:pPr>
          </w:p>
        </w:tc>
        <w:tc>
          <w:tcPr>
            <w:tcW w:w="15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Square Footage</w:t>
            </w:r>
          </w:p>
        </w:tc>
        <w:tc>
          <w:tcPr>
            <w:tcW w:w="80" w:type="dxa"/>
            <w:vAlign w:val="bottom"/>
            <w:tcBorders>
              <w:bottom w:val="single" w:sz="8" w:color="D2EEF5"/>
            </w:tcBorders>
          </w:tcPr>
          <w:p>
            <w:pPr>
              <w:spacing w:after="0"/>
              <w:rPr>
                <w:sz w:val="24"/>
                <w:szCs w:val="24"/>
                <w:color w:val="auto"/>
              </w:rPr>
            </w:pPr>
          </w:p>
        </w:tc>
        <w:tc>
          <w:tcPr>
            <w:tcW w:w="16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Owned or</w:t>
            </w:r>
          </w:p>
        </w:tc>
      </w:tr>
      <w:tr>
        <w:trPr>
          <w:trHeight w:val="296"/>
        </w:trPr>
        <w:tc>
          <w:tcPr>
            <w:tcW w:w="7000" w:type="dxa"/>
            <w:vAlign w:val="bottom"/>
            <w:shd w:val="clear" w:color="auto" w:fill="D2EEF5"/>
          </w:tcPr>
          <w:p>
            <w:pPr>
              <w:ind w:left="60"/>
              <w:spacing w:after="0"/>
              <w:rPr>
                <w:sz w:val="20"/>
                <w:szCs w:val="20"/>
                <w:color w:val="auto"/>
              </w:rPr>
            </w:pPr>
            <w:r>
              <w:rPr>
                <w:rFonts w:ascii="Times New Roman" w:cs="Times New Roman" w:eastAsia="Times New Roman" w:hAnsi="Times New Roman"/>
                <w:sz w:val="20"/>
                <w:szCs w:val="20"/>
                <w:b w:val="1"/>
                <w:bCs w:val="1"/>
                <w:color w:val="auto"/>
              </w:rPr>
              <w:t>Distribution Centers:</w:t>
            </w:r>
          </w:p>
        </w:tc>
        <w:tc>
          <w:tcPr>
            <w:tcW w:w="60" w:type="dxa"/>
            <w:vAlign w:val="bottom"/>
            <w:shd w:val="clear" w:color="auto" w:fill="D2EEF5"/>
          </w:tcPr>
          <w:p>
            <w:pPr>
              <w:spacing w:after="0"/>
              <w:rPr>
                <w:sz w:val="24"/>
                <w:szCs w:val="24"/>
                <w:color w:val="auto"/>
              </w:rPr>
            </w:pPr>
          </w:p>
        </w:tc>
        <w:tc>
          <w:tcPr>
            <w:tcW w:w="80" w:type="dxa"/>
            <w:vAlign w:val="bottom"/>
            <w:shd w:val="clear" w:color="auto" w:fill="D2EEF5"/>
          </w:tcPr>
          <w:p>
            <w:pPr>
              <w:spacing w:after="0"/>
              <w:rPr>
                <w:sz w:val="24"/>
                <w:szCs w:val="24"/>
                <w:color w:val="auto"/>
              </w:rPr>
            </w:pPr>
          </w:p>
        </w:tc>
        <w:tc>
          <w:tcPr>
            <w:tcW w:w="1540" w:type="dxa"/>
            <w:vAlign w:val="bottom"/>
            <w:shd w:val="clear" w:color="auto" w:fill="D2EEF5"/>
          </w:tcPr>
          <w:p>
            <w:pPr>
              <w:spacing w:after="0"/>
              <w:rPr>
                <w:sz w:val="24"/>
                <w:szCs w:val="24"/>
                <w:color w:val="auto"/>
              </w:rPr>
            </w:pPr>
          </w:p>
        </w:tc>
        <w:tc>
          <w:tcPr>
            <w:tcW w:w="80" w:type="dxa"/>
            <w:vAlign w:val="bottom"/>
            <w:shd w:val="clear" w:color="auto" w:fill="D2EEF5"/>
          </w:tcPr>
          <w:p>
            <w:pPr>
              <w:spacing w:after="0"/>
              <w:rPr>
                <w:sz w:val="24"/>
                <w:szCs w:val="24"/>
                <w:color w:val="auto"/>
              </w:rPr>
            </w:pPr>
          </w:p>
        </w:tc>
        <w:tc>
          <w:tcPr>
            <w:tcW w:w="1600" w:type="dxa"/>
            <w:vAlign w:val="bottom"/>
            <w:shd w:val="clear" w:color="auto" w:fill="D2EEF5"/>
          </w:tcPr>
          <w:p>
            <w:pPr>
              <w:spacing w:after="0"/>
              <w:rPr>
                <w:sz w:val="24"/>
                <w:szCs w:val="24"/>
                <w:color w:val="auto"/>
              </w:rPr>
            </w:pPr>
          </w:p>
        </w:tc>
      </w:tr>
      <w:tr>
        <w:trPr>
          <w:trHeight w:val="314"/>
        </w:trPr>
        <w:tc>
          <w:tcPr>
            <w:tcW w:w="70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Fairfield, CA, U.S.</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175,000</w:t>
            </w:r>
          </w:p>
        </w:tc>
        <w:tc>
          <w:tcPr>
            <w:tcW w:w="8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Leased</w:t>
            </w:r>
            <w:r>
              <w:rPr>
                <w:rFonts w:ascii="Times New Roman" w:cs="Times New Roman" w:eastAsia="Times New Roman" w:hAnsi="Times New Roman"/>
                <w:sz w:val="25"/>
                <w:szCs w:val="25"/>
                <w:color w:val="auto"/>
                <w:vertAlign w:val="superscript"/>
              </w:rPr>
              <w:t>1</w:t>
            </w:r>
          </w:p>
        </w:tc>
      </w:tr>
      <w:tr>
        <w:trPr>
          <w:trHeight w:val="316"/>
        </w:trPr>
        <w:tc>
          <w:tcPr>
            <w:tcW w:w="7000" w:type="dxa"/>
            <w:vAlign w:val="bottom"/>
            <w:shd w:val="clear" w:color="auto" w:fill="D2EEF5"/>
          </w:tcPr>
          <w:p>
            <w:pPr>
              <w:ind w:left="300"/>
              <w:spacing w:after="0"/>
              <w:rPr>
                <w:sz w:val="20"/>
                <w:szCs w:val="20"/>
                <w:color w:val="auto"/>
              </w:rPr>
            </w:pPr>
            <w:r>
              <w:rPr>
                <w:rFonts w:ascii="Times New Roman" w:cs="Times New Roman" w:eastAsia="Times New Roman" w:hAnsi="Times New Roman"/>
                <w:sz w:val="20"/>
                <w:szCs w:val="20"/>
                <w:color w:val="auto"/>
              </w:rPr>
              <w:t>Shoemakersville, PA, U.S.</w:t>
            </w:r>
          </w:p>
        </w:tc>
        <w:tc>
          <w:tcPr>
            <w:tcW w:w="140" w:type="dxa"/>
            <w:vAlign w:val="bottom"/>
            <w:gridSpan w:val="2"/>
            <w:shd w:val="clear" w:color="auto" w:fill="D2EEF5"/>
          </w:tcPr>
          <w:p>
            <w:pPr>
              <w:spacing w:after="0"/>
              <w:rPr>
                <w:sz w:val="24"/>
                <w:szCs w:val="24"/>
                <w:color w:val="auto"/>
              </w:rPr>
            </w:pPr>
          </w:p>
        </w:tc>
        <w:tc>
          <w:tcPr>
            <w:tcW w:w="15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rPr>
              <w:t>303,000</w:t>
            </w:r>
          </w:p>
        </w:tc>
        <w:tc>
          <w:tcPr>
            <w:tcW w:w="80" w:type="dxa"/>
            <w:vAlign w:val="bottom"/>
            <w:shd w:val="clear" w:color="auto" w:fill="D2EEF5"/>
          </w:tcPr>
          <w:p>
            <w:pPr>
              <w:spacing w:after="0"/>
              <w:rPr>
                <w:sz w:val="24"/>
                <w:szCs w:val="24"/>
                <w:color w:val="auto"/>
              </w:rPr>
            </w:pPr>
          </w:p>
        </w:tc>
        <w:tc>
          <w:tcPr>
            <w:tcW w:w="1600" w:type="dxa"/>
            <w:vAlign w:val="bottom"/>
            <w:shd w:val="clear" w:color="auto" w:fill="D2EEF5"/>
          </w:tcPr>
          <w:p>
            <w:pPr>
              <w:ind w:left="60"/>
              <w:spacing w:after="0"/>
              <w:rPr>
                <w:sz w:val="20"/>
                <w:szCs w:val="20"/>
                <w:color w:val="auto"/>
              </w:rPr>
            </w:pPr>
            <w:r>
              <w:rPr>
                <w:rFonts w:ascii="Times New Roman" w:cs="Times New Roman" w:eastAsia="Times New Roman" w:hAnsi="Times New Roman"/>
                <w:sz w:val="20"/>
                <w:szCs w:val="20"/>
                <w:color w:val="auto"/>
              </w:rPr>
              <w:t>Leased</w:t>
            </w:r>
            <w:r>
              <w:rPr>
                <w:rFonts w:ascii="Times New Roman" w:cs="Times New Roman" w:eastAsia="Times New Roman" w:hAnsi="Times New Roman"/>
                <w:sz w:val="25"/>
                <w:szCs w:val="25"/>
                <w:color w:val="auto"/>
                <w:vertAlign w:val="superscript"/>
              </w:rPr>
              <w:t>1</w:t>
            </w:r>
          </w:p>
        </w:tc>
      </w:tr>
      <w:tr>
        <w:trPr>
          <w:trHeight w:val="314"/>
        </w:trPr>
        <w:tc>
          <w:tcPr>
            <w:tcW w:w="70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Fontana, CA, U.S.</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147,000</w:t>
            </w:r>
          </w:p>
        </w:tc>
        <w:tc>
          <w:tcPr>
            <w:tcW w:w="8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Leased</w:t>
            </w:r>
            <w:r>
              <w:rPr>
                <w:rFonts w:ascii="Times New Roman" w:cs="Times New Roman" w:eastAsia="Times New Roman" w:hAnsi="Times New Roman"/>
                <w:sz w:val="25"/>
                <w:szCs w:val="25"/>
                <w:color w:val="auto"/>
                <w:vertAlign w:val="superscript"/>
              </w:rPr>
              <w:t>2</w:t>
            </w:r>
          </w:p>
        </w:tc>
      </w:tr>
      <w:tr>
        <w:trPr>
          <w:trHeight w:val="316"/>
        </w:trPr>
        <w:tc>
          <w:tcPr>
            <w:tcW w:w="7000" w:type="dxa"/>
            <w:vAlign w:val="bottom"/>
            <w:shd w:val="clear" w:color="auto" w:fill="D2EEF5"/>
          </w:tcPr>
          <w:p>
            <w:pPr>
              <w:ind w:left="300"/>
              <w:spacing w:after="0"/>
              <w:rPr>
                <w:sz w:val="20"/>
                <w:szCs w:val="20"/>
                <w:color w:val="auto"/>
              </w:rPr>
            </w:pPr>
            <w:r>
              <w:rPr>
                <w:rFonts w:ascii="Times New Roman" w:cs="Times New Roman" w:eastAsia="Times New Roman" w:hAnsi="Times New Roman"/>
                <w:sz w:val="20"/>
                <w:szCs w:val="20"/>
                <w:color w:val="auto"/>
              </w:rPr>
              <w:t>New Hudson, MI, U.S.</w:t>
            </w:r>
          </w:p>
        </w:tc>
        <w:tc>
          <w:tcPr>
            <w:tcW w:w="140" w:type="dxa"/>
            <w:vAlign w:val="bottom"/>
            <w:gridSpan w:val="2"/>
            <w:shd w:val="clear" w:color="auto" w:fill="D2EEF5"/>
          </w:tcPr>
          <w:p>
            <w:pPr>
              <w:spacing w:after="0"/>
              <w:rPr>
                <w:sz w:val="24"/>
                <w:szCs w:val="24"/>
                <w:color w:val="auto"/>
              </w:rPr>
            </w:pPr>
          </w:p>
        </w:tc>
        <w:tc>
          <w:tcPr>
            <w:tcW w:w="15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rPr>
              <w:t>126,000</w:t>
            </w:r>
          </w:p>
        </w:tc>
        <w:tc>
          <w:tcPr>
            <w:tcW w:w="80" w:type="dxa"/>
            <w:vAlign w:val="bottom"/>
            <w:shd w:val="clear" w:color="auto" w:fill="D2EEF5"/>
          </w:tcPr>
          <w:p>
            <w:pPr>
              <w:spacing w:after="0"/>
              <w:rPr>
                <w:sz w:val="24"/>
                <w:szCs w:val="24"/>
                <w:color w:val="auto"/>
              </w:rPr>
            </w:pPr>
          </w:p>
        </w:tc>
        <w:tc>
          <w:tcPr>
            <w:tcW w:w="1600" w:type="dxa"/>
            <w:vAlign w:val="bottom"/>
            <w:shd w:val="clear" w:color="auto" w:fill="D2EEF5"/>
          </w:tcPr>
          <w:p>
            <w:pPr>
              <w:ind w:left="60"/>
              <w:spacing w:after="0"/>
              <w:rPr>
                <w:sz w:val="20"/>
                <w:szCs w:val="20"/>
                <w:color w:val="auto"/>
              </w:rPr>
            </w:pPr>
            <w:r>
              <w:rPr>
                <w:rFonts w:ascii="Times New Roman" w:cs="Times New Roman" w:eastAsia="Times New Roman" w:hAnsi="Times New Roman"/>
                <w:sz w:val="20"/>
                <w:szCs w:val="20"/>
                <w:color w:val="auto"/>
              </w:rPr>
              <w:t>Leased</w:t>
            </w:r>
            <w:r>
              <w:rPr>
                <w:rFonts w:ascii="Times New Roman" w:cs="Times New Roman" w:eastAsia="Times New Roman" w:hAnsi="Times New Roman"/>
                <w:sz w:val="25"/>
                <w:szCs w:val="25"/>
                <w:color w:val="auto"/>
                <w:vertAlign w:val="superscript"/>
              </w:rPr>
              <w:t>2</w:t>
            </w:r>
          </w:p>
        </w:tc>
      </w:tr>
      <w:tr>
        <w:trPr>
          <w:trHeight w:val="314"/>
        </w:trPr>
        <w:tc>
          <w:tcPr>
            <w:tcW w:w="70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Gresham, OR, U.S.</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98,000</w:t>
            </w:r>
          </w:p>
        </w:tc>
        <w:tc>
          <w:tcPr>
            <w:tcW w:w="8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Leased</w:t>
            </w:r>
            <w:r>
              <w:rPr>
                <w:rFonts w:ascii="Times New Roman" w:cs="Times New Roman" w:eastAsia="Times New Roman" w:hAnsi="Times New Roman"/>
                <w:sz w:val="25"/>
                <w:szCs w:val="25"/>
                <w:color w:val="auto"/>
                <w:vertAlign w:val="superscript"/>
              </w:rPr>
              <w:t>3</w:t>
            </w:r>
          </w:p>
        </w:tc>
      </w:tr>
      <w:tr>
        <w:trPr>
          <w:trHeight w:val="316"/>
        </w:trPr>
        <w:tc>
          <w:tcPr>
            <w:tcW w:w="7000" w:type="dxa"/>
            <w:vAlign w:val="bottom"/>
            <w:shd w:val="clear" w:color="auto" w:fill="D2EEF5"/>
          </w:tcPr>
          <w:p>
            <w:pPr>
              <w:ind w:left="300"/>
              <w:spacing w:after="0"/>
              <w:rPr>
                <w:sz w:val="20"/>
                <w:szCs w:val="20"/>
                <w:color w:val="auto"/>
              </w:rPr>
            </w:pPr>
            <w:r>
              <w:rPr>
                <w:rFonts w:ascii="Times New Roman" w:cs="Times New Roman" w:eastAsia="Times New Roman" w:hAnsi="Times New Roman"/>
                <w:sz w:val="20"/>
                <w:szCs w:val="20"/>
                <w:color w:val="auto"/>
              </w:rPr>
              <w:t>Denver, CO, U.S.</w:t>
            </w:r>
          </w:p>
        </w:tc>
        <w:tc>
          <w:tcPr>
            <w:tcW w:w="140" w:type="dxa"/>
            <w:vAlign w:val="bottom"/>
            <w:gridSpan w:val="2"/>
            <w:shd w:val="clear" w:color="auto" w:fill="D2EEF5"/>
          </w:tcPr>
          <w:p>
            <w:pPr>
              <w:spacing w:after="0"/>
              <w:rPr>
                <w:sz w:val="24"/>
                <w:szCs w:val="24"/>
                <w:color w:val="auto"/>
              </w:rPr>
            </w:pPr>
          </w:p>
        </w:tc>
        <w:tc>
          <w:tcPr>
            <w:tcW w:w="15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rPr>
              <w:t>87,000</w:t>
            </w:r>
          </w:p>
        </w:tc>
        <w:tc>
          <w:tcPr>
            <w:tcW w:w="80" w:type="dxa"/>
            <w:vAlign w:val="bottom"/>
            <w:shd w:val="clear" w:color="auto" w:fill="D2EEF5"/>
          </w:tcPr>
          <w:p>
            <w:pPr>
              <w:spacing w:after="0"/>
              <w:rPr>
                <w:sz w:val="24"/>
                <w:szCs w:val="24"/>
                <w:color w:val="auto"/>
              </w:rPr>
            </w:pPr>
          </w:p>
        </w:tc>
        <w:tc>
          <w:tcPr>
            <w:tcW w:w="1600" w:type="dxa"/>
            <w:vAlign w:val="bottom"/>
            <w:shd w:val="clear" w:color="auto" w:fill="D2EEF5"/>
          </w:tcPr>
          <w:p>
            <w:pPr>
              <w:ind w:left="60"/>
              <w:spacing w:after="0"/>
              <w:rPr>
                <w:sz w:val="20"/>
                <w:szCs w:val="20"/>
                <w:color w:val="auto"/>
              </w:rPr>
            </w:pPr>
            <w:r>
              <w:rPr>
                <w:rFonts w:ascii="Times New Roman" w:cs="Times New Roman" w:eastAsia="Times New Roman" w:hAnsi="Times New Roman"/>
                <w:sz w:val="20"/>
                <w:szCs w:val="20"/>
                <w:color w:val="auto"/>
              </w:rPr>
              <w:t>Leased</w:t>
            </w:r>
            <w:r>
              <w:rPr>
                <w:rFonts w:ascii="Times New Roman" w:cs="Times New Roman" w:eastAsia="Times New Roman" w:hAnsi="Times New Roman"/>
                <w:sz w:val="25"/>
                <w:szCs w:val="25"/>
                <w:color w:val="auto"/>
                <w:vertAlign w:val="superscript"/>
              </w:rPr>
              <w:t>2</w:t>
            </w:r>
          </w:p>
        </w:tc>
      </w:tr>
      <w:tr>
        <w:trPr>
          <w:trHeight w:val="314"/>
        </w:trPr>
        <w:tc>
          <w:tcPr>
            <w:tcW w:w="70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Surrey, BC, Canada</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136,000</w:t>
            </w:r>
          </w:p>
        </w:tc>
        <w:tc>
          <w:tcPr>
            <w:tcW w:w="8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Leased</w:t>
            </w:r>
            <w:r>
              <w:rPr>
                <w:rFonts w:ascii="Times New Roman" w:cs="Times New Roman" w:eastAsia="Times New Roman" w:hAnsi="Times New Roman"/>
                <w:sz w:val="25"/>
                <w:szCs w:val="25"/>
                <w:color w:val="auto"/>
                <w:vertAlign w:val="superscript"/>
              </w:rPr>
              <w:t>1</w:t>
            </w:r>
          </w:p>
        </w:tc>
      </w:tr>
      <w:tr>
        <w:trPr>
          <w:trHeight w:val="316"/>
        </w:trPr>
        <w:tc>
          <w:tcPr>
            <w:tcW w:w="7000" w:type="dxa"/>
            <w:vAlign w:val="bottom"/>
            <w:shd w:val="clear" w:color="auto" w:fill="D2EEF5"/>
          </w:tcPr>
          <w:p>
            <w:pPr>
              <w:ind w:left="300"/>
              <w:spacing w:after="0"/>
              <w:rPr>
                <w:sz w:val="20"/>
                <w:szCs w:val="20"/>
                <w:color w:val="auto"/>
              </w:rPr>
            </w:pPr>
            <w:r>
              <w:rPr>
                <w:rFonts w:ascii="Times New Roman" w:cs="Times New Roman" w:eastAsia="Times New Roman" w:hAnsi="Times New Roman"/>
                <w:sz w:val="20"/>
                <w:szCs w:val="20"/>
                <w:color w:val="auto"/>
              </w:rPr>
              <w:t>Cambridge, ON, Canada</w:t>
            </w:r>
          </w:p>
        </w:tc>
        <w:tc>
          <w:tcPr>
            <w:tcW w:w="140" w:type="dxa"/>
            <w:vAlign w:val="bottom"/>
            <w:gridSpan w:val="2"/>
            <w:shd w:val="clear" w:color="auto" w:fill="D2EEF5"/>
          </w:tcPr>
          <w:p>
            <w:pPr>
              <w:spacing w:after="0"/>
              <w:rPr>
                <w:sz w:val="24"/>
                <w:szCs w:val="24"/>
                <w:color w:val="auto"/>
              </w:rPr>
            </w:pPr>
          </w:p>
        </w:tc>
        <w:tc>
          <w:tcPr>
            <w:tcW w:w="15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rPr>
              <w:t>53,000</w:t>
            </w:r>
          </w:p>
        </w:tc>
        <w:tc>
          <w:tcPr>
            <w:tcW w:w="80" w:type="dxa"/>
            <w:vAlign w:val="bottom"/>
            <w:shd w:val="clear" w:color="auto" w:fill="D2EEF5"/>
          </w:tcPr>
          <w:p>
            <w:pPr>
              <w:spacing w:after="0"/>
              <w:rPr>
                <w:sz w:val="24"/>
                <w:szCs w:val="24"/>
                <w:color w:val="auto"/>
              </w:rPr>
            </w:pPr>
          </w:p>
        </w:tc>
        <w:tc>
          <w:tcPr>
            <w:tcW w:w="1600" w:type="dxa"/>
            <w:vAlign w:val="bottom"/>
            <w:shd w:val="clear" w:color="auto" w:fill="D2EEF5"/>
          </w:tcPr>
          <w:p>
            <w:pPr>
              <w:ind w:left="60"/>
              <w:spacing w:after="0"/>
              <w:rPr>
                <w:sz w:val="20"/>
                <w:szCs w:val="20"/>
                <w:color w:val="auto"/>
              </w:rPr>
            </w:pPr>
            <w:r>
              <w:rPr>
                <w:rFonts w:ascii="Times New Roman" w:cs="Times New Roman" w:eastAsia="Times New Roman" w:hAnsi="Times New Roman"/>
                <w:sz w:val="20"/>
                <w:szCs w:val="20"/>
                <w:color w:val="auto"/>
              </w:rPr>
              <w:t>Leased</w:t>
            </w:r>
            <w:r>
              <w:rPr>
                <w:rFonts w:ascii="Times New Roman" w:cs="Times New Roman" w:eastAsia="Times New Roman" w:hAnsi="Times New Roman"/>
                <w:sz w:val="25"/>
                <w:szCs w:val="25"/>
                <w:color w:val="auto"/>
                <w:vertAlign w:val="superscript"/>
              </w:rPr>
              <w:t>4</w:t>
            </w:r>
          </w:p>
        </w:tc>
      </w:tr>
      <w:tr>
        <w:trPr>
          <w:trHeight w:val="308"/>
        </w:trPr>
        <w:tc>
          <w:tcPr>
            <w:tcW w:w="70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Zaragoza, Spain</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20,000</w:t>
            </w:r>
          </w:p>
        </w:tc>
        <w:tc>
          <w:tcPr>
            <w:tcW w:w="8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Owned</w:t>
            </w:r>
          </w:p>
        </w:tc>
      </w:tr>
      <w:tr>
        <w:trPr>
          <w:trHeight w:val="322"/>
        </w:trPr>
        <w:tc>
          <w:tcPr>
            <w:tcW w:w="7000" w:type="dxa"/>
            <w:vAlign w:val="bottom"/>
            <w:shd w:val="clear" w:color="auto" w:fill="D2EEF5"/>
          </w:tcPr>
          <w:p>
            <w:pPr>
              <w:ind w:left="60"/>
              <w:spacing w:after="0"/>
              <w:rPr>
                <w:sz w:val="20"/>
                <w:szCs w:val="20"/>
                <w:color w:val="auto"/>
              </w:rPr>
            </w:pPr>
            <w:r>
              <w:rPr>
                <w:rFonts w:ascii="Times New Roman" w:cs="Times New Roman" w:eastAsia="Times New Roman" w:hAnsi="Times New Roman"/>
                <w:sz w:val="20"/>
                <w:szCs w:val="20"/>
                <w:b w:val="1"/>
                <w:bCs w:val="1"/>
                <w:color w:val="auto"/>
              </w:rPr>
              <w:t>Manufacturing Facilities:</w:t>
            </w:r>
          </w:p>
        </w:tc>
        <w:tc>
          <w:tcPr>
            <w:tcW w:w="60" w:type="dxa"/>
            <w:vAlign w:val="bottom"/>
            <w:shd w:val="clear" w:color="auto" w:fill="D2EEF5"/>
          </w:tcPr>
          <w:p>
            <w:pPr>
              <w:spacing w:after="0"/>
              <w:rPr>
                <w:sz w:val="24"/>
                <w:szCs w:val="24"/>
                <w:color w:val="auto"/>
              </w:rPr>
            </w:pPr>
          </w:p>
        </w:tc>
        <w:tc>
          <w:tcPr>
            <w:tcW w:w="80" w:type="dxa"/>
            <w:vAlign w:val="bottom"/>
            <w:shd w:val="clear" w:color="auto" w:fill="D2EEF5"/>
          </w:tcPr>
          <w:p>
            <w:pPr>
              <w:spacing w:after="0"/>
              <w:rPr>
                <w:sz w:val="24"/>
                <w:szCs w:val="24"/>
                <w:color w:val="auto"/>
              </w:rPr>
            </w:pPr>
          </w:p>
        </w:tc>
        <w:tc>
          <w:tcPr>
            <w:tcW w:w="1540" w:type="dxa"/>
            <w:vAlign w:val="bottom"/>
            <w:shd w:val="clear" w:color="auto" w:fill="D2EEF5"/>
          </w:tcPr>
          <w:p>
            <w:pPr>
              <w:spacing w:after="0"/>
              <w:rPr>
                <w:sz w:val="24"/>
                <w:szCs w:val="24"/>
                <w:color w:val="auto"/>
              </w:rPr>
            </w:pPr>
          </w:p>
        </w:tc>
        <w:tc>
          <w:tcPr>
            <w:tcW w:w="80" w:type="dxa"/>
            <w:vAlign w:val="bottom"/>
            <w:shd w:val="clear" w:color="auto" w:fill="D2EEF5"/>
          </w:tcPr>
          <w:p>
            <w:pPr>
              <w:spacing w:after="0"/>
              <w:rPr>
                <w:sz w:val="24"/>
                <w:szCs w:val="24"/>
                <w:color w:val="auto"/>
              </w:rPr>
            </w:pPr>
          </w:p>
        </w:tc>
        <w:tc>
          <w:tcPr>
            <w:tcW w:w="1600" w:type="dxa"/>
            <w:vAlign w:val="bottom"/>
            <w:shd w:val="clear" w:color="auto" w:fill="D2EEF5"/>
          </w:tcPr>
          <w:p>
            <w:pPr>
              <w:spacing w:after="0"/>
              <w:rPr>
                <w:sz w:val="24"/>
                <w:szCs w:val="24"/>
                <w:color w:val="auto"/>
              </w:rPr>
            </w:pPr>
          </w:p>
        </w:tc>
      </w:tr>
      <w:tr>
        <w:trPr>
          <w:trHeight w:val="314"/>
        </w:trPr>
        <w:tc>
          <w:tcPr>
            <w:tcW w:w="70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Arcata, CA, U.S.</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76,000</w:t>
            </w:r>
          </w:p>
        </w:tc>
        <w:tc>
          <w:tcPr>
            <w:tcW w:w="8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Leased</w:t>
            </w:r>
            <w:r>
              <w:rPr>
                <w:rFonts w:ascii="Times New Roman" w:cs="Times New Roman" w:eastAsia="Times New Roman" w:hAnsi="Times New Roman"/>
                <w:sz w:val="25"/>
                <w:szCs w:val="25"/>
                <w:color w:val="auto"/>
                <w:vertAlign w:val="superscript"/>
              </w:rPr>
              <w:t>5</w:t>
            </w:r>
          </w:p>
        </w:tc>
      </w:tr>
      <w:tr>
        <w:trPr>
          <w:trHeight w:val="316"/>
        </w:trPr>
        <w:tc>
          <w:tcPr>
            <w:tcW w:w="7000" w:type="dxa"/>
            <w:vAlign w:val="bottom"/>
            <w:shd w:val="clear" w:color="auto" w:fill="D2EEF5"/>
          </w:tcPr>
          <w:p>
            <w:pPr>
              <w:ind w:left="300"/>
              <w:spacing w:after="0"/>
              <w:rPr>
                <w:sz w:val="20"/>
                <w:szCs w:val="20"/>
                <w:color w:val="auto"/>
              </w:rPr>
            </w:pPr>
            <w:r>
              <w:rPr>
                <w:rFonts w:ascii="Times New Roman" w:cs="Times New Roman" w:eastAsia="Times New Roman" w:hAnsi="Times New Roman"/>
                <w:sz w:val="20"/>
                <w:szCs w:val="20"/>
                <w:color w:val="auto"/>
              </w:rPr>
              <w:t>Eugene, OR, U.S.</w:t>
            </w:r>
          </w:p>
        </w:tc>
        <w:tc>
          <w:tcPr>
            <w:tcW w:w="140" w:type="dxa"/>
            <w:vAlign w:val="bottom"/>
            <w:gridSpan w:val="2"/>
            <w:shd w:val="clear" w:color="auto" w:fill="D2EEF5"/>
          </w:tcPr>
          <w:p>
            <w:pPr>
              <w:spacing w:after="0"/>
              <w:rPr>
                <w:sz w:val="24"/>
                <w:szCs w:val="24"/>
                <w:color w:val="auto"/>
              </w:rPr>
            </w:pPr>
          </w:p>
        </w:tc>
        <w:tc>
          <w:tcPr>
            <w:tcW w:w="15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rPr>
              <w:t>242,000</w:t>
            </w:r>
          </w:p>
        </w:tc>
        <w:tc>
          <w:tcPr>
            <w:tcW w:w="80" w:type="dxa"/>
            <w:vAlign w:val="bottom"/>
            <w:shd w:val="clear" w:color="auto" w:fill="D2EEF5"/>
          </w:tcPr>
          <w:p>
            <w:pPr>
              <w:spacing w:after="0"/>
              <w:rPr>
                <w:sz w:val="24"/>
                <w:szCs w:val="24"/>
                <w:color w:val="auto"/>
              </w:rPr>
            </w:pPr>
          </w:p>
        </w:tc>
        <w:tc>
          <w:tcPr>
            <w:tcW w:w="1600" w:type="dxa"/>
            <w:vAlign w:val="bottom"/>
            <w:shd w:val="clear" w:color="auto" w:fill="D2EEF5"/>
          </w:tcPr>
          <w:p>
            <w:pPr>
              <w:ind w:left="60"/>
              <w:spacing w:after="0"/>
              <w:rPr>
                <w:sz w:val="20"/>
                <w:szCs w:val="20"/>
                <w:color w:val="auto"/>
              </w:rPr>
            </w:pPr>
            <w:r>
              <w:rPr>
                <w:rFonts w:ascii="Times New Roman" w:cs="Times New Roman" w:eastAsia="Times New Roman" w:hAnsi="Times New Roman"/>
                <w:sz w:val="20"/>
                <w:szCs w:val="20"/>
                <w:color w:val="auto"/>
              </w:rPr>
              <w:t>Leased</w:t>
            </w:r>
          </w:p>
        </w:tc>
      </w:tr>
      <w:tr>
        <w:trPr>
          <w:trHeight w:val="302"/>
        </w:trPr>
        <w:tc>
          <w:tcPr>
            <w:tcW w:w="70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Edmonton, AB, Canada</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26,000</w:t>
            </w:r>
          </w:p>
        </w:tc>
        <w:tc>
          <w:tcPr>
            <w:tcW w:w="8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Leased</w:t>
            </w:r>
          </w:p>
        </w:tc>
      </w:tr>
    </w:tbl>
    <w:p>
      <w:pPr>
        <w:spacing w:after="0" w:line="163" w:lineRule="exact"/>
        <w:rPr>
          <w:sz w:val="20"/>
          <w:szCs w:val="20"/>
          <w:color w:val="auto"/>
        </w:rPr>
      </w:pPr>
    </w:p>
    <w:p>
      <w:pPr>
        <w:jc w:val="both"/>
        <w:ind w:left="240" w:hanging="89"/>
        <w:spacing w:after="0" w:line="288" w:lineRule="auto"/>
        <w:rPr>
          <w:sz w:val="20"/>
          <w:szCs w:val="20"/>
          <w:color w:val="auto"/>
        </w:rPr>
      </w:pPr>
      <w:r>
        <w:rPr>
          <w:rFonts w:ascii="Times New Roman" w:cs="Times New Roman" w:eastAsia="Times New Roman" w:hAnsi="Times New Roman"/>
          <w:sz w:val="20"/>
          <w:szCs w:val="20"/>
          <w:color w:val="auto"/>
        </w:rPr>
        <w:t>1 We maintain operations and inventory at this site. Additionally, we have one or more operating subleases or third-party logistics agreements at this location.</w:t>
      </w:r>
    </w:p>
    <w:p>
      <w:pPr>
        <w:spacing w:after="0" w:line="128" w:lineRule="exact"/>
        <w:rPr>
          <w:sz w:val="20"/>
          <w:szCs w:val="20"/>
          <w:color w:val="auto"/>
        </w:rPr>
      </w:pPr>
    </w:p>
    <w:p>
      <w:pPr>
        <w:jc w:val="both"/>
        <w:ind w:left="240" w:hanging="89"/>
        <w:spacing w:after="0" w:line="288" w:lineRule="auto"/>
        <w:rPr>
          <w:sz w:val="20"/>
          <w:szCs w:val="20"/>
          <w:color w:val="auto"/>
        </w:rPr>
      </w:pPr>
      <w:r>
        <w:rPr>
          <w:rFonts w:ascii="Times New Roman" w:cs="Times New Roman" w:eastAsia="Times New Roman" w:hAnsi="Times New Roman"/>
          <w:sz w:val="20"/>
          <w:szCs w:val="20"/>
          <w:color w:val="auto"/>
        </w:rPr>
        <w:t>2 We no longer operate this site as a primary distribution center, however we have, or are seeking, operating subleases or third party logistics agreements, and cross-docking arrangements at this site.</w:t>
      </w:r>
    </w:p>
    <w:p>
      <w:pPr>
        <w:spacing w:after="0" w:line="12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3 We have ceased operations at this facility, and plan to fully exit the site upon completion of the lease in the first quarter of</w:t>
      </w:r>
    </w:p>
    <w:p>
      <w:pPr>
        <w:spacing w:after="0" w:line="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auto"/>
        </w:rPr>
        <w:t>2026.</w:t>
      </w:r>
    </w:p>
    <w:p>
      <w:pPr>
        <w:spacing w:after="0" w:line="183" w:lineRule="exact"/>
        <w:rPr>
          <w:sz w:val="20"/>
          <w:szCs w:val="20"/>
          <w:color w:val="auto"/>
        </w:rPr>
      </w:pPr>
    </w:p>
    <w:p>
      <w:pPr>
        <w:jc w:val="both"/>
        <w:ind w:left="240" w:right="20" w:hanging="89"/>
        <w:spacing w:after="0" w:line="288" w:lineRule="auto"/>
        <w:rPr>
          <w:sz w:val="20"/>
          <w:szCs w:val="20"/>
          <w:color w:val="auto"/>
        </w:rPr>
      </w:pPr>
      <w:r>
        <w:rPr>
          <w:rFonts w:ascii="Times New Roman" w:cs="Times New Roman" w:eastAsia="Times New Roman" w:hAnsi="Times New Roman"/>
          <w:sz w:val="20"/>
          <w:szCs w:val="20"/>
          <w:color w:val="auto"/>
        </w:rPr>
        <w:t>4 We have subleased this property in its entirety to a tenant that provides us third-party logistics service on-site, allowing us to continue shipping our products from this location.</w:t>
      </w:r>
    </w:p>
    <w:p>
      <w:pPr>
        <w:spacing w:after="0" w:line="12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5 We have ceased operations at this facility, and plan to fully exit the site upon completion of the lease in the first half of 2026.</w:t>
      </w:r>
    </w:p>
    <w:p>
      <w:pPr>
        <w:spacing w:after="0" w:line="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auto"/>
        </w:rPr>
        <w:t>The manufacturing capabilities have been consolidated into our Eugene, OR facility.</w:t>
      </w:r>
    </w:p>
    <w:p>
      <w:pPr>
        <w:spacing w:after="0" w:line="184" w:lineRule="exact"/>
        <w:rPr>
          <w:sz w:val="20"/>
          <w:szCs w:val="20"/>
          <w:color w:val="auto"/>
        </w:rPr>
      </w:pPr>
    </w:p>
    <w:p>
      <w:pPr>
        <w:jc w:val="both"/>
        <w:ind w:left="160" w:firstLine="720"/>
        <w:spacing w:after="0" w:line="268" w:lineRule="auto"/>
        <w:rPr>
          <w:sz w:val="20"/>
          <w:szCs w:val="20"/>
          <w:color w:val="auto"/>
        </w:rPr>
      </w:pPr>
      <w:r>
        <w:rPr>
          <w:rFonts w:ascii="Times New Roman" w:cs="Times New Roman" w:eastAsia="Times New Roman" w:hAnsi="Times New Roman"/>
          <w:sz w:val="20"/>
          <w:szCs w:val="20"/>
          <w:color w:val="auto"/>
        </w:rPr>
        <w:t>In addition we own approximately 120 acres of land, including a 21,000 square foot building, in Goshen, NY, a majority of which is suitable for future industrial/commercial development located adjacent to our building. We ceased operations at this facility during the second quarter of 2024.</w:t>
      </w:r>
    </w:p>
    <w:p>
      <w:pPr>
        <w:spacing w:after="0" w:line="344" w:lineRule="exact"/>
        <w:rPr>
          <w:sz w:val="20"/>
          <w:szCs w:val="20"/>
          <w:color w:val="auto"/>
        </w:rPr>
      </w:pPr>
    </w:p>
    <w:p>
      <w:pPr>
        <w:ind w:left="160"/>
        <w:spacing w:after="0"/>
        <w:tabs>
          <w:tab w:leader="none" w:pos="156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20"/>
          <w:szCs w:val="20"/>
          <w:b w:val="1"/>
          <w:bCs w:val="1"/>
          <w:color w:val="auto"/>
        </w:rPr>
        <w:t>LEGAL PROCEEDINGS</w:t>
      </w:r>
    </w:p>
    <w:p>
      <w:pPr>
        <w:spacing w:after="0" w:line="216" w:lineRule="exact"/>
        <w:rPr>
          <w:sz w:val="20"/>
          <w:szCs w:val="20"/>
          <w:color w:val="auto"/>
        </w:rPr>
      </w:pPr>
    </w:p>
    <w:p>
      <w:pPr>
        <w:jc w:val="both"/>
        <w:ind w:left="160" w:firstLine="720"/>
        <w:spacing w:after="0" w:line="268" w:lineRule="auto"/>
        <w:rPr>
          <w:sz w:val="20"/>
          <w:szCs w:val="20"/>
          <w:color w:val="auto"/>
        </w:rPr>
      </w:pPr>
      <w:r>
        <w:rPr>
          <w:rFonts w:ascii="Times New Roman" w:cs="Times New Roman" w:eastAsia="Times New Roman" w:hAnsi="Times New Roman"/>
          <w:sz w:val="20"/>
          <w:szCs w:val="20"/>
          <w:color w:val="auto"/>
        </w:rPr>
        <w:t>From time to time, we may become involved in various lawsuits and legal proceedings, which arise in the ordinary course of business. We are currently not aware of any legal proceedings or claims that we believe will have a material adverse effect on our business, financial condition or operating results.</w:t>
      </w:r>
    </w:p>
    <w:p>
      <w:pPr>
        <w:spacing w:after="0" w:line="344" w:lineRule="exact"/>
        <w:rPr>
          <w:sz w:val="20"/>
          <w:szCs w:val="20"/>
          <w:color w:val="auto"/>
        </w:rPr>
      </w:pPr>
    </w:p>
    <w:p>
      <w:pPr>
        <w:ind w:left="160"/>
        <w:spacing w:after="0"/>
        <w:tabs>
          <w:tab w:leader="none" w:pos="158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MINE SAFETY DISCLOSURES</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10420"/>
          </w:cols>
          <w:pgMar w:left="840" w:top="43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10420"/>
          </w:cols>
          <w:pgMar w:left="840" w:top="430" w:right="980" w:bottom="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1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w:t>
      </w:r>
    </w:p>
    <w:p>
      <w:pPr>
        <w:spacing w:after="0" w:line="214"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Our common stock began trading on The Nasdaq Global Select Market under the symbol "HYFM" on December 10, 2020. Prior to that date, there was no public trading market for our common stock. On February 12, 2025, the Company effected a one-for-ten reverse stock split of its common stock, whereby each lot of ten shares of common stock issued and outstanding immediately prior to the reverse stock split was converted into and became one share of common stock. In lieu of issuing any fractional shares, any stockholder entitled to receive less than one share of common stock received cash for such stockholder’s fractional share. There was no change to the par value of $0.0001.</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Holders of our Common Stock</w:t>
      </w:r>
    </w:p>
    <w:p>
      <w:pPr>
        <w:spacing w:after="0" w:line="213" w:lineRule="exact"/>
        <w:rPr>
          <w:sz w:val="20"/>
          <w:szCs w:val="20"/>
          <w:color w:val="auto"/>
        </w:rPr>
      </w:pPr>
    </w:p>
    <w:p>
      <w:pPr>
        <w:jc w:val="both"/>
        <w:ind w:firstLine="720"/>
        <w:spacing w:after="0" w:line="269" w:lineRule="auto"/>
        <w:rPr>
          <w:sz w:val="20"/>
          <w:szCs w:val="20"/>
          <w:color w:val="auto"/>
        </w:rPr>
      </w:pPr>
      <w:r>
        <w:rPr>
          <w:rFonts w:ascii="Times New Roman" w:cs="Times New Roman" w:eastAsia="Times New Roman" w:hAnsi="Times New Roman"/>
          <w:sz w:val="20"/>
          <w:szCs w:val="20"/>
          <w:color w:val="auto"/>
        </w:rPr>
        <w:t>As of March 20, 2026, there were approximately 74 stockholders of record of our common stock. The number of stockholders of record does not include beneficial owners of our securities whose shares are held in the name of various security brokers, dealers and registered clearing agencies.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214"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We have never declared or paid any dividends on our common stock. We currently intend to retain all available funds and any future earnings for the operation of our business. Accordingly, we do not anticipate declaring or paying dividends in the foreseeable future. The payment of any future dividends will be at the discretion of our board of directors and will depend on our results of operations, capital requirements, financial condition, prospects, contractual arrangements, any limitations on payment of dividends present in any debt agreements, and other factors that our board of directors may deem relevant.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Sales of Unregistered Securities</w:t>
      </w:r>
    </w:p>
    <w:p>
      <w:pPr>
        <w:spacing w:after="0" w:line="21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21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206"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20"/>
          <w:szCs w:val="20"/>
          <w:b w:val="1"/>
          <w:bCs w:val="1"/>
          <w:color w:val="auto"/>
        </w:rPr>
        <w:t>RESERVED</w:t>
      </w:r>
    </w:p>
    <w:p>
      <w:pPr>
        <w:spacing w:after="0" w:line="21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Reserved.</w:t>
      </w:r>
    </w:p>
    <w:p>
      <w:pPr>
        <w:sectPr>
          <w:pgSz w:w="12240" w:h="15840" w:orient="portrait"/>
          <w:cols w:equalWidth="0" w:num="1">
            <w:col w:w="10260"/>
          </w:cols>
          <w:pgMar w:left="1000" w:top="43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10260"/>
          </w:cols>
          <w:pgMar w:left="1000" w:top="430" w:right="980" w:bottom="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87" w:lineRule="exact"/>
        <w:rPr>
          <w:sz w:val="20"/>
          <w:szCs w:val="20"/>
          <w:color w:val="auto"/>
        </w:rPr>
      </w:pPr>
    </w:p>
    <w:p>
      <w:pPr>
        <w:ind w:right="240"/>
        <w:spacing w:after="0" w:line="296" w:lineRule="auto"/>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119"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i w:val="1"/>
          <w:iCs w:val="1"/>
          <w:color w:val="auto"/>
        </w:rPr>
        <w:t>The following discussion and analysis provides information that we believe is relevant to an assessment and understanding of our results of operations and financial condition. You should read this analysis in conjunction with our audited consolidated financial statements and the notes contained elsewhere in this Annual Report on Form 10-K. This discussion and analysis contains statements of a forward-looking nature relating to future events or our future financial performance. Actual events or results may differ materially from forward-looking statements. In evaluating such statements, you should carefully consider the various factors identified in this Annual Report on Form 10-K, which could cause actual results to differ materially from those expressed in, or implied by, any forward-looking statements, including those set forth in "Risk Factors" in this Annual Report on Form 10-K. See "Special Note Regarding Forward-Looking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Company Overview</w:t>
      </w:r>
    </w:p>
    <w:p>
      <w:pPr>
        <w:spacing w:after="0" w:line="214"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We are a leading independent manufacturer and distributor of branded hydroponics equipment and supplies for controlled environment agriculture, including grow lights, climate control solutions, grow media and nutrients, as well as a broad portfolio of innovative, proprietary branded products. We primarily serve the U.S. and Canadian markets, and believe we are one of the leading companies in these markets in an otherwise fragmented industry. For over 40 years, we have helped growers make growing easier and more productive. Our mission is to empower growers, farmers and cultivators with products that enable greater quality, efficiency, consistency, and speed in their grow projects.</w:t>
      </w:r>
    </w:p>
    <w:p>
      <w:pPr>
        <w:spacing w:after="0" w:line="157"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Hydroponics is the farming of plants using soilless grow media and often artificial lighting in a controlled indoor or greenhouse environment. Hydroponics is the primary category of CEA and we use the terms CEA and hydroponics interchangeably. Our products are used to grow, farm, and cultivate cannabis, flowers, fruits, plants, vegetables, grains, and herbs in controlled environment settings that allow end users to control key farming variables including temperature, humidity, CO</w:t>
      </w:r>
      <w:r>
        <w:rPr>
          <w:rFonts w:ascii="Times New Roman" w:cs="Times New Roman" w:eastAsia="Times New Roman" w:hAnsi="Times New Roman"/>
          <w:sz w:val="12"/>
          <w:szCs w:val="12"/>
          <w:color w:val="auto"/>
        </w:rPr>
        <w:t>2</w:t>
      </w:r>
      <w:r>
        <w:rPr>
          <w:rFonts w:ascii="Times New Roman" w:cs="Times New Roman" w:eastAsia="Times New Roman" w:hAnsi="Times New Roman"/>
          <w:sz w:val="20"/>
          <w:szCs w:val="20"/>
          <w:color w:val="auto"/>
        </w:rPr>
        <w:t>, light intensity spectrum, nutrient concentration and pH. Through CEA, growers are able to be more efficient with physical space, water and resources, while enjoying year-round and more rapid grow cycles as well as more predictable and abundant grow yields, when compared to other traditional growing methods.</w:t>
      </w:r>
    </w:p>
    <w:p>
      <w:pPr>
        <w:spacing w:after="0" w:line="162"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We reach commercial farmers and consumers through a broad and diversified network of over 1,800 wholesale customer accounts, who we connect with primarily through our proprietary online ordering platform. Our products are distributed across the United States and Canada through a diversified range of retailers of commercial and home gardening equipment and supplies. Our customers include specialty hydroponic retailers, commercial resellers and greenhouse builders, garden centers, hardware stores, and e-commerce retailers. Specialty hydroponic retailers can provide growers with specialized merchandise assortments and knowledgeable staff.</w:t>
      </w:r>
    </w:p>
    <w:p>
      <w:pPr>
        <w:spacing w:after="0" w:line="157"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 xml:space="preserve">We have incurred recurring operating losses, negative cash flows from operations, and have significant debt obligations due within the next twelve months. These conditions and events, considered in the aggregate, raise substantial doubt about our ability to continue as a going concern. See Note 2 – </w:t>
      </w:r>
      <w:r>
        <w:rPr>
          <w:rFonts w:ascii="Times New Roman" w:cs="Times New Roman" w:eastAsia="Times New Roman" w:hAnsi="Times New Roman"/>
          <w:sz w:val="20"/>
          <w:szCs w:val="20"/>
          <w:i w:val="1"/>
          <w:iCs w:val="1"/>
          <w:color w:val="auto"/>
        </w:rPr>
        <w:t>Liquidity and Going Concern</w:t>
      </w:r>
      <w:r>
        <w:rPr>
          <w:rFonts w:ascii="Times New Roman" w:cs="Times New Roman" w:eastAsia="Times New Roman" w:hAnsi="Times New Roman"/>
          <w:sz w:val="20"/>
          <w:szCs w:val="20"/>
          <w:color w:val="auto"/>
        </w:rPr>
        <w:t xml:space="preserve"> to our audited consolidated financial statements and our independent registered public accounting firm report included elsewhere in this Annual Report on Form 10-K for additional information.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Subsequent Events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Term Loan</w:t>
      </w:r>
    </w:p>
    <w:p>
      <w:pPr>
        <w:spacing w:after="0" w:line="208"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 xml:space="preserve">We and certain of our subsidiaries (the “Subsidiary Obligors”) entered into Credit and Guaranty Agreement with JPMorgan Chase Bank, N.A. (“JPMorgan”) as administrative agent for the lenders, pursuant to which we borrowed a $125 million senior secured term loan (the “Term Loan”), which was subsequently amended. On February 4, 2026, we elected to defer making the interest payment of approximately $2.8 million on the Term Loan. As a result of our failure to pay the interest within the grace period, an event of default occurred with respect to the Term Loan. On February 11, 2026, the lenders, through the administrative agent, notified us of such event of default and informed us that the administrative agent or the collateral agent may exercise any rights and remedies provided under the Credit and Guaranty Agreement and related financing documents, but it did not seek to enforce such remedies as of such time. See </w:t>
      </w:r>
      <w:r>
        <w:rPr>
          <w:rFonts w:ascii="Times New Roman" w:cs="Times New Roman" w:eastAsia="Times New Roman" w:hAnsi="Times New Roman"/>
          <w:sz w:val="20"/>
          <w:szCs w:val="20"/>
          <w:i w:val="1"/>
          <w:iCs w:val="1"/>
          <w:color w:val="auto"/>
        </w:rPr>
        <w:t>—Liquidity and Capital Resources</w:t>
      </w:r>
      <w:r>
        <w:rPr>
          <w:rFonts w:ascii="Times New Roman" w:cs="Times New Roman" w:eastAsia="Times New Roman" w:hAnsi="Times New Roman"/>
          <w:sz w:val="20"/>
          <w:szCs w:val="20"/>
          <w:color w:val="auto"/>
        </w:rPr>
        <w:t xml:space="preserve"> for additional information.</w:t>
      </w:r>
    </w:p>
    <w:p>
      <w:pPr>
        <w:spacing w:after="0" w:line="161" w:lineRule="exact"/>
        <w:rPr>
          <w:sz w:val="20"/>
          <w:szCs w:val="20"/>
          <w:color w:val="auto"/>
        </w:rPr>
      </w:pPr>
    </w:p>
    <w:p>
      <w:pPr>
        <w:jc w:val="both"/>
        <w:ind w:firstLine="720"/>
        <w:spacing w:after="0" w:line="262" w:lineRule="auto"/>
        <w:rPr>
          <w:sz w:val="20"/>
          <w:szCs w:val="20"/>
          <w:color w:val="auto"/>
        </w:rPr>
      </w:pPr>
      <w:r>
        <w:rPr>
          <w:rFonts w:ascii="Times New Roman" w:cs="Times New Roman" w:eastAsia="Times New Roman" w:hAnsi="Times New Roman"/>
          <w:sz w:val="20"/>
          <w:szCs w:val="20"/>
          <w:color w:val="auto"/>
        </w:rPr>
        <w:t>In addition, on February 10, 2026, JPMorgan issued a notice to the Company and Lenders of its resignation as Administrative Agent and Collateral Agent under the Credit and Guaranty Agreement. Such resignation became effective on March 12, 2026, when FEAC Agent, LLC was appointed as the successor agent for the Lenders in accordance with Section 9 of the Credit and Guaranty Agreement.</w:t>
      </w:r>
    </w:p>
    <w:p>
      <w:pPr>
        <w:sectPr>
          <w:pgSz w:w="12240" w:h="15840" w:orient="portrait"/>
          <w:cols w:equalWidth="0" w:num="1">
            <w:col w:w="10260"/>
          </w:cols>
          <w:pgMar w:left="1000" w:top="430" w:right="980" w:bottom="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10260"/>
          </w:cols>
          <w:pgMar w:left="1000" w:top="430" w:right="980" w:bottom="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Revolving Credit Facility</w:t>
      </w:r>
    </w:p>
    <w:p>
      <w:pPr>
        <w:spacing w:after="0" w:line="208"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On February 17, 2026, we entered into an agreement (the "Termination Agreement") to terminate that certain Credit Agreement, dated as of March 29, 2021, as amended, by among JPMorgan, as administrative agent, issuing bank and swingline lender, the other loan parties from time to time party thereto and the lenders from time to time party thereto (the "Revolving Credit Agreement"). Pursuant to the terms of the Termination Agreement, the parties agreed to terminate the Revolving Credit Agreement subject to the survival of each of the provisions of the Revolving Credit Agreement and Loan Documents (as defined in the Revolving Credit Agreement) and in the certificates delivered in connection with or pursuant to the Revolving Credit Agreement that survive termination of the Revolving Credit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Conditions</w:t>
      </w:r>
    </w:p>
    <w:p>
      <w:pPr>
        <w:spacing w:after="0" w:line="214"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We have experienced adverse financial results which we believe are primarily a result of an agricultural oversupply impacting our market and resulting in a decrease in indoor and outdoor cultivation. The extent these market conditions will continue to negatively impact our business and results of operations is uncertain and difficult to predict at this time. We believe COVID-19 may have provided a positive demand impact for the Company in 2020 and 2021 from shelter-in-place orders in the United States, a possible negative supply chain impact from workforce disruption at international and domestic suppliers, and a possible negative growth rate impact in the periods since due to agricultural oversupply initiated during the height of COVID-related shelter-in-place orders in 2020 and 2021. In addition, we believe demand for our products has been negatively impacted by the extended period to enact reform of U.S. federal regulations, including cannabis rescheduling, which have been slow to develop and possibly leading cannabis operators to reduce investments in our products, particularly durable goods. In addition, we believe our financial results have been negatively impacted by hydroponic retail store closings and, in some cases, associated accounts receivable allowances.</w:t>
      </w:r>
    </w:p>
    <w:p>
      <w:pPr>
        <w:spacing w:after="0" w:line="163"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During the fourth quarter of fiscal 2025, as a result of industry conditions, primarily attributable to an agricultural oversupply impacting our market and resulting in a decrease in indoor and outdoor cultivation, as well as continued declines in operating cash flows and profitability, we assessed our long-lived assets for impairment and recorded an impairment charge of $232.2 million. Of the impairment charge, $228.4 million was related to finite-lived intangible assets and $3.8 million was related to property, plant, and equipment. The loss was recorded in Impairments in the consolidated statement of operations for the year ended December 31, 2025. We estimated fair value based on the income approach and market approach. Under the income approach, we estimated the fair value of the asset group on the present value of estimated future cash flows, which we considered to be a level 3 unobservable input in the fair value hierarchy.</w:t>
      </w:r>
    </w:p>
    <w:p>
      <w:pPr>
        <w:spacing w:after="0" w:line="164"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As a result of the continued adverse market conditions, we began a restructuring plan in 2023 (the "2023 Restructuring Plan"), and undertook significant actions to streamline operations, reduce costs and improve efficiencies. Restructuring actions in the 2023 Restructuring Plan were primarily U.S. manufacturing facility consolidations, in particular with respect to our production of certain durable equipment products. Restructuring activities included termination and disposal costs associated with inventory, facilities, and headcount reductions, and non-cash charges consisting of fixed asset and inventory write-downs. Total costs incurred relating to the 2023 Restructuring Plan, from its commencement through completion in the first quarter of 2025 were (i) $9.7 million of non-cash charges relating primarily to inventory markdowns, and (ii) $2.0 million of cash charges relating primarily to the consolidation of U.S. manufacturing facilities.</w:t>
      </w:r>
    </w:p>
    <w:p>
      <w:pPr>
        <w:spacing w:after="0" w:line="166"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In 2024, we evaluated alternatives to maximize the recovery value of our assets and the cost structure associated with manufacturing our Innovative Growers Equipment ("IGE") branded durable equipment products. In the second quarter of 2024, we entered into an agreement (the "Purchase Agreement") with CM Fabrication, LLC (the "Buyer") to sell the inventories, and property, plant and equipment associated with our IGE branded products for approximately $8.7 million (the "IGE Asset Sale"), while retaining our proprietary brand and customer relationships. In connection with the IGE Asset Sale, we entered into an exclusive supply agreement with the Buyer, pursuant to which the Buyer provides contract manufacturing and we continue to sell our proprietary branded durable products, which include horticulture benches, racking and LED lighting systems.</w:t>
      </w:r>
    </w:p>
    <w:p>
      <w:pPr>
        <w:spacing w:after="0" w:line="163"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During the second quarter of 2025, we initiated the 2025 Restructuring Plan to reduce our product portfolio and operational footprint to decrease costs and improve efficiency. The 2025 Restructuring Plan actions entail (i) eliminating a significant portion of our product portfolio, primarily underperforming distributed brands, to improve supply chain and operational focus, (ii) further reductions in our distribution center network and manufacturing footprint, and (iii) corresponding headcount reductions. We incurred estimated restructuring costs of $5.2 million during the year ended December 31, 2025, for the 2025 Restructuring Plan. The charges were primarily associated with non-cash inventory write-downs, which were recorded in cost of goods sold on the condensed consolidated statements of operations, and cash charges which primarily comprised of charges incurred to relocate and terminate certain facilities. We anticipate the 2025 Restructuring Plan and related actions may result in additional restructuring charges of up to $3 million, primarily cash related, and annual cost savings of over $6 million plus additional working capital benefits. The 2025 Restructuring Plan is expected be completed by the end of 2026.</w:t>
      </w:r>
    </w:p>
    <w:p>
      <w:pPr>
        <w:sectPr>
          <w:pgSz w:w="12240" w:h="15840" w:orient="portrait"/>
          <w:cols w:equalWidth="0" w:num="1">
            <w:col w:w="10260"/>
          </w:cols>
          <w:pgMar w:left="1000" w:top="430" w:right="980" w:bottom="0" w:gutter="0" w:footer="0" w:header="0"/>
        </w:sectPr>
      </w:pPr>
    </w:p>
    <w:p>
      <w:pPr>
        <w:spacing w:after="0" w:line="32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10260"/>
          </w:cols>
          <w:pgMar w:left="1000" w:top="430" w:right="980" w:bottom="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91"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We continue to evaluate our product portfolio and supply chain, in order to improve efficiency, lower our costs and reduce footprint. We are also evaluating other opportunities to sell excess owned land, not currently being used in operations, to supplement our cash position and potential contract manufacturing or other outsourcing arrangements. Depending on the length and severity of the industry and market conditions, including the fluid and complex international tariff and trade policies, impacting our business, our ability to successfully negotiate with lenders and key vendors, and the pursuit of additional financing or strategic alternatives, it is possible we may execute additional restructuring plan actions and incur future associated charges, and we may not be able to realize the full extent of our anticipated cost savings.</w:t>
      </w:r>
    </w:p>
    <w:p>
      <w:pPr>
        <w:spacing w:after="0" w:line="163"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 xml:space="preserve">Additionally, the amount we will ultimately realize as benefits associated with our restructuring plans could differ materially from our estimates, and we may incur additional non-cash charges in future periods depending on our ability to execute asset sales or pursue other alternatives. For additional information, see </w:t>
      </w:r>
      <w:r>
        <w:rPr>
          <w:rFonts w:ascii="Times New Roman" w:cs="Times New Roman" w:eastAsia="Times New Roman" w:hAnsi="Times New Roman"/>
          <w:sz w:val="20"/>
          <w:szCs w:val="20"/>
          <w:i w:val="1"/>
          <w:iCs w:val="1"/>
          <w:color w:val="auto"/>
        </w:rPr>
        <w:t>Part I, Item 1A, Risk Factors</w:t>
      </w:r>
      <w:r>
        <w:rPr>
          <w:rFonts w:ascii="Times New Roman" w:cs="Times New Roman" w:eastAsia="Times New Roman" w:hAnsi="Times New Roman"/>
          <w:sz w:val="20"/>
          <w:szCs w:val="20"/>
          <w:color w:val="auto"/>
        </w:rPr>
        <w:t xml:space="preserve"> included in this Annual Report on Form 10-K, including the risk entitled “</w:t>
      </w:r>
      <w:r>
        <w:rPr>
          <w:rFonts w:ascii="Times New Roman" w:cs="Times New Roman" w:eastAsia="Times New Roman" w:hAnsi="Times New Roman"/>
          <w:sz w:val="20"/>
          <w:szCs w:val="20"/>
          <w:i w:val="1"/>
          <w:iCs w:val="1"/>
          <w:color w:val="auto"/>
        </w:rPr>
        <w:t>Our restructuring activities may increase our expenses and cash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expenditures, and may not have the intended effects.</w:t>
      </w:r>
      <w:r>
        <w:rPr>
          <w:rFonts w:ascii="Times New Roman" w:cs="Times New Roman" w:eastAsia="Times New Roman" w:hAnsi="Times New Roman"/>
          <w:sz w:val="20"/>
          <w:szCs w:val="20"/>
          <w:color w:val="auto"/>
        </w:rPr>
        <w:t>”</w:t>
      </w:r>
    </w:p>
    <w:p>
      <w:pPr>
        <w:spacing w:after="0" w:line="158"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We maintain an allowance for excess and obsolete inventory that is based upon assumptions about future demand and market conditions. While we believe our estimates of charges relating to our 2025 Restructuring Plan, long-lived assets, inventory obsolescence, and accounts receivable allowances are reasonable, it is possible that we may incur additional charges in the future and actual results may differ significantly from these estimates and assumptions. Depending on the length and severity of the industry and market conditions impacting our business, it is possible we may execute additional restructuring plan actions and incur future associated charges, and we may not be able to realize the full extent of our anticipated cost savings.</w:t>
      </w:r>
    </w:p>
    <w:p>
      <w:pPr>
        <w:spacing w:after="0" w:line="163"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We are closely monitoring the recent tariff and trade policy actions taken by the United States and foreign governments. The situation remains fluid due to the rapidly changing global trade environment, and we continue to evaluate the potential implications of these actions on our business including net sales and profitability. High tariffs on imported products from China or other countries, or new tariffs from other countries, have impacted and could impact the cost of certain products and may negatively impact our financial performance. We have been able to help mitigate the impacts of tariffs through negotiations with vendors, and through passing nominal price increases to our customers, but we may be unable to quickly and effectively react to additional tariff and trade policy actions which may impact our business.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Filing Status</w:t>
      </w:r>
    </w:p>
    <w:p>
      <w:pPr>
        <w:spacing w:after="0" w:line="213" w:lineRule="exact"/>
        <w:rPr>
          <w:sz w:val="20"/>
          <w:szCs w:val="20"/>
          <w:color w:val="auto"/>
        </w:rPr>
      </w:pPr>
    </w:p>
    <w:p>
      <w:pPr>
        <w:jc w:val="both"/>
        <w:ind w:firstLine="767"/>
        <w:spacing w:after="0" w:line="260" w:lineRule="auto"/>
        <w:rPr>
          <w:sz w:val="20"/>
          <w:szCs w:val="20"/>
          <w:color w:val="auto"/>
        </w:rPr>
      </w:pPr>
      <w:r>
        <w:rPr>
          <w:rFonts w:ascii="Times New Roman" w:cs="Times New Roman" w:eastAsia="Times New Roman" w:hAnsi="Times New Roman"/>
          <w:sz w:val="20"/>
          <w:szCs w:val="20"/>
          <w:color w:val="auto"/>
        </w:rPr>
        <w:t>We qualify as a smaller reporting company in accordance with Rule 12b-2 under the Exchange Act, and have elected to follow certain of the scaled-back disclosure accommodations within this Annual Report on Form 10-K. As a result, our annual assessment of the effectiveness of our internal control over financial reporting does not require an audit by our external audit firm in compliance with the provisions of Section 404 of the Sarbanes-Oxley Act of 2002 for this Annual Report on Form 10-K for the year ended December 31, 2025.</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Components of Results of Operations</w:t>
      </w:r>
    </w:p>
    <w:p>
      <w:pPr>
        <w:spacing w:after="0" w:line="21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Net sales</w:t>
      </w:r>
    </w:p>
    <w:p>
      <w:pPr>
        <w:spacing w:after="0" w:line="209" w:lineRule="exact"/>
        <w:rPr>
          <w:sz w:val="20"/>
          <w:szCs w:val="20"/>
          <w:color w:val="auto"/>
        </w:rPr>
      </w:pPr>
    </w:p>
    <w:p>
      <w:pPr>
        <w:jc w:val="both"/>
        <w:ind w:firstLine="720"/>
        <w:spacing w:after="0" w:line="263" w:lineRule="auto"/>
        <w:rPr>
          <w:sz w:val="20"/>
          <w:szCs w:val="20"/>
          <w:color w:val="auto"/>
        </w:rPr>
      </w:pPr>
      <w:r>
        <w:rPr>
          <w:rFonts w:ascii="Times New Roman" w:cs="Times New Roman" w:eastAsia="Times New Roman" w:hAnsi="Times New Roman"/>
          <w:sz w:val="20"/>
          <w:szCs w:val="20"/>
          <w:color w:val="auto"/>
        </w:rPr>
        <w:t>We generate net sales from the manufacturing and distribution of hydroponic equipment and supplies to our customers. The hydroponic equipment and supplies that we sell include consumable products, such as grow media, nutrients and supplies that are subject to regular replenishment and durable products, such as lighting and equipment. Our scale allows us to provide delivery and service capabilities to our customers primarily in the U.S. and Canada.</w:t>
      </w:r>
    </w:p>
    <w:p>
      <w:pPr>
        <w:spacing w:after="0" w:line="152"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We periodically offer sales incentives to our customers, including early pay discounts, volume-based rebates, temporary price reductions, advertising credits and other trade activities. Net sales reflect our gross sales less sales incentives which are estimated and recorded at the time of sale plus amounts billed to customers for shipping and handling costs. We anticipate that sales incentives and/or the amount billed to customers for shipping and handling costs could impact our net sales and that changes in such promotional activities or freight recovery charges could impact period-over-period results.</w:t>
      </w:r>
    </w:p>
    <w:p>
      <w:pPr>
        <w:spacing w:after="0" w:line="15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Cost of goods sold</w:t>
      </w:r>
    </w:p>
    <w:p>
      <w:pPr>
        <w:spacing w:after="0" w:line="209"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Cost of goods sold consists primarily of material costs, inbound and outbound freight costs, labor costs primarily for manufacturing and warehouse personnel, facility costs for manufacturing operations, depreciation, depletion and amortization of manufacturing and warehouse improvements and equipment, restructuring costs, and inventory allowances. We expect that our cost of goods sold would increase in absolute dollars in conjunction with net sales growth when/if that occurs in the future. However, we expect that, over time, cost of goods sold may decrease as a percentage of net sales if we achieve higher</w:t>
      </w:r>
    </w:p>
    <w:p>
      <w:pPr>
        <w:sectPr>
          <w:pgSz w:w="12240" w:h="15840" w:orient="portrait"/>
          <w:cols w:equalWidth="0" w:num="1">
            <w:col w:w="10260"/>
          </w:cols>
          <w:pgMar w:left="1000" w:top="430" w:right="980" w:bottom="0" w:gutter="0" w:footer="0" w:header="0"/>
        </w:sectPr>
      </w:pPr>
    </w:p>
    <w:p>
      <w:pPr>
        <w:spacing w:after="0" w:line="200" w:lineRule="exact"/>
        <w:rPr>
          <w:sz w:val="20"/>
          <w:szCs w:val="20"/>
          <w:color w:val="auto"/>
        </w:rPr>
      </w:pPr>
    </w:p>
    <w:p>
      <w:pPr>
        <w:spacing w:after="0" w:line="26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10260"/>
          </w:cols>
          <w:pgMar w:left="1000" w:top="430" w:right="980" w:bottom="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91" w:lineRule="exact"/>
        <w:rPr>
          <w:sz w:val="20"/>
          <w:szCs w:val="20"/>
          <w:color w:val="auto"/>
        </w:rPr>
      </w:pPr>
    </w:p>
    <w:p>
      <w:pPr>
        <w:jc w:val="both"/>
        <w:ind w:left="60" w:right="20"/>
        <w:spacing w:after="0" w:line="288" w:lineRule="auto"/>
        <w:rPr>
          <w:sz w:val="20"/>
          <w:szCs w:val="20"/>
          <w:color w:val="auto"/>
        </w:rPr>
      </w:pPr>
      <w:r>
        <w:rPr>
          <w:rFonts w:ascii="Times New Roman" w:cs="Times New Roman" w:eastAsia="Times New Roman" w:hAnsi="Times New Roman"/>
          <w:sz w:val="20"/>
          <w:szCs w:val="20"/>
          <w:color w:val="auto"/>
        </w:rPr>
        <w:t>throughput at our manufacturing facilities and achieve the anticipated savings from our restructuring plans and other productivity and cost-saving initiatives.</w:t>
      </w:r>
    </w:p>
    <w:p>
      <w:pPr>
        <w:spacing w:after="0" w:line="12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b w:val="1"/>
          <w:bCs w:val="1"/>
          <w:i w:val="1"/>
          <w:iCs w:val="1"/>
          <w:color w:val="auto"/>
        </w:rPr>
        <w:t>Selling, general and administrative</w:t>
      </w:r>
    </w:p>
    <w:p>
      <w:pPr>
        <w:spacing w:after="0" w:line="209" w:lineRule="exact"/>
        <w:rPr>
          <w:sz w:val="20"/>
          <w:szCs w:val="20"/>
          <w:color w:val="auto"/>
        </w:rPr>
      </w:pPr>
    </w:p>
    <w:p>
      <w:pPr>
        <w:jc w:val="both"/>
        <w:ind w:left="60" w:firstLine="720"/>
        <w:spacing w:after="0" w:line="263" w:lineRule="auto"/>
        <w:rPr>
          <w:sz w:val="20"/>
          <w:szCs w:val="20"/>
          <w:color w:val="auto"/>
        </w:rPr>
      </w:pPr>
      <w:r>
        <w:rPr>
          <w:rFonts w:ascii="Times New Roman" w:cs="Times New Roman" w:eastAsia="Times New Roman" w:hAnsi="Times New Roman"/>
          <w:sz w:val="20"/>
          <w:szCs w:val="20"/>
          <w:color w:val="auto"/>
        </w:rPr>
        <w:t>Selling, general and administrative expenses ("SG&amp;A") consists primarily of facility costs for distribution operations, net of sublease and logistics agreement reimbursements, depreciation and amortization of assets, marketing and advertising, and other selling, general and administrative costs, including but not limited to salaries, benefits, bonuses, stock-based compensation, and professional fees.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Results of Operations - Comparison of Years Ended December 31, 2025, and 2024</w:t>
      </w:r>
    </w:p>
    <w:p>
      <w:pPr>
        <w:spacing w:after="0" w:line="214" w:lineRule="exact"/>
        <w:rPr>
          <w:sz w:val="20"/>
          <w:szCs w:val="20"/>
          <w:color w:val="auto"/>
        </w:rPr>
      </w:pPr>
    </w:p>
    <w:p>
      <w:pPr>
        <w:jc w:val="both"/>
        <w:ind w:left="60" w:firstLine="720"/>
        <w:spacing w:after="0" w:line="269" w:lineRule="auto"/>
        <w:rPr>
          <w:sz w:val="20"/>
          <w:szCs w:val="20"/>
          <w:color w:val="auto"/>
        </w:rPr>
      </w:pPr>
      <w:r>
        <w:rPr>
          <w:rFonts w:ascii="Times New Roman" w:cs="Times New Roman" w:eastAsia="Times New Roman" w:hAnsi="Times New Roman"/>
          <w:sz w:val="20"/>
          <w:szCs w:val="20"/>
          <w:color w:val="auto"/>
        </w:rPr>
        <w:t>The results of operations data in the following table, including amounts and percentages of net sales for each year and the year-to-year change in dollars and percent, for the years ended December 31, 2025, and 2024, have been derived from the audited consolidated financial statements included elsewhere in this Annual Report on Form 10-K (amounts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9"/>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530" w:type="dxa"/>
            <w:vAlign w:val="bottom"/>
            <w:tcBorders>
              <w:bottom w:val="single" w:sz="8" w:color="auto"/>
            </w:tcBorders>
          </w:tcPr>
          <w:p>
            <w:pPr>
              <w:spacing w:after="0"/>
              <w:rPr>
                <w:sz w:val="20"/>
                <w:szCs w:val="20"/>
                <w:color w:val="auto"/>
              </w:rPr>
            </w:pPr>
          </w:p>
        </w:tc>
        <w:tc>
          <w:tcPr>
            <w:tcW w:w="27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84"/>
        </w:trPr>
        <w:tc>
          <w:tcPr>
            <w:tcW w:w="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right"/>
              <w:ind w:right="46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D2EEF5"/>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30" w:type="dxa"/>
            <w:vAlign w:val="bottom"/>
            <w:tcBorders>
              <w:bottom w:val="single" w:sz="8" w:color="auto"/>
            </w:tcBorders>
          </w:tcPr>
          <w:p>
            <w:pPr>
              <w:spacing w:after="0"/>
              <w:rPr>
                <w:sz w:val="24"/>
                <w:szCs w:val="24"/>
                <w:color w:val="auto"/>
              </w:rPr>
            </w:pPr>
          </w:p>
        </w:tc>
        <w:tc>
          <w:tcPr>
            <w:tcW w:w="270" w:type="dxa"/>
            <w:vAlign w:val="bottom"/>
            <w:tcBorders>
              <w:bottom w:val="single" w:sz="8" w:color="auto"/>
            </w:tcBorders>
          </w:tcPr>
          <w:p>
            <w:pPr>
              <w:spacing w:after="0"/>
              <w:rPr>
                <w:sz w:val="24"/>
                <w:szCs w:val="24"/>
                <w:color w:val="auto"/>
              </w:rPr>
            </w:pPr>
          </w:p>
        </w:tc>
        <w:tc>
          <w:tcPr>
            <w:tcW w:w="40" w:type="dxa"/>
            <w:vAlign w:val="bottom"/>
            <w:tcBorders>
              <w:bottom w:val="single" w:sz="8" w:color="D2EEF5"/>
            </w:tcBorders>
          </w:tcPr>
          <w:p>
            <w:pPr>
              <w:spacing w:after="0"/>
              <w:rPr>
                <w:sz w:val="24"/>
                <w:szCs w:val="24"/>
                <w:color w:val="auto"/>
              </w:rPr>
            </w:pPr>
          </w:p>
        </w:tc>
        <w:tc>
          <w:tcPr>
            <w:tcW w:w="20" w:type="dxa"/>
            <w:vAlign w:val="bottom"/>
            <w:tcBorders>
              <w:bottom w:val="single" w:sz="8" w:color="D2EEF5"/>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6"/>
          </w:tcPr>
          <w:p>
            <w:pPr>
              <w:ind w:left="240"/>
              <w:spacing w:after="0"/>
              <w:rPr>
                <w:sz w:val="20"/>
                <w:szCs w:val="20"/>
                <w:color w:val="auto"/>
              </w:rPr>
            </w:pPr>
            <w:r>
              <w:rPr>
                <w:rFonts w:ascii="Times New Roman" w:cs="Times New Roman" w:eastAsia="Times New Roman" w:hAnsi="Times New Roman"/>
                <w:sz w:val="16"/>
                <w:szCs w:val="16"/>
                <w:b w:val="1"/>
                <w:bCs w:val="1"/>
                <w:color w:val="auto"/>
              </w:rPr>
              <w:t>Year to year change</w:t>
            </w:r>
          </w:p>
        </w:tc>
      </w:tr>
      <w:tr>
        <w:trPr>
          <w:trHeight w:val="246"/>
        </w:trPr>
        <w:tc>
          <w:tcPr>
            <w:tcW w:w="60" w:type="dxa"/>
            <w:vAlign w:val="bottom"/>
            <w:tcBorders>
              <w:top w:val="single" w:sz="8" w:color="D2EEF5"/>
            </w:tcBorders>
            <w:shd w:val="clear" w:color="auto" w:fill="D2EEF5"/>
          </w:tcPr>
          <w:p>
            <w:pPr>
              <w:spacing w:after="0"/>
              <w:rPr>
                <w:sz w:val="21"/>
                <w:szCs w:val="21"/>
                <w:color w:val="auto"/>
              </w:rPr>
            </w:pPr>
          </w:p>
        </w:tc>
        <w:tc>
          <w:tcPr>
            <w:tcW w:w="3800" w:type="dxa"/>
            <w:vAlign w:val="bottom"/>
            <w:tcBorders>
              <w:top w:val="single" w:sz="8" w:color="D2EEF5"/>
            </w:tcBorders>
            <w:shd w:val="clear" w:color="auto" w:fill="D2EEF5"/>
          </w:tcPr>
          <w:p>
            <w:pPr>
              <w:spacing w:after="0"/>
              <w:rPr>
                <w:sz w:val="20"/>
                <w:szCs w:val="20"/>
                <w:color w:val="auto"/>
              </w:rPr>
            </w:pPr>
            <w:r>
              <w:rPr>
                <w:rFonts w:ascii="Times New Roman" w:cs="Times New Roman" w:eastAsia="Times New Roman" w:hAnsi="Times New Roman"/>
                <w:sz w:val="20"/>
                <w:szCs w:val="20"/>
                <w:color w:val="auto"/>
              </w:rPr>
              <w:t>Net sales</w:t>
            </w:r>
          </w:p>
        </w:tc>
        <w:tc>
          <w:tcPr>
            <w:tcW w:w="20" w:type="dxa"/>
            <w:vAlign w:val="bottom"/>
            <w:tcBorders>
              <w:top w:val="single" w:sz="8" w:color="D2EEF5"/>
            </w:tcBorders>
            <w:shd w:val="clear" w:color="auto" w:fill="D2EEF5"/>
          </w:tcPr>
          <w:p>
            <w:pPr>
              <w:spacing w:after="0"/>
              <w:rPr>
                <w:sz w:val="21"/>
                <w:szCs w:val="21"/>
                <w:color w:val="auto"/>
              </w:rPr>
            </w:pPr>
          </w:p>
        </w:tc>
        <w:tc>
          <w:tcPr>
            <w:tcW w:w="200" w:type="dxa"/>
            <w:vAlign w:val="bottom"/>
            <w:tcBorders>
              <w:top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Borders>
              <w:top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rPr>
              <w:t>134,252</w:t>
            </w:r>
          </w:p>
        </w:tc>
        <w:tc>
          <w:tcPr>
            <w:tcW w:w="60" w:type="dxa"/>
            <w:vAlign w:val="bottom"/>
            <w:tcBorders>
              <w:top w:val="single" w:sz="8" w:color="D2EEF5"/>
            </w:tcBorders>
            <w:shd w:val="clear" w:color="auto" w:fill="D2EEF5"/>
          </w:tcPr>
          <w:p>
            <w:pPr>
              <w:spacing w:after="0"/>
              <w:rPr>
                <w:sz w:val="21"/>
                <w:szCs w:val="21"/>
                <w:color w:val="auto"/>
              </w:rPr>
            </w:pPr>
          </w:p>
        </w:tc>
        <w:tc>
          <w:tcPr>
            <w:tcW w:w="20" w:type="dxa"/>
            <w:vAlign w:val="bottom"/>
            <w:tcBorders>
              <w:top w:val="single" w:sz="8" w:color="D2EEF5"/>
            </w:tcBorders>
            <w:shd w:val="clear" w:color="auto" w:fill="D2EEF5"/>
          </w:tcPr>
          <w:p>
            <w:pPr>
              <w:spacing w:after="0"/>
              <w:rPr>
                <w:sz w:val="21"/>
                <w:szCs w:val="21"/>
                <w:color w:val="auto"/>
              </w:rPr>
            </w:pPr>
          </w:p>
        </w:tc>
        <w:tc>
          <w:tcPr>
            <w:tcW w:w="660" w:type="dxa"/>
            <w:vAlign w:val="bottom"/>
            <w:tcBorders>
              <w:top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240" w:type="dxa"/>
            <w:vAlign w:val="bottom"/>
            <w:tcBorders>
              <w:top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shd w:val="clear" w:color="auto" w:fill="D2EEF5"/>
              </w:rPr>
              <w:t>%</w:t>
            </w:r>
          </w:p>
        </w:tc>
        <w:tc>
          <w:tcPr>
            <w:tcW w:w="40" w:type="dxa"/>
            <w:vAlign w:val="bottom"/>
            <w:tcBorders>
              <w:top w:val="single" w:sz="8" w:color="D2EEF5"/>
            </w:tcBorders>
            <w:shd w:val="clear" w:color="auto" w:fill="D2EEF5"/>
          </w:tcPr>
          <w:p>
            <w:pPr>
              <w:spacing w:after="0"/>
              <w:rPr>
                <w:sz w:val="21"/>
                <w:szCs w:val="21"/>
                <w:color w:val="auto"/>
              </w:rPr>
            </w:pPr>
          </w:p>
        </w:tc>
        <w:tc>
          <w:tcPr>
            <w:tcW w:w="60" w:type="dxa"/>
            <w:vAlign w:val="bottom"/>
            <w:tcBorders>
              <w:top w:val="single" w:sz="8" w:color="D2EEF5"/>
            </w:tcBorders>
            <w:shd w:val="clear" w:color="auto" w:fill="D2EEF5"/>
          </w:tcPr>
          <w:p>
            <w:pPr>
              <w:spacing w:after="0"/>
              <w:rPr>
                <w:sz w:val="21"/>
                <w:szCs w:val="21"/>
                <w:color w:val="auto"/>
              </w:rPr>
            </w:pPr>
          </w:p>
        </w:tc>
        <w:tc>
          <w:tcPr>
            <w:tcW w:w="240" w:type="dxa"/>
            <w:vAlign w:val="bottom"/>
            <w:tcBorders>
              <w:top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top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rPr>
              <w:t>190,288</w:t>
            </w:r>
          </w:p>
        </w:tc>
        <w:tc>
          <w:tcPr>
            <w:tcW w:w="40" w:type="dxa"/>
            <w:vAlign w:val="bottom"/>
            <w:tcBorders>
              <w:top w:val="single" w:sz="8" w:color="D2EEF5"/>
            </w:tcBorders>
            <w:shd w:val="clear" w:color="auto" w:fill="D2EEF5"/>
          </w:tcPr>
          <w:p>
            <w:pPr>
              <w:spacing w:after="0"/>
              <w:rPr>
                <w:sz w:val="21"/>
                <w:szCs w:val="21"/>
                <w:color w:val="auto"/>
              </w:rPr>
            </w:pPr>
          </w:p>
        </w:tc>
        <w:tc>
          <w:tcPr>
            <w:tcW w:w="20" w:type="dxa"/>
            <w:vAlign w:val="bottom"/>
            <w:tcBorders>
              <w:top w:val="single" w:sz="8" w:color="D2EEF5"/>
            </w:tcBorders>
            <w:shd w:val="clear" w:color="auto" w:fill="D2EEF5"/>
          </w:tcPr>
          <w:p>
            <w:pPr>
              <w:spacing w:after="0"/>
              <w:rPr>
                <w:sz w:val="21"/>
                <w:szCs w:val="21"/>
                <w:color w:val="auto"/>
              </w:rPr>
            </w:pPr>
          </w:p>
        </w:tc>
        <w:tc>
          <w:tcPr>
            <w:tcW w:w="160" w:type="dxa"/>
            <w:vAlign w:val="bottom"/>
            <w:tcBorders>
              <w:top w:val="single" w:sz="8" w:color="D2EEF5"/>
            </w:tcBorders>
            <w:shd w:val="clear" w:color="auto" w:fill="D2EEF5"/>
          </w:tcPr>
          <w:p>
            <w:pPr>
              <w:spacing w:after="0"/>
              <w:rPr>
                <w:sz w:val="21"/>
                <w:szCs w:val="21"/>
                <w:color w:val="auto"/>
              </w:rPr>
            </w:pPr>
          </w:p>
        </w:tc>
        <w:tc>
          <w:tcPr>
            <w:tcW w:w="530" w:type="dxa"/>
            <w:vAlign w:val="bottom"/>
            <w:tcBorders>
              <w:top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270" w:type="dxa"/>
            <w:vAlign w:val="bottom"/>
            <w:tcBorders>
              <w:top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w w:val="95"/>
                <w:shd w:val="clear" w:color="auto" w:fill="D2EEF5"/>
              </w:rPr>
              <w:t>%</w:t>
            </w:r>
          </w:p>
        </w:tc>
        <w:tc>
          <w:tcPr>
            <w:tcW w:w="40" w:type="dxa"/>
            <w:vAlign w:val="bottom"/>
            <w:tcBorders>
              <w:top w:val="single" w:sz="8" w:color="D2EEF5"/>
            </w:tcBorders>
            <w:shd w:val="clear" w:color="auto" w:fill="D2EEF5"/>
          </w:tcPr>
          <w:p>
            <w:pPr>
              <w:spacing w:after="0"/>
              <w:rPr>
                <w:sz w:val="21"/>
                <w:szCs w:val="21"/>
                <w:color w:val="auto"/>
              </w:rPr>
            </w:pPr>
          </w:p>
        </w:tc>
        <w:tc>
          <w:tcPr>
            <w:tcW w:w="20" w:type="dxa"/>
            <w:vAlign w:val="bottom"/>
            <w:tcBorders>
              <w:top w:val="single" w:sz="8" w:color="D2EEF5"/>
            </w:tcBorders>
            <w:shd w:val="clear" w:color="auto" w:fill="D2EEF5"/>
          </w:tcPr>
          <w:p>
            <w:pPr>
              <w:spacing w:after="0"/>
              <w:rPr>
                <w:sz w:val="21"/>
                <w:szCs w:val="21"/>
                <w:color w:val="auto"/>
              </w:rPr>
            </w:pPr>
          </w:p>
        </w:tc>
        <w:tc>
          <w:tcPr>
            <w:tcW w:w="180" w:type="dxa"/>
            <w:vAlign w:val="bottom"/>
            <w:tcBorders>
              <w:top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top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rPr>
              <w:t>(56,036)</w:t>
            </w:r>
          </w:p>
        </w:tc>
        <w:tc>
          <w:tcPr>
            <w:tcW w:w="40" w:type="dxa"/>
            <w:vAlign w:val="bottom"/>
            <w:tcBorders>
              <w:top w:val="single" w:sz="8" w:color="D2EEF5"/>
            </w:tcBorders>
            <w:shd w:val="clear" w:color="auto" w:fill="D2EEF5"/>
          </w:tcPr>
          <w:p>
            <w:pPr>
              <w:spacing w:after="0"/>
              <w:rPr>
                <w:sz w:val="21"/>
                <w:szCs w:val="21"/>
                <w:color w:val="auto"/>
              </w:rPr>
            </w:pPr>
          </w:p>
        </w:tc>
        <w:tc>
          <w:tcPr>
            <w:tcW w:w="20" w:type="dxa"/>
            <w:vAlign w:val="bottom"/>
            <w:tcBorders>
              <w:top w:val="single" w:sz="8" w:color="D2EEF5"/>
            </w:tcBorders>
            <w:shd w:val="clear" w:color="auto" w:fill="D2EEF5"/>
          </w:tcPr>
          <w:p>
            <w:pPr>
              <w:spacing w:after="0"/>
              <w:rPr>
                <w:sz w:val="21"/>
                <w:szCs w:val="21"/>
                <w:color w:val="auto"/>
              </w:rPr>
            </w:pPr>
          </w:p>
        </w:tc>
        <w:tc>
          <w:tcPr>
            <w:tcW w:w="860" w:type="dxa"/>
            <w:vAlign w:val="bottom"/>
            <w:tcBorders>
              <w:top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rPr>
              <w:t>-29.4</w:t>
            </w:r>
          </w:p>
        </w:tc>
        <w:tc>
          <w:tcPr>
            <w:tcW w:w="220" w:type="dxa"/>
            <w:vAlign w:val="bottom"/>
            <w:tcBorders>
              <w:top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shd w:val="clear" w:color="auto" w:fill="D2EEF5"/>
              </w:rPr>
              <w:t>%</w:t>
            </w:r>
          </w:p>
        </w:tc>
        <w:tc>
          <w:tcPr>
            <w:tcW w:w="60" w:type="dxa"/>
            <w:vAlign w:val="bottom"/>
            <w:tcBorders>
              <w:top w:val="single" w:sz="8" w:color="D2EEF5"/>
            </w:tcBorders>
            <w:shd w:val="clear" w:color="auto" w:fill="D2EEF5"/>
          </w:tcPr>
          <w:p>
            <w:pPr>
              <w:spacing w:after="0"/>
              <w:rPr>
                <w:sz w:val="21"/>
                <w:szCs w:val="21"/>
                <w:color w:val="auto"/>
              </w:rPr>
            </w:pPr>
          </w:p>
        </w:tc>
      </w:tr>
      <w:tr>
        <w:trPr>
          <w:trHeight w:val="284"/>
        </w:trPr>
        <w:tc>
          <w:tcPr>
            <w:tcW w:w="60" w:type="dxa"/>
            <w:vAlign w:val="bottom"/>
          </w:tcPr>
          <w:p>
            <w:pPr>
              <w:spacing w:after="0"/>
              <w:rPr>
                <w:sz w:val="24"/>
                <w:szCs w:val="24"/>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Cost of goods sold</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119,043</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88.7 %</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158,155</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83.1 %</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(39,112)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-24.7 %</w:t>
            </w:r>
          </w:p>
        </w:tc>
        <w:tc>
          <w:tcPr>
            <w:tcW w:w="60" w:type="dxa"/>
            <w:vAlign w:val="bottom"/>
          </w:tcPr>
          <w:p>
            <w:pPr>
              <w:spacing w:after="0"/>
              <w:rPr>
                <w:sz w:val="24"/>
                <w:szCs w:val="24"/>
                <w:color w:val="auto"/>
              </w:rPr>
            </w:pPr>
          </w:p>
        </w:tc>
      </w:tr>
      <w:tr>
        <w:trPr>
          <w:trHeight w:val="266"/>
        </w:trPr>
        <w:tc>
          <w:tcPr>
            <w:tcW w:w="60" w:type="dxa"/>
            <w:vAlign w:val="bottom"/>
            <w:shd w:val="clear" w:color="auto" w:fill="D2EEF5"/>
          </w:tcPr>
          <w:p>
            <w:pPr>
              <w:spacing w:after="0"/>
              <w:rPr>
                <w:sz w:val="23"/>
                <w:szCs w:val="23"/>
                <w:color w:val="auto"/>
              </w:rPr>
            </w:pPr>
          </w:p>
        </w:tc>
        <w:tc>
          <w:tcPr>
            <w:tcW w:w="3800" w:type="dxa"/>
            <w:vAlign w:val="bottom"/>
            <w:shd w:val="clear" w:color="auto" w:fill="D2EEF5"/>
          </w:tcPr>
          <w:p>
            <w:pPr>
              <w:ind w:left="360"/>
              <w:spacing w:after="0"/>
              <w:rPr>
                <w:sz w:val="20"/>
                <w:szCs w:val="20"/>
                <w:color w:val="auto"/>
              </w:rPr>
            </w:pPr>
            <w:r>
              <w:rPr>
                <w:rFonts w:ascii="Times New Roman" w:cs="Times New Roman" w:eastAsia="Times New Roman" w:hAnsi="Times New Roman"/>
                <w:sz w:val="20"/>
                <w:szCs w:val="20"/>
                <w:b w:val="1"/>
                <w:bCs w:val="1"/>
                <w:color w:val="auto"/>
              </w:rPr>
              <w:t>Gross profit</w:t>
            </w:r>
          </w:p>
        </w:tc>
        <w:tc>
          <w:tcPr>
            <w:tcW w:w="20" w:type="dxa"/>
            <w:vAlign w:val="bottom"/>
            <w:shd w:val="clear" w:color="auto" w:fill="D2EEF5"/>
          </w:tcPr>
          <w:p>
            <w:pPr>
              <w:spacing w:after="0"/>
              <w:rPr>
                <w:sz w:val="23"/>
                <w:szCs w:val="23"/>
                <w:color w:val="auto"/>
              </w:rPr>
            </w:pPr>
          </w:p>
        </w:tc>
        <w:tc>
          <w:tcPr>
            <w:tcW w:w="200" w:type="dxa"/>
            <w:vAlign w:val="bottom"/>
            <w:tcBorders>
              <w:top w:val="single" w:sz="8" w:color="auto"/>
            </w:tcBorders>
            <w:shd w:val="clear" w:color="auto" w:fill="D2EEF5"/>
          </w:tcPr>
          <w:p>
            <w:pPr>
              <w:spacing w:after="0"/>
              <w:rPr>
                <w:sz w:val="23"/>
                <w:szCs w:val="23"/>
                <w:color w:val="auto"/>
              </w:rPr>
            </w:pPr>
          </w:p>
        </w:tc>
        <w:tc>
          <w:tcPr>
            <w:tcW w:w="800" w:type="dxa"/>
            <w:vAlign w:val="bottom"/>
            <w:tcBorders>
              <w:top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rPr>
              <w:t>15,209</w:t>
            </w:r>
          </w:p>
        </w:tc>
        <w:tc>
          <w:tcPr>
            <w:tcW w:w="60" w:type="dxa"/>
            <w:vAlign w:val="bottom"/>
            <w:tcBorders>
              <w:top w:val="single" w:sz="8" w:color="D2EEF5"/>
            </w:tcBorders>
            <w:shd w:val="clear" w:color="auto" w:fill="D2EEF5"/>
          </w:tcPr>
          <w:p>
            <w:pPr>
              <w:spacing w:after="0"/>
              <w:rPr>
                <w:sz w:val="23"/>
                <w:szCs w:val="23"/>
                <w:color w:val="auto"/>
              </w:rPr>
            </w:pPr>
          </w:p>
        </w:tc>
        <w:tc>
          <w:tcPr>
            <w:tcW w:w="20" w:type="dxa"/>
            <w:vAlign w:val="bottom"/>
            <w:tcBorders>
              <w:top w:val="single" w:sz="8" w:color="D2EEF5"/>
            </w:tcBorders>
            <w:shd w:val="clear" w:color="auto" w:fill="D2EEF5"/>
          </w:tcPr>
          <w:p>
            <w:pPr>
              <w:spacing w:after="0"/>
              <w:rPr>
                <w:sz w:val="23"/>
                <w:szCs w:val="23"/>
                <w:color w:val="auto"/>
              </w:rPr>
            </w:pPr>
          </w:p>
        </w:tc>
        <w:tc>
          <w:tcPr>
            <w:tcW w:w="660" w:type="dxa"/>
            <w:vAlign w:val="bottom"/>
            <w:tcBorders>
              <w:top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rPr>
              <w:t>11.3</w:t>
            </w:r>
          </w:p>
        </w:tc>
        <w:tc>
          <w:tcPr>
            <w:tcW w:w="240" w:type="dxa"/>
            <w:vAlign w:val="bottom"/>
            <w:tcBorders>
              <w:top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shd w:val="clear" w:color="auto" w:fill="D2EEF5"/>
              </w:rPr>
              <w:t>%</w:t>
            </w:r>
          </w:p>
        </w:tc>
        <w:tc>
          <w:tcPr>
            <w:tcW w:w="40" w:type="dxa"/>
            <w:vAlign w:val="bottom"/>
            <w:tcBorders>
              <w:top w:val="single" w:sz="8" w:color="auto"/>
            </w:tcBorders>
            <w:shd w:val="clear" w:color="auto" w:fill="D2EEF5"/>
          </w:tcPr>
          <w:p>
            <w:pPr>
              <w:spacing w:after="0"/>
              <w:rPr>
                <w:sz w:val="23"/>
                <w:szCs w:val="23"/>
                <w:color w:val="auto"/>
              </w:rPr>
            </w:pPr>
          </w:p>
        </w:tc>
        <w:tc>
          <w:tcPr>
            <w:tcW w:w="60" w:type="dxa"/>
            <w:vAlign w:val="bottom"/>
            <w:tcBorders>
              <w:top w:val="single" w:sz="8" w:color="D2EEF5"/>
            </w:tcBorders>
            <w:shd w:val="clear" w:color="auto" w:fill="D2EEF5"/>
          </w:tcPr>
          <w:p>
            <w:pPr>
              <w:spacing w:after="0"/>
              <w:rPr>
                <w:sz w:val="23"/>
                <w:szCs w:val="23"/>
                <w:color w:val="auto"/>
              </w:rPr>
            </w:pPr>
          </w:p>
        </w:tc>
        <w:tc>
          <w:tcPr>
            <w:tcW w:w="240" w:type="dxa"/>
            <w:vAlign w:val="bottom"/>
            <w:tcBorders>
              <w:top w:val="single" w:sz="8" w:color="auto"/>
            </w:tcBorders>
            <w:shd w:val="clear" w:color="auto" w:fill="D2EEF5"/>
          </w:tcPr>
          <w:p>
            <w:pPr>
              <w:spacing w:after="0"/>
              <w:rPr>
                <w:sz w:val="23"/>
                <w:szCs w:val="23"/>
                <w:color w:val="auto"/>
              </w:rPr>
            </w:pPr>
          </w:p>
        </w:tc>
        <w:tc>
          <w:tcPr>
            <w:tcW w:w="780" w:type="dxa"/>
            <w:vAlign w:val="bottom"/>
            <w:tcBorders>
              <w:top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rPr>
              <w:t>32,133</w:t>
            </w:r>
          </w:p>
        </w:tc>
        <w:tc>
          <w:tcPr>
            <w:tcW w:w="40" w:type="dxa"/>
            <w:vAlign w:val="bottom"/>
            <w:tcBorders>
              <w:top w:val="single" w:sz="8" w:color="D2EEF5"/>
            </w:tcBorders>
            <w:shd w:val="clear" w:color="auto" w:fill="D2EEF5"/>
          </w:tcPr>
          <w:p>
            <w:pPr>
              <w:spacing w:after="0"/>
              <w:rPr>
                <w:sz w:val="23"/>
                <w:szCs w:val="23"/>
                <w:color w:val="auto"/>
              </w:rPr>
            </w:pPr>
          </w:p>
        </w:tc>
        <w:tc>
          <w:tcPr>
            <w:tcW w:w="20" w:type="dxa"/>
            <w:vAlign w:val="bottom"/>
            <w:tcBorders>
              <w:top w:val="single" w:sz="8" w:color="D2EEF5"/>
            </w:tcBorders>
            <w:shd w:val="clear" w:color="auto" w:fill="D2EEF5"/>
          </w:tcPr>
          <w:p>
            <w:pPr>
              <w:spacing w:after="0"/>
              <w:rPr>
                <w:sz w:val="23"/>
                <w:szCs w:val="23"/>
                <w:color w:val="auto"/>
              </w:rPr>
            </w:pPr>
          </w:p>
        </w:tc>
        <w:tc>
          <w:tcPr>
            <w:tcW w:w="160" w:type="dxa"/>
            <w:vAlign w:val="bottom"/>
            <w:tcBorders>
              <w:top w:val="single" w:sz="8" w:color="auto"/>
            </w:tcBorders>
            <w:shd w:val="clear" w:color="auto" w:fill="D2EEF5"/>
          </w:tcPr>
          <w:p>
            <w:pPr>
              <w:spacing w:after="0"/>
              <w:rPr>
                <w:sz w:val="23"/>
                <w:szCs w:val="23"/>
                <w:color w:val="auto"/>
              </w:rPr>
            </w:pPr>
          </w:p>
        </w:tc>
        <w:tc>
          <w:tcPr>
            <w:tcW w:w="530" w:type="dxa"/>
            <w:vAlign w:val="bottom"/>
            <w:tcBorders>
              <w:top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rPr>
              <w:t>16.9</w:t>
            </w:r>
          </w:p>
        </w:tc>
        <w:tc>
          <w:tcPr>
            <w:tcW w:w="270" w:type="dxa"/>
            <w:vAlign w:val="bottom"/>
            <w:tcBorders>
              <w:top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w w:val="95"/>
                <w:shd w:val="clear" w:color="auto" w:fill="D2EEF5"/>
              </w:rPr>
              <w:t>%</w:t>
            </w:r>
          </w:p>
        </w:tc>
        <w:tc>
          <w:tcPr>
            <w:tcW w:w="40" w:type="dxa"/>
            <w:vAlign w:val="bottom"/>
            <w:tcBorders>
              <w:top w:val="single" w:sz="8" w:color="D2EEF5"/>
            </w:tcBorders>
            <w:shd w:val="clear" w:color="auto" w:fill="D2EEF5"/>
          </w:tcPr>
          <w:p>
            <w:pPr>
              <w:spacing w:after="0"/>
              <w:rPr>
                <w:sz w:val="23"/>
                <w:szCs w:val="23"/>
                <w:color w:val="auto"/>
              </w:rPr>
            </w:pPr>
          </w:p>
        </w:tc>
        <w:tc>
          <w:tcPr>
            <w:tcW w:w="20" w:type="dxa"/>
            <w:vAlign w:val="bottom"/>
            <w:tcBorders>
              <w:top w:val="single" w:sz="8" w:color="D2EEF5"/>
            </w:tcBorders>
            <w:shd w:val="clear" w:color="auto" w:fill="D2EEF5"/>
          </w:tcPr>
          <w:p>
            <w:pPr>
              <w:spacing w:after="0"/>
              <w:rPr>
                <w:sz w:val="23"/>
                <w:szCs w:val="23"/>
                <w:color w:val="auto"/>
              </w:rPr>
            </w:pPr>
          </w:p>
        </w:tc>
        <w:tc>
          <w:tcPr>
            <w:tcW w:w="180" w:type="dxa"/>
            <w:vAlign w:val="bottom"/>
            <w:tcBorders>
              <w:top w:val="single" w:sz="8" w:color="auto"/>
            </w:tcBorders>
            <w:shd w:val="clear" w:color="auto" w:fill="D2EEF5"/>
          </w:tcPr>
          <w:p>
            <w:pPr>
              <w:spacing w:after="0"/>
              <w:rPr>
                <w:sz w:val="23"/>
                <w:szCs w:val="23"/>
                <w:color w:val="auto"/>
              </w:rPr>
            </w:pPr>
          </w:p>
        </w:tc>
        <w:tc>
          <w:tcPr>
            <w:tcW w:w="820" w:type="dxa"/>
            <w:vAlign w:val="bottom"/>
            <w:tcBorders>
              <w:top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rPr>
              <w:t>(16,924)</w:t>
            </w:r>
          </w:p>
        </w:tc>
        <w:tc>
          <w:tcPr>
            <w:tcW w:w="40" w:type="dxa"/>
            <w:vAlign w:val="bottom"/>
            <w:tcBorders>
              <w:top w:val="single" w:sz="8" w:color="D2EEF5"/>
            </w:tcBorders>
            <w:shd w:val="clear" w:color="auto" w:fill="D2EEF5"/>
          </w:tcPr>
          <w:p>
            <w:pPr>
              <w:spacing w:after="0"/>
              <w:rPr>
                <w:sz w:val="23"/>
                <w:szCs w:val="23"/>
                <w:color w:val="auto"/>
              </w:rPr>
            </w:pPr>
          </w:p>
        </w:tc>
        <w:tc>
          <w:tcPr>
            <w:tcW w:w="20" w:type="dxa"/>
            <w:vAlign w:val="bottom"/>
            <w:tcBorders>
              <w:top w:val="single" w:sz="8" w:color="D2EEF5"/>
            </w:tcBorders>
            <w:shd w:val="clear" w:color="auto" w:fill="D2EEF5"/>
          </w:tcPr>
          <w:p>
            <w:pPr>
              <w:spacing w:after="0"/>
              <w:rPr>
                <w:sz w:val="23"/>
                <w:szCs w:val="23"/>
                <w:color w:val="auto"/>
              </w:rPr>
            </w:pPr>
          </w:p>
        </w:tc>
        <w:tc>
          <w:tcPr>
            <w:tcW w:w="860" w:type="dxa"/>
            <w:vAlign w:val="bottom"/>
            <w:tcBorders>
              <w:top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rPr>
              <w:t>-52.7</w:t>
            </w:r>
          </w:p>
        </w:tc>
        <w:tc>
          <w:tcPr>
            <w:tcW w:w="220" w:type="dxa"/>
            <w:vAlign w:val="bottom"/>
            <w:tcBorders>
              <w:top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shd w:val="clear" w:color="auto" w:fill="D2EEF5"/>
              </w:rPr>
              <w:t>%</w:t>
            </w:r>
          </w:p>
        </w:tc>
        <w:tc>
          <w:tcPr>
            <w:tcW w:w="60" w:type="dxa"/>
            <w:vAlign w:val="bottom"/>
            <w:tcBorders>
              <w:top w:val="single" w:sz="8" w:color="auto"/>
            </w:tcBorders>
            <w:shd w:val="clear" w:color="auto" w:fill="D2EEF5"/>
          </w:tcPr>
          <w:p>
            <w:pPr>
              <w:spacing w:after="0"/>
              <w:rPr>
                <w:sz w:val="23"/>
                <w:szCs w:val="23"/>
                <w:color w:val="auto"/>
              </w:rPr>
            </w:pPr>
          </w:p>
        </w:tc>
      </w:tr>
      <w:tr>
        <w:trPr>
          <w:trHeight w:val="278"/>
        </w:trPr>
        <w:tc>
          <w:tcPr>
            <w:tcW w:w="60" w:type="dxa"/>
            <w:vAlign w:val="bottom"/>
          </w:tcPr>
          <w:p>
            <w:pPr>
              <w:spacing w:after="0"/>
              <w:rPr>
                <w:sz w:val="24"/>
                <w:szCs w:val="24"/>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Operating expenses:</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0" w:type="dxa"/>
            <w:vAlign w:val="bottom"/>
          </w:tcPr>
          <w:p>
            <w:pPr>
              <w:spacing w:after="0"/>
              <w:rPr>
                <w:sz w:val="24"/>
                <w:szCs w:val="24"/>
                <w:color w:val="auto"/>
              </w:rPr>
            </w:pPr>
          </w:p>
        </w:tc>
        <w:tc>
          <w:tcPr>
            <w:tcW w:w="27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92"/>
        </w:trPr>
        <w:tc>
          <w:tcPr>
            <w:tcW w:w="60" w:type="dxa"/>
            <w:vAlign w:val="bottom"/>
            <w:shd w:val="clear" w:color="auto" w:fill="D2EEF5"/>
          </w:tcPr>
          <w:p>
            <w:pPr>
              <w:spacing w:after="0"/>
              <w:rPr>
                <w:sz w:val="24"/>
                <w:szCs w:val="24"/>
                <w:color w:val="auto"/>
              </w:rPr>
            </w:pPr>
          </w:p>
        </w:tc>
        <w:tc>
          <w:tcPr>
            <w:tcW w:w="3800" w:type="dxa"/>
            <w:vAlign w:val="bottom"/>
            <w:shd w:val="clear" w:color="auto" w:fill="D2EEF5"/>
          </w:tcPr>
          <w:p>
            <w:pPr>
              <w:ind w:left="120"/>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20" w:type="dxa"/>
            <w:vAlign w:val="bottom"/>
            <w:shd w:val="clear" w:color="auto" w:fill="D2EEF5"/>
          </w:tcPr>
          <w:p>
            <w:pPr>
              <w:spacing w:after="0"/>
              <w:rPr>
                <w:sz w:val="24"/>
                <w:szCs w:val="24"/>
                <w:color w:val="auto"/>
              </w:rPr>
            </w:pPr>
          </w:p>
        </w:tc>
        <w:tc>
          <w:tcPr>
            <w:tcW w:w="200" w:type="dxa"/>
            <w:vAlign w:val="bottom"/>
            <w:shd w:val="clear" w:color="auto" w:fill="D2EEF5"/>
          </w:tcPr>
          <w:p>
            <w:pPr>
              <w:spacing w:after="0"/>
              <w:rPr>
                <w:sz w:val="24"/>
                <w:szCs w:val="24"/>
                <w:color w:val="auto"/>
              </w:rPr>
            </w:pPr>
          </w:p>
        </w:tc>
        <w:tc>
          <w:tcPr>
            <w:tcW w:w="8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rPr>
              <w:t>59,948</w:t>
            </w:r>
          </w:p>
        </w:tc>
        <w:tc>
          <w:tcPr>
            <w:tcW w:w="6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6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rPr>
              <w:t>44.7</w:t>
            </w:r>
          </w:p>
        </w:tc>
        <w:tc>
          <w:tcPr>
            <w:tcW w:w="2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shd w:val="clear" w:color="auto" w:fill="D2EEF5"/>
              </w:rPr>
              <w:t>%</w:t>
            </w:r>
          </w:p>
        </w:tc>
        <w:tc>
          <w:tcPr>
            <w:tcW w:w="40" w:type="dxa"/>
            <w:vAlign w:val="bottom"/>
            <w:shd w:val="clear" w:color="auto" w:fill="D2EEF5"/>
          </w:tcPr>
          <w:p>
            <w:pPr>
              <w:spacing w:after="0"/>
              <w:rPr>
                <w:sz w:val="24"/>
                <w:szCs w:val="24"/>
                <w:color w:val="auto"/>
              </w:rPr>
            </w:pPr>
          </w:p>
        </w:tc>
        <w:tc>
          <w:tcPr>
            <w:tcW w:w="60" w:type="dxa"/>
            <w:vAlign w:val="bottom"/>
            <w:shd w:val="clear" w:color="auto" w:fill="D2EEF5"/>
          </w:tcPr>
          <w:p>
            <w:pPr>
              <w:spacing w:after="0"/>
              <w:rPr>
                <w:sz w:val="24"/>
                <w:szCs w:val="24"/>
                <w:color w:val="auto"/>
              </w:rPr>
            </w:pPr>
          </w:p>
        </w:tc>
        <w:tc>
          <w:tcPr>
            <w:tcW w:w="240" w:type="dxa"/>
            <w:vAlign w:val="bottom"/>
            <w:shd w:val="clear" w:color="auto" w:fill="D2EEF5"/>
          </w:tcPr>
          <w:p>
            <w:pPr>
              <w:spacing w:after="0"/>
              <w:rPr>
                <w:sz w:val="24"/>
                <w:szCs w:val="24"/>
                <w:color w:val="auto"/>
              </w:rPr>
            </w:pPr>
          </w:p>
        </w:tc>
        <w:tc>
          <w:tcPr>
            <w:tcW w:w="7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rPr>
              <w:t>72,794</w:t>
            </w:r>
          </w:p>
        </w:tc>
        <w:tc>
          <w:tcPr>
            <w:tcW w:w="4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160" w:type="dxa"/>
            <w:vAlign w:val="bottom"/>
            <w:shd w:val="clear" w:color="auto" w:fill="D2EEF5"/>
          </w:tcPr>
          <w:p>
            <w:pPr>
              <w:spacing w:after="0"/>
              <w:rPr>
                <w:sz w:val="24"/>
                <w:szCs w:val="24"/>
                <w:color w:val="auto"/>
              </w:rPr>
            </w:pPr>
          </w:p>
        </w:tc>
        <w:tc>
          <w:tcPr>
            <w:tcW w:w="53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rPr>
              <w:t>38.3</w:t>
            </w:r>
          </w:p>
        </w:tc>
        <w:tc>
          <w:tcPr>
            <w:tcW w:w="27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w w:val="95"/>
                <w:shd w:val="clear" w:color="auto" w:fill="D2EEF5"/>
              </w:rPr>
              <w:t>%</w:t>
            </w:r>
          </w:p>
        </w:tc>
        <w:tc>
          <w:tcPr>
            <w:tcW w:w="4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180" w:type="dxa"/>
            <w:vAlign w:val="bottom"/>
            <w:shd w:val="clear" w:color="auto" w:fill="D2EEF5"/>
          </w:tcPr>
          <w:p>
            <w:pPr>
              <w:spacing w:after="0"/>
              <w:rPr>
                <w:sz w:val="24"/>
                <w:szCs w:val="24"/>
                <w:color w:val="auto"/>
              </w:rPr>
            </w:pPr>
          </w:p>
        </w:tc>
        <w:tc>
          <w:tcPr>
            <w:tcW w:w="8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rPr>
              <w:t>(12,846)</w:t>
            </w:r>
          </w:p>
        </w:tc>
        <w:tc>
          <w:tcPr>
            <w:tcW w:w="4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rPr>
              <w:t>-17.6</w:t>
            </w:r>
          </w:p>
        </w:tc>
        <w:tc>
          <w:tcPr>
            <w:tcW w:w="2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shd w:val="clear" w:color="auto" w:fill="D2EEF5"/>
              </w:rPr>
              <w:t>%</w:t>
            </w:r>
          </w:p>
        </w:tc>
        <w:tc>
          <w:tcPr>
            <w:tcW w:w="60" w:type="dxa"/>
            <w:vAlign w:val="bottom"/>
            <w:shd w:val="clear" w:color="auto" w:fill="D2EEF5"/>
          </w:tcPr>
          <w:p>
            <w:pPr>
              <w:spacing w:after="0"/>
              <w:rPr>
                <w:sz w:val="24"/>
                <w:szCs w:val="24"/>
                <w:color w:val="auto"/>
              </w:rPr>
            </w:pPr>
          </w:p>
        </w:tc>
      </w:tr>
      <w:tr>
        <w:trPr>
          <w:trHeight w:val="278"/>
        </w:trPr>
        <w:tc>
          <w:tcPr>
            <w:tcW w:w="60" w:type="dxa"/>
            <w:vAlign w:val="bottom"/>
          </w:tcPr>
          <w:p>
            <w:pPr>
              <w:spacing w:after="0"/>
              <w:rPr>
                <w:sz w:val="24"/>
                <w:szCs w:val="24"/>
                <w:color w:val="auto"/>
              </w:rPr>
            </w:pPr>
          </w:p>
        </w:tc>
        <w:tc>
          <w:tcPr>
            <w:tcW w:w="38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Impairments</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232,179</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172.9 %</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4"/>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0.0 %</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232,179</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gridSpan w:val="3"/>
          </w:tcPr>
          <w:p>
            <w:pPr>
              <w:ind w:left="460"/>
              <w:spacing w:after="0"/>
              <w:rPr>
                <w:sz w:val="20"/>
                <w:szCs w:val="20"/>
                <w:color w:val="auto"/>
              </w:rPr>
            </w:pPr>
            <w:r>
              <w:rPr>
                <w:rFonts w:ascii="Times New Roman" w:cs="Times New Roman" w:eastAsia="Times New Roman" w:hAnsi="Times New Roman"/>
                <w:sz w:val="20"/>
                <w:szCs w:val="20"/>
                <w:color w:val="auto"/>
              </w:rPr>
              <w:t>N/M %</w:t>
            </w:r>
          </w:p>
        </w:tc>
      </w:tr>
      <w:tr>
        <w:trPr>
          <w:trHeight w:val="306"/>
        </w:trPr>
        <w:tc>
          <w:tcPr>
            <w:tcW w:w="60" w:type="dxa"/>
            <w:vAlign w:val="bottom"/>
            <w:tcBorders>
              <w:bottom w:val="single" w:sz="8" w:color="D2EEF5"/>
            </w:tcBorders>
            <w:shd w:val="clear" w:color="auto" w:fill="D2EEF5"/>
          </w:tcPr>
          <w:p>
            <w:pPr>
              <w:spacing w:after="0"/>
              <w:rPr>
                <w:sz w:val="24"/>
                <w:szCs w:val="24"/>
                <w:color w:val="auto"/>
              </w:rPr>
            </w:pPr>
          </w:p>
        </w:tc>
        <w:tc>
          <w:tcPr>
            <w:tcW w:w="3800" w:type="dxa"/>
            <w:vAlign w:val="bottom"/>
            <w:tcBorders>
              <w:bottom w:val="single" w:sz="8" w:color="D2EEF5"/>
            </w:tcBorders>
            <w:shd w:val="clear" w:color="auto" w:fill="D2EEF5"/>
          </w:tcPr>
          <w:p>
            <w:pPr>
              <w:ind w:left="120"/>
              <w:spacing w:after="0"/>
              <w:rPr>
                <w:sz w:val="20"/>
                <w:szCs w:val="20"/>
                <w:color w:val="auto"/>
              </w:rPr>
            </w:pPr>
            <w:r>
              <w:rPr>
                <w:rFonts w:ascii="Times New Roman" w:cs="Times New Roman" w:eastAsia="Times New Roman" w:hAnsi="Times New Roman"/>
                <w:sz w:val="20"/>
                <w:szCs w:val="20"/>
                <w:color w:val="auto"/>
              </w:rPr>
              <w:t>Loss on asset disposition</w:t>
            </w:r>
          </w:p>
        </w:tc>
        <w:tc>
          <w:tcPr>
            <w:tcW w:w="20" w:type="dxa"/>
            <w:vAlign w:val="bottom"/>
            <w:tcBorders>
              <w:bottom w:val="single" w:sz="8" w:color="D2EEF5"/>
            </w:tcBorders>
            <w:shd w:val="clear" w:color="auto" w:fill="D2EEF5"/>
          </w:tcPr>
          <w:p>
            <w:pPr>
              <w:spacing w:after="0"/>
              <w:rPr>
                <w:sz w:val="24"/>
                <w:szCs w:val="24"/>
                <w:color w:val="auto"/>
              </w:rPr>
            </w:pPr>
          </w:p>
        </w:tc>
        <w:tc>
          <w:tcPr>
            <w:tcW w:w="200" w:type="dxa"/>
            <w:vAlign w:val="bottom"/>
            <w:tcBorders>
              <w:bottom w:val="single" w:sz="8" w:color="auto"/>
            </w:tcBorders>
            <w:shd w:val="clear" w:color="auto" w:fill="D2EEF5"/>
          </w:tcPr>
          <w:p>
            <w:pPr>
              <w:spacing w:after="0"/>
              <w:rPr>
                <w:sz w:val="24"/>
                <w:szCs w:val="24"/>
                <w:color w:val="auto"/>
              </w:rPr>
            </w:pPr>
          </w:p>
        </w:tc>
        <w:tc>
          <w:tcPr>
            <w:tcW w:w="8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D2EEF5"/>
            </w:tcBorders>
            <w:shd w:val="clear" w:color="auto" w:fill="D2EEF5"/>
          </w:tcPr>
          <w:p>
            <w:pPr>
              <w:spacing w:after="0"/>
              <w:rPr>
                <w:sz w:val="24"/>
                <w:szCs w:val="24"/>
                <w:color w:val="auto"/>
              </w:rPr>
            </w:pPr>
          </w:p>
        </w:tc>
        <w:tc>
          <w:tcPr>
            <w:tcW w:w="20" w:type="dxa"/>
            <w:vAlign w:val="bottom"/>
            <w:tcBorders>
              <w:bottom w:val="single" w:sz="8" w:color="D2EEF5"/>
            </w:tcBorders>
            <w:shd w:val="clear" w:color="auto" w:fill="D2EEF5"/>
          </w:tcPr>
          <w:p>
            <w:pPr>
              <w:spacing w:after="0"/>
              <w:rPr>
                <w:sz w:val="24"/>
                <w:szCs w:val="24"/>
                <w:color w:val="auto"/>
              </w:rPr>
            </w:pPr>
          </w:p>
        </w:tc>
        <w:tc>
          <w:tcPr>
            <w:tcW w:w="6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rPr>
              <w:t>0.0</w:t>
            </w:r>
          </w:p>
        </w:tc>
        <w:tc>
          <w:tcPr>
            <w:tcW w:w="240" w:type="dxa"/>
            <w:vAlign w:val="bottom"/>
            <w:tcBorders>
              <w:bottom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shd w:val="clear" w:color="auto" w:fill="D2EEF5"/>
              </w:rPr>
              <w:t>%</w:t>
            </w:r>
          </w:p>
        </w:tc>
        <w:tc>
          <w:tcPr>
            <w:tcW w:w="40" w:type="dxa"/>
            <w:vAlign w:val="bottom"/>
            <w:tcBorders>
              <w:bottom w:val="single" w:sz="8" w:color="D2EEF5"/>
            </w:tcBorders>
            <w:shd w:val="clear" w:color="auto" w:fill="D2EEF5"/>
          </w:tcPr>
          <w:p>
            <w:pPr>
              <w:spacing w:after="0"/>
              <w:rPr>
                <w:sz w:val="24"/>
                <w:szCs w:val="24"/>
                <w:color w:val="auto"/>
              </w:rPr>
            </w:pPr>
          </w:p>
        </w:tc>
        <w:tc>
          <w:tcPr>
            <w:tcW w:w="60" w:type="dxa"/>
            <w:vAlign w:val="bottom"/>
            <w:tcBorders>
              <w:bottom w:val="single" w:sz="8" w:color="D2EEF5"/>
            </w:tcBorders>
            <w:shd w:val="clear" w:color="auto" w:fill="D2EEF5"/>
          </w:tcPr>
          <w:p>
            <w:pPr>
              <w:spacing w:after="0"/>
              <w:rPr>
                <w:sz w:val="24"/>
                <w:szCs w:val="24"/>
                <w:color w:val="auto"/>
              </w:rPr>
            </w:pPr>
          </w:p>
        </w:tc>
        <w:tc>
          <w:tcPr>
            <w:tcW w:w="240" w:type="dxa"/>
            <w:vAlign w:val="bottom"/>
            <w:tcBorders>
              <w:bottom w:val="single" w:sz="8" w:color="auto"/>
            </w:tcBorders>
            <w:shd w:val="clear" w:color="auto" w:fill="D2EEF5"/>
          </w:tcPr>
          <w:p>
            <w:pPr>
              <w:spacing w:after="0"/>
              <w:rPr>
                <w:sz w:val="24"/>
                <w:szCs w:val="24"/>
                <w:color w:val="auto"/>
              </w:rPr>
            </w:pPr>
          </w:p>
        </w:tc>
        <w:tc>
          <w:tcPr>
            <w:tcW w:w="780" w:type="dxa"/>
            <w:vAlign w:val="bottom"/>
            <w:tcBorders>
              <w:bottom w:val="single" w:sz="8" w:color="auto"/>
            </w:tcBorders>
            <w:shd w:val="clear" w:color="auto" w:fill="D2EEF5"/>
          </w:tcPr>
          <w:p>
            <w:pPr>
              <w:jc w:val="right"/>
              <w:ind w:right="1"/>
              <w:spacing w:after="0"/>
              <w:rPr>
                <w:sz w:val="20"/>
                <w:szCs w:val="20"/>
                <w:color w:val="auto"/>
              </w:rPr>
            </w:pPr>
            <w:r>
              <w:rPr>
                <w:rFonts w:ascii="Times New Roman" w:cs="Times New Roman" w:eastAsia="Times New Roman" w:hAnsi="Times New Roman"/>
                <w:sz w:val="20"/>
                <w:szCs w:val="20"/>
                <w:color w:val="auto"/>
              </w:rPr>
              <w:t>11,520</w:t>
            </w:r>
          </w:p>
        </w:tc>
        <w:tc>
          <w:tcPr>
            <w:tcW w:w="40" w:type="dxa"/>
            <w:vAlign w:val="bottom"/>
            <w:tcBorders>
              <w:bottom w:val="single" w:sz="8" w:color="D2EEF5"/>
            </w:tcBorders>
            <w:shd w:val="clear" w:color="auto" w:fill="D2EEF5"/>
          </w:tcPr>
          <w:p>
            <w:pPr>
              <w:spacing w:after="0"/>
              <w:rPr>
                <w:sz w:val="24"/>
                <w:szCs w:val="24"/>
                <w:color w:val="auto"/>
              </w:rPr>
            </w:pPr>
          </w:p>
        </w:tc>
        <w:tc>
          <w:tcPr>
            <w:tcW w:w="20" w:type="dxa"/>
            <w:vAlign w:val="bottom"/>
            <w:tcBorders>
              <w:bottom w:val="single" w:sz="8" w:color="D2EEF5"/>
            </w:tcBorders>
            <w:shd w:val="clear" w:color="auto" w:fill="D2EEF5"/>
          </w:tcPr>
          <w:p>
            <w:pPr>
              <w:spacing w:after="0"/>
              <w:rPr>
                <w:sz w:val="24"/>
                <w:szCs w:val="24"/>
                <w:color w:val="auto"/>
              </w:rPr>
            </w:pPr>
          </w:p>
        </w:tc>
        <w:tc>
          <w:tcPr>
            <w:tcW w:w="160" w:type="dxa"/>
            <w:vAlign w:val="bottom"/>
            <w:tcBorders>
              <w:bottom w:val="single" w:sz="8" w:color="auto"/>
            </w:tcBorders>
            <w:shd w:val="clear" w:color="auto" w:fill="D2EEF5"/>
          </w:tcPr>
          <w:p>
            <w:pPr>
              <w:spacing w:after="0"/>
              <w:rPr>
                <w:sz w:val="24"/>
                <w:szCs w:val="24"/>
                <w:color w:val="auto"/>
              </w:rPr>
            </w:pPr>
          </w:p>
        </w:tc>
        <w:tc>
          <w:tcPr>
            <w:tcW w:w="53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27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w w:val="95"/>
                <w:shd w:val="clear" w:color="auto" w:fill="D2EEF5"/>
              </w:rPr>
              <w:t>%</w:t>
            </w:r>
          </w:p>
        </w:tc>
        <w:tc>
          <w:tcPr>
            <w:tcW w:w="40" w:type="dxa"/>
            <w:vAlign w:val="bottom"/>
            <w:tcBorders>
              <w:bottom w:val="single" w:sz="8" w:color="D2EEF5"/>
            </w:tcBorders>
            <w:shd w:val="clear" w:color="auto" w:fill="D2EEF5"/>
          </w:tcPr>
          <w:p>
            <w:pPr>
              <w:spacing w:after="0"/>
              <w:rPr>
                <w:sz w:val="24"/>
                <w:szCs w:val="24"/>
                <w:color w:val="auto"/>
              </w:rPr>
            </w:pPr>
          </w:p>
        </w:tc>
        <w:tc>
          <w:tcPr>
            <w:tcW w:w="20" w:type="dxa"/>
            <w:vAlign w:val="bottom"/>
            <w:tcBorders>
              <w:bottom w:val="single" w:sz="8" w:color="D2EEF5"/>
            </w:tcBorders>
            <w:shd w:val="clear" w:color="auto" w:fill="D2EEF5"/>
          </w:tcPr>
          <w:p>
            <w:pPr>
              <w:spacing w:after="0"/>
              <w:rPr>
                <w:sz w:val="24"/>
                <w:szCs w:val="24"/>
                <w:color w:val="auto"/>
              </w:rPr>
            </w:pPr>
          </w:p>
        </w:tc>
        <w:tc>
          <w:tcPr>
            <w:tcW w:w="180" w:type="dxa"/>
            <w:vAlign w:val="bottom"/>
            <w:tcBorders>
              <w:bottom w:val="single" w:sz="8" w:color="auto"/>
            </w:tcBorders>
            <w:shd w:val="clear" w:color="auto" w:fill="D2EEF5"/>
          </w:tcPr>
          <w:p>
            <w:pPr>
              <w:spacing w:after="0"/>
              <w:rPr>
                <w:sz w:val="24"/>
                <w:szCs w:val="24"/>
                <w:color w:val="auto"/>
              </w:rPr>
            </w:pPr>
          </w:p>
        </w:tc>
        <w:tc>
          <w:tcPr>
            <w:tcW w:w="8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rPr>
              <w:t>(11,520)</w:t>
            </w:r>
          </w:p>
        </w:tc>
        <w:tc>
          <w:tcPr>
            <w:tcW w:w="40" w:type="dxa"/>
            <w:vAlign w:val="bottom"/>
            <w:tcBorders>
              <w:bottom w:val="single" w:sz="8" w:color="D2EEF5"/>
            </w:tcBorders>
            <w:shd w:val="clear" w:color="auto" w:fill="D2EEF5"/>
          </w:tcPr>
          <w:p>
            <w:pPr>
              <w:spacing w:after="0"/>
              <w:rPr>
                <w:sz w:val="24"/>
                <w:szCs w:val="24"/>
                <w:color w:val="auto"/>
              </w:rPr>
            </w:pPr>
          </w:p>
        </w:tc>
        <w:tc>
          <w:tcPr>
            <w:tcW w:w="20" w:type="dxa"/>
            <w:vAlign w:val="bottom"/>
            <w:tcBorders>
              <w:bottom w:val="single" w:sz="8" w:color="D2EEF5"/>
            </w:tcBorders>
            <w:shd w:val="clear" w:color="auto" w:fill="D2EEF5"/>
          </w:tcPr>
          <w:p>
            <w:pPr>
              <w:spacing w:after="0"/>
              <w:rPr>
                <w:sz w:val="24"/>
                <w:szCs w:val="24"/>
                <w:color w:val="auto"/>
              </w:rPr>
            </w:pPr>
          </w:p>
        </w:tc>
        <w:tc>
          <w:tcPr>
            <w:tcW w:w="860" w:type="dxa"/>
            <w:vAlign w:val="bottom"/>
            <w:tcBorders>
              <w:bottom w:val="single" w:sz="8" w:color="auto"/>
            </w:tcBorders>
            <w:shd w:val="clear" w:color="auto" w:fill="D2EEF5"/>
          </w:tcPr>
          <w:p>
            <w:pPr>
              <w:ind w:left="460"/>
              <w:spacing w:after="0"/>
              <w:rPr>
                <w:sz w:val="20"/>
                <w:szCs w:val="20"/>
                <w:color w:val="auto"/>
              </w:rPr>
            </w:pPr>
            <w:r>
              <w:rPr>
                <w:rFonts w:ascii="Times New Roman" w:cs="Times New Roman" w:eastAsia="Times New Roman" w:hAnsi="Times New Roman"/>
                <w:sz w:val="20"/>
                <w:szCs w:val="20"/>
                <w:color w:val="auto"/>
              </w:rPr>
              <w:t>N/M</w:t>
            </w:r>
          </w:p>
        </w:tc>
        <w:tc>
          <w:tcPr>
            <w:tcW w:w="220" w:type="dxa"/>
            <w:vAlign w:val="bottom"/>
            <w:tcBorders>
              <w:bottom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shd w:val="clear" w:color="auto" w:fill="D2EEF5"/>
              </w:rPr>
              <w:t>%</w:t>
            </w:r>
          </w:p>
        </w:tc>
        <w:tc>
          <w:tcPr>
            <w:tcW w:w="60" w:type="dxa"/>
            <w:vAlign w:val="bottom"/>
            <w:tcBorders>
              <w:bottom w:val="single" w:sz="8" w:color="D2EEF5"/>
            </w:tcBorders>
            <w:shd w:val="clear" w:color="auto" w:fill="D2EEF5"/>
          </w:tcPr>
          <w:p>
            <w:pPr>
              <w:spacing w:after="0"/>
              <w:rPr>
                <w:sz w:val="24"/>
                <w:szCs w:val="24"/>
                <w:color w:val="auto"/>
              </w:rPr>
            </w:pPr>
          </w:p>
        </w:tc>
      </w:tr>
      <w:tr>
        <w:trPr>
          <w:trHeight w:val="251"/>
        </w:trPr>
        <w:tc>
          <w:tcPr>
            <w:tcW w:w="60" w:type="dxa"/>
            <w:vAlign w:val="bottom"/>
          </w:tcPr>
          <w:p>
            <w:pPr>
              <w:spacing w:after="0"/>
              <w:rPr>
                <w:sz w:val="21"/>
                <w:szCs w:val="21"/>
                <w:color w:val="auto"/>
              </w:rPr>
            </w:pPr>
          </w:p>
        </w:tc>
        <w:tc>
          <w:tcPr>
            <w:tcW w:w="3820" w:type="dxa"/>
            <w:vAlign w:val="bottom"/>
            <w:gridSpan w:val="2"/>
          </w:tcPr>
          <w:p>
            <w:pPr>
              <w:ind w:left="360"/>
              <w:spacing w:after="0"/>
              <w:rPr>
                <w:sz w:val="20"/>
                <w:szCs w:val="20"/>
                <w:color w:val="auto"/>
              </w:rPr>
            </w:pPr>
            <w:r>
              <w:rPr>
                <w:rFonts w:ascii="Times New Roman" w:cs="Times New Roman" w:eastAsia="Times New Roman" w:hAnsi="Times New Roman"/>
                <w:sz w:val="20"/>
                <w:szCs w:val="20"/>
                <w:b w:val="1"/>
                <w:bCs w:val="1"/>
                <w:color w:val="auto"/>
              </w:rPr>
              <w:t>Loss from operations</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(276,918)</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-206.3</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(52,181)</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-27.4 %</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(224,737)</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-430.7</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r>
      <w:tr>
        <w:trPr>
          <w:trHeight w:val="286"/>
        </w:trPr>
        <w:tc>
          <w:tcPr>
            <w:tcW w:w="60" w:type="dxa"/>
            <w:vAlign w:val="bottom"/>
            <w:shd w:val="clear" w:color="auto" w:fill="D2EEF5"/>
          </w:tcPr>
          <w:p>
            <w:pPr>
              <w:spacing w:after="0"/>
              <w:rPr>
                <w:sz w:val="24"/>
                <w:szCs w:val="24"/>
                <w:color w:val="auto"/>
              </w:rPr>
            </w:pPr>
          </w:p>
        </w:tc>
        <w:tc>
          <w:tcPr>
            <w:tcW w:w="3800" w:type="dxa"/>
            <w:vAlign w:val="bottom"/>
            <w:shd w:val="clear" w:color="auto" w:fill="D2EEF5"/>
          </w:tcPr>
          <w:p>
            <w:pPr>
              <w:ind w:left="120"/>
              <w:spacing w:after="0"/>
              <w:rPr>
                <w:sz w:val="20"/>
                <w:szCs w:val="20"/>
                <w:color w:val="auto"/>
              </w:rPr>
            </w:pPr>
            <w:r>
              <w:rPr>
                <w:rFonts w:ascii="Times New Roman" w:cs="Times New Roman" w:eastAsia="Times New Roman" w:hAnsi="Times New Roman"/>
                <w:sz w:val="20"/>
                <w:szCs w:val="20"/>
                <w:color w:val="auto"/>
              </w:rPr>
              <w:t>Interest expense</w:t>
            </w:r>
          </w:p>
        </w:tc>
        <w:tc>
          <w:tcPr>
            <w:tcW w:w="20" w:type="dxa"/>
            <w:vAlign w:val="bottom"/>
            <w:shd w:val="clear" w:color="auto" w:fill="D2EEF5"/>
          </w:tcPr>
          <w:p>
            <w:pPr>
              <w:spacing w:after="0"/>
              <w:rPr>
                <w:sz w:val="24"/>
                <w:szCs w:val="24"/>
                <w:color w:val="auto"/>
              </w:rPr>
            </w:pPr>
          </w:p>
        </w:tc>
        <w:tc>
          <w:tcPr>
            <w:tcW w:w="200" w:type="dxa"/>
            <w:vAlign w:val="bottom"/>
            <w:shd w:val="clear" w:color="auto" w:fill="D2EEF5"/>
          </w:tcPr>
          <w:p>
            <w:pPr>
              <w:spacing w:after="0"/>
              <w:rPr>
                <w:sz w:val="24"/>
                <w:szCs w:val="24"/>
                <w:color w:val="auto"/>
              </w:rPr>
            </w:pPr>
          </w:p>
        </w:tc>
        <w:tc>
          <w:tcPr>
            <w:tcW w:w="8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rPr>
              <w:t>(13,427)</w:t>
            </w:r>
          </w:p>
        </w:tc>
        <w:tc>
          <w:tcPr>
            <w:tcW w:w="6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6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2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shd w:val="clear" w:color="auto" w:fill="D2EEF5"/>
              </w:rPr>
              <w:t>%</w:t>
            </w:r>
          </w:p>
        </w:tc>
        <w:tc>
          <w:tcPr>
            <w:tcW w:w="40" w:type="dxa"/>
            <w:vAlign w:val="bottom"/>
            <w:shd w:val="clear" w:color="auto" w:fill="D2EEF5"/>
          </w:tcPr>
          <w:p>
            <w:pPr>
              <w:spacing w:after="0"/>
              <w:rPr>
                <w:sz w:val="24"/>
                <w:szCs w:val="24"/>
                <w:color w:val="auto"/>
              </w:rPr>
            </w:pPr>
          </w:p>
        </w:tc>
        <w:tc>
          <w:tcPr>
            <w:tcW w:w="60" w:type="dxa"/>
            <w:vAlign w:val="bottom"/>
            <w:shd w:val="clear" w:color="auto" w:fill="D2EEF5"/>
          </w:tcPr>
          <w:p>
            <w:pPr>
              <w:spacing w:after="0"/>
              <w:rPr>
                <w:sz w:val="24"/>
                <w:szCs w:val="24"/>
                <w:color w:val="auto"/>
              </w:rPr>
            </w:pPr>
          </w:p>
        </w:tc>
        <w:tc>
          <w:tcPr>
            <w:tcW w:w="240" w:type="dxa"/>
            <w:vAlign w:val="bottom"/>
            <w:shd w:val="clear" w:color="auto" w:fill="D2EEF5"/>
          </w:tcPr>
          <w:p>
            <w:pPr>
              <w:spacing w:after="0"/>
              <w:rPr>
                <w:sz w:val="24"/>
                <w:szCs w:val="24"/>
                <w:color w:val="auto"/>
              </w:rPr>
            </w:pPr>
          </w:p>
        </w:tc>
        <w:tc>
          <w:tcPr>
            <w:tcW w:w="7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rPr>
              <w:t>(15,237)</w:t>
            </w:r>
          </w:p>
        </w:tc>
        <w:tc>
          <w:tcPr>
            <w:tcW w:w="4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160" w:type="dxa"/>
            <w:vAlign w:val="bottom"/>
            <w:shd w:val="clear" w:color="auto" w:fill="D2EEF5"/>
          </w:tcPr>
          <w:p>
            <w:pPr>
              <w:spacing w:after="0"/>
              <w:rPr>
                <w:sz w:val="24"/>
                <w:szCs w:val="24"/>
                <w:color w:val="auto"/>
              </w:rPr>
            </w:pPr>
          </w:p>
        </w:tc>
        <w:tc>
          <w:tcPr>
            <w:tcW w:w="53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27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w w:val="95"/>
                <w:shd w:val="clear" w:color="auto" w:fill="D2EEF5"/>
              </w:rPr>
              <w:t>%</w:t>
            </w:r>
          </w:p>
        </w:tc>
        <w:tc>
          <w:tcPr>
            <w:tcW w:w="4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180" w:type="dxa"/>
            <w:vAlign w:val="bottom"/>
            <w:shd w:val="clear" w:color="auto" w:fill="D2EEF5"/>
          </w:tcPr>
          <w:p>
            <w:pPr>
              <w:spacing w:after="0"/>
              <w:rPr>
                <w:sz w:val="24"/>
                <w:szCs w:val="24"/>
                <w:color w:val="auto"/>
              </w:rPr>
            </w:pPr>
          </w:p>
        </w:tc>
        <w:tc>
          <w:tcPr>
            <w:tcW w:w="8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rPr>
              <w:t>1,810</w:t>
            </w:r>
          </w:p>
        </w:tc>
        <w:tc>
          <w:tcPr>
            <w:tcW w:w="4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rPr>
              <w:t>11.9</w:t>
            </w:r>
          </w:p>
        </w:tc>
        <w:tc>
          <w:tcPr>
            <w:tcW w:w="2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shd w:val="clear" w:color="auto" w:fill="D2EEF5"/>
              </w:rPr>
              <w:t>%</w:t>
            </w:r>
          </w:p>
        </w:tc>
        <w:tc>
          <w:tcPr>
            <w:tcW w:w="60" w:type="dxa"/>
            <w:vAlign w:val="bottom"/>
            <w:shd w:val="clear" w:color="auto" w:fill="D2EEF5"/>
          </w:tcPr>
          <w:p>
            <w:pPr>
              <w:spacing w:after="0"/>
              <w:rPr>
                <w:sz w:val="24"/>
                <w:szCs w:val="24"/>
                <w:color w:val="auto"/>
              </w:rPr>
            </w:pPr>
          </w:p>
        </w:tc>
      </w:tr>
      <w:tr>
        <w:trPr>
          <w:trHeight w:val="284"/>
        </w:trPr>
        <w:tc>
          <w:tcPr>
            <w:tcW w:w="60" w:type="dxa"/>
            <w:vAlign w:val="bottom"/>
          </w:tcPr>
          <w:p>
            <w:pPr>
              <w:spacing w:after="0"/>
              <w:rPr>
                <w:sz w:val="24"/>
                <w:szCs w:val="24"/>
                <w:color w:val="auto"/>
              </w:rPr>
            </w:pPr>
          </w:p>
        </w:tc>
        <w:tc>
          <w:tcPr>
            <w:tcW w:w="38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Other (expense) income, net</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-0.1 %</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1,570</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0.8 %</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(1,755)</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-111.8 %</w:t>
            </w:r>
          </w:p>
        </w:tc>
        <w:tc>
          <w:tcPr>
            <w:tcW w:w="60" w:type="dxa"/>
            <w:vAlign w:val="bottom"/>
          </w:tcPr>
          <w:p>
            <w:pPr>
              <w:spacing w:after="0"/>
              <w:rPr>
                <w:sz w:val="24"/>
                <w:szCs w:val="24"/>
                <w:color w:val="auto"/>
              </w:rPr>
            </w:pPr>
          </w:p>
        </w:tc>
      </w:tr>
      <w:tr>
        <w:trPr>
          <w:trHeight w:val="266"/>
        </w:trPr>
        <w:tc>
          <w:tcPr>
            <w:tcW w:w="60" w:type="dxa"/>
            <w:vAlign w:val="bottom"/>
            <w:shd w:val="clear" w:color="auto" w:fill="D2EEF5"/>
          </w:tcPr>
          <w:p>
            <w:pPr>
              <w:spacing w:after="0"/>
              <w:rPr>
                <w:sz w:val="23"/>
                <w:szCs w:val="23"/>
                <w:color w:val="auto"/>
              </w:rPr>
            </w:pPr>
          </w:p>
        </w:tc>
        <w:tc>
          <w:tcPr>
            <w:tcW w:w="3800" w:type="dxa"/>
            <w:vAlign w:val="bottom"/>
            <w:shd w:val="clear" w:color="auto" w:fill="D2EEF5"/>
          </w:tcPr>
          <w:p>
            <w:pPr>
              <w:ind w:left="360"/>
              <w:spacing w:after="0"/>
              <w:rPr>
                <w:sz w:val="20"/>
                <w:szCs w:val="20"/>
                <w:color w:val="auto"/>
              </w:rPr>
            </w:pPr>
            <w:r>
              <w:rPr>
                <w:rFonts w:ascii="Times New Roman" w:cs="Times New Roman" w:eastAsia="Times New Roman" w:hAnsi="Times New Roman"/>
                <w:sz w:val="20"/>
                <w:szCs w:val="20"/>
                <w:b w:val="1"/>
                <w:bCs w:val="1"/>
                <w:color w:val="auto"/>
              </w:rPr>
              <w:t>Loss before tax</w:t>
            </w:r>
          </w:p>
        </w:tc>
        <w:tc>
          <w:tcPr>
            <w:tcW w:w="20" w:type="dxa"/>
            <w:vAlign w:val="bottom"/>
            <w:shd w:val="clear" w:color="auto" w:fill="D2EEF5"/>
          </w:tcPr>
          <w:p>
            <w:pPr>
              <w:spacing w:after="0"/>
              <w:rPr>
                <w:sz w:val="23"/>
                <w:szCs w:val="23"/>
                <w:color w:val="auto"/>
              </w:rPr>
            </w:pPr>
          </w:p>
        </w:tc>
        <w:tc>
          <w:tcPr>
            <w:tcW w:w="200" w:type="dxa"/>
            <w:vAlign w:val="bottom"/>
            <w:tcBorders>
              <w:top w:val="single" w:sz="8" w:color="auto"/>
            </w:tcBorders>
            <w:shd w:val="clear" w:color="auto" w:fill="D2EEF5"/>
          </w:tcPr>
          <w:p>
            <w:pPr>
              <w:spacing w:after="0"/>
              <w:rPr>
                <w:sz w:val="23"/>
                <w:szCs w:val="23"/>
                <w:color w:val="auto"/>
              </w:rPr>
            </w:pPr>
          </w:p>
        </w:tc>
        <w:tc>
          <w:tcPr>
            <w:tcW w:w="800" w:type="dxa"/>
            <w:vAlign w:val="bottom"/>
            <w:tcBorders>
              <w:top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w w:val="99"/>
              </w:rPr>
              <w:t>(290,530)</w:t>
            </w:r>
          </w:p>
        </w:tc>
        <w:tc>
          <w:tcPr>
            <w:tcW w:w="60" w:type="dxa"/>
            <w:vAlign w:val="bottom"/>
            <w:tcBorders>
              <w:top w:val="single" w:sz="8" w:color="D2EEF5"/>
            </w:tcBorders>
            <w:shd w:val="clear" w:color="auto" w:fill="D2EEF5"/>
          </w:tcPr>
          <w:p>
            <w:pPr>
              <w:spacing w:after="0"/>
              <w:rPr>
                <w:sz w:val="23"/>
                <w:szCs w:val="23"/>
                <w:color w:val="auto"/>
              </w:rPr>
            </w:pPr>
          </w:p>
        </w:tc>
        <w:tc>
          <w:tcPr>
            <w:tcW w:w="20" w:type="dxa"/>
            <w:vAlign w:val="bottom"/>
            <w:tcBorders>
              <w:top w:val="single" w:sz="8" w:color="D2EEF5"/>
            </w:tcBorders>
            <w:shd w:val="clear" w:color="auto" w:fill="D2EEF5"/>
          </w:tcPr>
          <w:p>
            <w:pPr>
              <w:spacing w:after="0"/>
              <w:rPr>
                <w:sz w:val="23"/>
                <w:szCs w:val="23"/>
                <w:color w:val="auto"/>
              </w:rPr>
            </w:pPr>
          </w:p>
        </w:tc>
        <w:tc>
          <w:tcPr>
            <w:tcW w:w="660" w:type="dxa"/>
            <w:vAlign w:val="bottom"/>
            <w:tcBorders>
              <w:top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rPr>
              <w:t>-216.4</w:t>
            </w:r>
          </w:p>
        </w:tc>
        <w:tc>
          <w:tcPr>
            <w:tcW w:w="240" w:type="dxa"/>
            <w:vAlign w:val="bottom"/>
            <w:tcBorders>
              <w:top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shd w:val="clear" w:color="auto" w:fill="D2EEF5"/>
              </w:rPr>
              <w:t>%</w:t>
            </w:r>
          </w:p>
        </w:tc>
        <w:tc>
          <w:tcPr>
            <w:tcW w:w="40" w:type="dxa"/>
            <w:vAlign w:val="bottom"/>
            <w:tcBorders>
              <w:top w:val="single" w:sz="8" w:color="auto"/>
            </w:tcBorders>
            <w:shd w:val="clear" w:color="auto" w:fill="D2EEF5"/>
          </w:tcPr>
          <w:p>
            <w:pPr>
              <w:spacing w:after="0"/>
              <w:rPr>
                <w:sz w:val="23"/>
                <w:szCs w:val="23"/>
                <w:color w:val="auto"/>
              </w:rPr>
            </w:pPr>
          </w:p>
        </w:tc>
        <w:tc>
          <w:tcPr>
            <w:tcW w:w="60" w:type="dxa"/>
            <w:vAlign w:val="bottom"/>
            <w:tcBorders>
              <w:top w:val="single" w:sz="8" w:color="D2EEF5"/>
            </w:tcBorders>
            <w:shd w:val="clear" w:color="auto" w:fill="D2EEF5"/>
          </w:tcPr>
          <w:p>
            <w:pPr>
              <w:spacing w:after="0"/>
              <w:rPr>
                <w:sz w:val="23"/>
                <w:szCs w:val="23"/>
                <w:color w:val="auto"/>
              </w:rPr>
            </w:pPr>
          </w:p>
        </w:tc>
        <w:tc>
          <w:tcPr>
            <w:tcW w:w="240" w:type="dxa"/>
            <w:vAlign w:val="bottom"/>
            <w:tcBorders>
              <w:top w:val="single" w:sz="8" w:color="auto"/>
            </w:tcBorders>
            <w:shd w:val="clear" w:color="auto" w:fill="D2EEF5"/>
          </w:tcPr>
          <w:p>
            <w:pPr>
              <w:spacing w:after="0"/>
              <w:rPr>
                <w:sz w:val="23"/>
                <w:szCs w:val="23"/>
                <w:color w:val="auto"/>
              </w:rPr>
            </w:pPr>
          </w:p>
        </w:tc>
        <w:tc>
          <w:tcPr>
            <w:tcW w:w="780" w:type="dxa"/>
            <w:vAlign w:val="bottom"/>
            <w:tcBorders>
              <w:top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rPr>
              <w:t>(65,848)</w:t>
            </w:r>
          </w:p>
        </w:tc>
        <w:tc>
          <w:tcPr>
            <w:tcW w:w="40" w:type="dxa"/>
            <w:vAlign w:val="bottom"/>
            <w:tcBorders>
              <w:top w:val="single" w:sz="8" w:color="D2EEF5"/>
            </w:tcBorders>
            <w:shd w:val="clear" w:color="auto" w:fill="D2EEF5"/>
          </w:tcPr>
          <w:p>
            <w:pPr>
              <w:spacing w:after="0"/>
              <w:rPr>
                <w:sz w:val="23"/>
                <w:szCs w:val="23"/>
                <w:color w:val="auto"/>
              </w:rPr>
            </w:pPr>
          </w:p>
        </w:tc>
        <w:tc>
          <w:tcPr>
            <w:tcW w:w="20" w:type="dxa"/>
            <w:vAlign w:val="bottom"/>
            <w:tcBorders>
              <w:top w:val="single" w:sz="8" w:color="D2EEF5"/>
            </w:tcBorders>
            <w:shd w:val="clear" w:color="auto" w:fill="D2EEF5"/>
          </w:tcPr>
          <w:p>
            <w:pPr>
              <w:spacing w:after="0"/>
              <w:rPr>
                <w:sz w:val="23"/>
                <w:szCs w:val="23"/>
                <w:color w:val="auto"/>
              </w:rPr>
            </w:pPr>
          </w:p>
        </w:tc>
        <w:tc>
          <w:tcPr>
            <w:tcW w:w="160" w:type="dxa"/>
            <w:vAlign w:val="bottom"/>
            <w:tcBorders>
              <w:top w:val="single" w:sz="8" w:color="auto"/>
            </w:tcBorders>
            <w:shd w:val="clear" w:color="auto" w:fill="D2EEF5"/>
          </w:tcPr>
          <w:p>
            <w:pPr>
              <w:spacing w:after="0"/>
              <w:rPr>
                <w:sz w:val="23"/>
                <w:szCs w:val="23"/>
                <w:color w:val="auto"/>
              </w:rPr>
            </w:pPr>
          </w:p>
        </w:tc>
        <w:tc>
          <w:tcPr>
            <w:tcW w:w="530" w:type="dxa"/>
            <w:vAlign w:val="bottom"/>
            <w:tcBorders>
              <w:top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rPr>
              <w:t>-34.6</w:t>
            </w:r>
          </w:p>
        </w:tc>
        <w:tc>
          <w:tcPr>
            <w:tcW w:w="270" w:type="dxa"/>
            <w:vAlign w:val="bottom"/>
            <w:tcBorders>
              <w:top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w w:val="95"/>
                <w:shd w:val="clear" w:color="auto" w:fill="D2EEF5"/>
              </w:rPr>
              <w:t>%</w:t>
            </w:r>
          </w:p>
        </w:tc>
        <w:tc>
          <w:tcPr>
            <w:tcW w:w="40" w:type="dxa"/>
            <w:vAlign w:val="bottom"/>
            <w:tcBorders>
              <w:top w:val="single" w:sz="8" w:color="D2EEF5"/>
            </w:tcBorders>
            <w:shd w:val="clear" w:color="auto" w:fill="D2EEF5"/>
          </w:tcPr>
          <w:p>
            <w:pPr>
              <w:spacing w:after="0"/>
              <w:rPr>
                <w:sz w:val="23"/>
                <w:szCs w:val="23"/>
                <w:color w:val="auto"/>
              </w:rPr>
            </w:pPr>
          </w:p>
        </w:tc>
        <w:tc>
          <w:tcPr>
            <w:tcW w:w="20" w:type="dxa"/>
            <w:vAlign w:val="bottom"/>
            <w:tcBorders>
              <w:top w:val="single" w:sz="8" w:color="D2EEF5"/>
            </w:tcBorders>
            <w:shd w:val="clear" w:color="auto" w:fill="D2EEF5"/>
          </w:tcPr>
          <w:p>
            <w:pPr>
              <w:spacing w:after="0"/>
              <w:rPr>
                <w:sz w:val="23"/>
                <w:szCs w:val="23"/>
                <w:color w:val="auto"/>
              </w:rPr>
            </w:pPr>
          </w:p>
        </w:tc>
        <w:tc>
          <w:tcPr>
            <w:tcW w:w="180" w:type="dxa"/>
            <w:vAlign w:val="bottom"/>
            <w:tcBorders>
              <w:top w:val="single" w:sz="8" w:color="auto"/>
            </w:tcBorders>
            <w:shd w:val="clear" w:color="auto" w:fill="D2EEF5"/>
          </w:tcPr>
          <w:p>
            <w:pPr>
              <w:spacing w:after="0"/>
              <w:rPr>
                <w:sz w:val="23"/>
                <w:szCs w:val="23"/>
                <w:color w:val="auto"/>
              </w:rPr>
            </w:pPr>
          </w:p>
        </w:tc>
        <w:tc>
          <w:tcPr>
            <w:tcW w:w="820" w:type="dxa"/>
            <w:vAlign w:val="bottom"/>
            <w:tcBorders>
              <w:top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w w:val="99"/>
              </w:rPr>
              <w:t>(224,682)</w:t>
            </w:r>
          </w:p>
        </w:tc>
        <w:tc>
          <w:tcPr>
            <w:tcW w:w="40" w:type="dxa"/>
            <w:vAlign w:val="bottom"/>
            <w:tcBorders>
              <w:top w:val="single" w:sz="8" w:color="D2EEF5"/>
            </w:tcBorders>
            <w:shd w:val="clear" w:color="auto" w:fill="D2EEF5"/>
          </w:tcPr>
          <w:p>
            <w:pPr>
              <w:spacing w:after="0"/>
              <w:rPr>
                <w:sz w:val="23"/>
                <w:szCs w:val="23"/>
                <w:color w:val="auto"/>
              </w:rPr>
            </w:pPr>
          </w:p>
        </w:tc>
        <w:tc>
          <w:tcPr>
            <w:tcW w:w="20" w:type="dxa"/>
            <w:vAlign w:val="bottom"/>
            <w:tcBorders>
              <w:top w:val="single" w:sz="8" w:color="D2EEF5"/>
            </w:tcBorders>
            <w:shd w:val="clear" w:color="auto" w:fill="D2EEF5"/>
          </w:tcPr>
          <w:p>
            <w:pPr>
              <w:spacing w:after="0"/>
              <w:rPr>
                <w:sz w:val="23"/>
                <w:szCs w:val="23"/>
                <w:color w:val="auto"/>
              </w:rPr>
            </w:pPr>
          </w:p>
        </w:tc>
        <w:tc>
          <w:tcPr>
            <w:tcW w:w="860" w:type="dxa"/>
            <w:vAlign w:val="bottom"/>
            <w:tcBorders>
              <w:top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rPr>
              <w:t>-341.2</w:t>
            </w:r>
          </w:p>
        </w:tc>
        <w:tc>
          <w:tcPr>
            <w:tcW w:w="220" w:type="dxa"/>
            <w:vAlign w:val="bottom"/>
            <w:tcBorders>
              <w:top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shd w:val="clear" w:color="auto" w:fill="D2EEF5"/>
              </w:rPr>
              <w:t>%</w:t>
            </w:r>
          </w:p>
        </w:tc>
        <w:tc>
          <w:tcPr>
            <w:tcW w:w="60" w:type="dxa"/>
            <w:vAlign w:val="bottom"/>
            <w:tcBorders>
              <w:top w:val="single" w:sz="8" w:color="auto"/>
            </w:tcBorders>
            <w:shd w:val="clear" w:color="auto" w:fill="D2EEF5"/>
          </w:tcPr>
          <w:p>
            <w:pPr>
              <w:spacing w:after="0"/>
              <w:rPr>
                <w:sz w:val="23"/>
                <w:szCs w:val="23"/>
                <w:color w:val="auto"/>
              </w:rPr>
            </w:pPr>
          </w:p>
        </w:tc>
      </w:tr>
      <w:tr>
        <w:trPr>
          <w:trHeight w:val="284"/>
        </w:trPr>
        <w:tc>
          <w:tcPr>
            <w:tcW w:w="60" w:type="dxa"/>
            <w:vAlign w:val="bottom"/>
          </w:tcPr>
          <w:p>
            <w:pPr>
              <w:spacing w:after="0"/>
              <w:rPr>
                <w:sz w:val="24"/>
                <w:szCs w:val="24"/>
                <w:color w:val="auto"/>
              </w:rPr>
            </w:pPr>
          </w:p>
        </w:tc>
        <w:tc>
          <w:tcPr>
            <w:tcW w:w="38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Income tax benefit (expense)</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740</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0.6 %</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(869)</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-0.5 %</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1,609</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-185.2 %</w:t>
            </w:r>
          </w:p>
        </w:tc>
        <w:tc>
          <w:tcPr>
            <w:tcW w:w="60" w:type="dxa"/>
            <w:vAlign w:val="bottom"/>
          </w:tcPr>
          <w:p>
            <w:pPr>
              <w:spacing w:after="0"/>
              <w:rPr>
                <w:sz w:val="24"/>
                <w:szCs w:val="24"/>
                <w:color w:val="auto"/>
              </w:rPr>
            </w:pPr>
          </w:p>
        </w:tc>
      </w:tr>
      <w:tr>
        <w:trPr>
          <w:trHeight w:val="268"/>
        </w:trPr>
        <w:tc>
          <w:tcPr>
            <w:tcW w:w="60" w:type="dxa"/>
            <w:vAlign w:val="bottom"/>
            <w:shd w:val="clear" w:color="auto" w:fill="D2EEF5"/>
          </w:tcPr>
          <w:p>
            <w:pPr>
              <w:spacing w:after="0"/>
              <w:rPr>
                <w:sz w:val="23"/>
                <w:szCs w:val="23"/>
                <w:color w:val="auto"/>
              </w:rPr>
            </w:pPr>
          </w:p>
        </w:tc>
        <w:tc>
          <w:tcPr>
            <w:tcW w:w="3800" w:type="dxa"/>
            <w:vAlign w:val="bottom"/>
            <w:shd w:val="clear" w:color="auto" w:fill="D2EEF5"/>
          </w:tcPr>
          <w:p>
            <w:pPr>
              <w:ind w:left="360"/>
              <w:spacing w:after="0"/>
              <w:rPr>
                <w:sz w:val="20"/>
                <w:szCs w:val="20"/>
                <w:color w:val="auto"/>
              </w:rPr>
            </w:pPr>
            <w:r>
              <w:rPr>
                <w:rFonts w:ascii="Times New Roman" w:cs="Times New Roman" w:eastAsia="Times New Roman" w:hAnsi="Times New Roman"/>
                <w:sz w:val="20"/>
                <w:szCs w:val="20"/>
                <w:b w:val="1"/>
                <w:bCs w:val="1"/>
                <w:color w:val="auto"/>
              </w:rPr>
              <w:t>Net loss</w:t>
            </w:r>
          </w:p>
        </w:tc>
        <w:tc>
          <w:tcPr>
            <w:tcW w:w="20" w:type="dxa"/>
            <w:vAlign w:val="bottom"/>
            <w:tcBorders>
              <w:bottom w:val="single" w:sz="8" w:color="auto"/>
            </w:tcBorders>
            <w:shd w:val="clear" w:color="auto" w:fill="D2EEF5"/>
          </w:tcPr>
          <w:p>
            <w:pPr>
              <w:spacing w:after="0"/>
              <w:rPr>
                <w:sz w:val="23"/>
                <w:szCs w:val="23"/>
                <w:color w:val="auto"/>
              </w:rPr>
            </w:pPr>
          </w:p>
        </w:tc>
        <w:tc>
          <w:tcPr>
            <w:tcW w:w="200" w:type="dxa"/>
            <w:vAlign w:val="bottom"/>
            <w:tcBorders>
              <w:top w:val="single" w:sz="8" w:color="auto"/>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Borders>
              <w:top w:val="single" w:sz="8" w:color="auto"/>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w w:val="99"/>
              </w:rPr>
              <w:t>(289,790)</w:t>
            </w:r>
          </w:p>
        </w:tc>
        <w:tc>
          <w:tcPr>
            <w:tcW w:w="60" w:type="dxa"/>
            <w:vAlign w:val="bottom"/>
            <w:tcBorders>
              <w:top w:val="single" w:sz="8" w:color="D2EEF5"/>
            </w:tcBorders>
            <w:shd w:val="clear" w:color="auto" w:fill="D2EEF5"/>
          </w:tcPr>
          <w:p>
            <w:pPr>
              <w:spacing w:after="0"/>
              <w:rPr>
                <w:sz w:val="23"/>
                <w:szCs w:val="23"/>
                <w:color w:val="auto"/>
              </w:rPr>
            </w:pPr>
          </w:p>
        </w:tc>
        <w:tc>
          <w:tcPr>
            <w:tcW w:w="20" w:type="dxa"/>
            <w:vAlign w:val="bottom"/>
            <w:tcBorders>
              <w:top w:val="single" w:sz="8" w:color="D2EEF5"/>
              <w:bottom w:val="single" w:sz="8" w:color="auto"/>
            </w:tcBorders>
            <w:shd w:val="clear" w:color="auto" w:fill="D2EEF5"/>
          </w:tcPr>
          <w:p>
            <w:pPr>
              <w:spacing w:after="0"/>
              <w:rPr>
                <w:sz w:val="23"/>
                <w:szCs w:val="23"/>
                <w:color w:val="auto"/>
              </w:rPr>
            </w:pPr>
          </w:p>
        </w:tc>
        <w:tc>
          <w:tcPr>
            <w:tcW w:w="660" w:type="dxa"/>
            <w:vAlign w:val="bottom"/>
            <w:tcBorders>
              <w:top w:val="single" w:sz="8" w:color="auto"/>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rPr>
              <w:t>-215.9</w:t>
            </w:r>
          </w:p>
        </w:tc>
        <w:tc>
          <w:tcPr>
            <w:tcW w:w="240" w:type="dxa"/>
            <w:vAlign w:val="bottom"/>
            <w:tcBorders>
              <w:top w:val="single" w:sz="8" w:color="auto"/>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shd w:val="clear" w:color="auto" w:fill="D2EEF5"/>
              </w:rPr>
              <w:t>%</w:t>
            </w:r>
          </w:p>
        </w:tc>
        <w:tc>
          <w:tcPr>
            <w:tcW w:w="40" w:type="dxa"/>
            <w:vAlign w:val="bottom"/>
            <w:tcBorders>
              <w:top w:val="single" w:sz="8" w:color="auto"/>
              <w:bottom w:val="single" w:sz="8" w:color="auto"/>
            </w:tcBorders>
            <w:shd w:val="clear" w:color="auto" w:fill="D2EEF5"/>
          </w:tcPr>
          <w:p>
            <w:pPr>
              <w:spacing w:after="0"/>
              <w:rPr>
                <w:sz w:val="23"/>
                <w:szCs w:val="23"/>
                <w:color w:val="auto"/>
              </w:rPr>
            </w:pPr>
          </w:p>
        </w:tc>
        <w:tc>
          <w:tcPr>
            <w:tcW w:w="60" w:type="dxa"/>
            <w:vAlign w:val="bottom"/>
            <w:tcBorders>
              <w:top w:val="single" w:sz="8" w:color="D2EEF5"/>
            </w:tcBorders>
            <w:shd w:val="clear" w:color="auto" w:fill="D2EEF5"/>
          </w:tcPr>
          <w:p>
            <w:pPr>
              <w:spacing w:after="0"/>
              <w:rPr>
                <w:sz w:val="23"/>
                <w:szCs w:val="23"/>
                <w:color w:val="auto"/>
              </w:rPr>
            </w:pPr>
          </w:p>
        </w:tc>
        <w:tc>
          <w:tcPr>
            <w:tcW w:w="240" w:type="dxa"/>
            <w:vAlign w:val="bottom"/>
            <w:tcBorders>
              <w:top w:val="single" w:sz="8" w:color="auto"/>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top w:val="single" w:sz="8" w:color="auto"/>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rPr>
              <w:t>(66,717)</w:t>
            </w:r>
          </w:p>
        </w:tc>
        <w:tc>
          <w:tcPr>
            <w:tcW w:w="40" w:type="dxa"/>
            <w:vAlign w:val="bottom"/>
            <w:tcBorders>
              <w:top w:val="single" w:sz="8" w:color="D2EEF5"/>
            </w:tcBorders>
            <w:shd w:val="clear" w:color="auto" w:fill="D2EEF5"/>
          </w:tcPr>
          <w:p>
            <w:pPr>
              <w:spacing w:after="0"/>
              <w:rPr>
                <w:sz w:val="23"/>
                <w:szCs w:val="23"/>
                <w:color w:val="auto"/>
              </w:rPr>
            </w:pPr>
          </w:p>
        </w:tc>
        <w:tc>
          <w:tcPr>
            <w:tcW w:w="20" w:type="dxa"/>
            <w:vAlign w:val="bottom"/>
            <w:tcBorders>
              <w:top w:val="single" w:sz="8" w:color="D2EEF5"/>
              <w:bottom w:val="single" w:sz="8" w:color="auto"/>
            </w:tcBorders>
            <w:shd w:val="clear" w:color="auto" w:fill="D2EEF5"/>
          </w:tcPr>
          <w:p>
            <w:pPr>
              <w:spacing w:after="0"/>
              <w:rPr>
                <w:sz w:val="23"/>
                <w:szCs w:val="23"/>
                <w:color w:val="auto"/>
              </w:rPr>
            </w:pPr>
          </w:p>
        </w:tc>
        <w:tc>
          <w:tcPr>
            <w:tcW w:w="160" w:type="dxa"/>
            <w:vAlign w:val="bottom"/>
            <w:tcBorders>
              <w:top w:val="single" w:sz="8" w:color="auto"/>
              <w:bottom w:val="single" w:sz="8" w:color="auto"/>
            </w:tcBorders>
            <w:shd w:val="clear" w:color="auto" w:fill="D2EEF5"/>
          </w:tcPr>
          <w:p>
            <w:pPr>
              <w:spacing w:after="0"/>
              <w:rPr>
                <w:sz w:val="23"/>
                <w:szCs w:val="23"/>
                <w:color w:val="auto"/>
              </w:rPr>
            </w:pPr>
          </w:p>
        </w:tc>
        <w:tc>
          <w:tcPr>
            <w:tcW w:w="530" w:type="dxa"/>
            <w:vAlign w:val="bottom"/>
            <w:tcBorders>
              <w:top w:val="single" w:sz="8" w:color="auto"/>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rPr>
              <w:t>-35.1</w:t>
            </w:r>
          </w:p>
        </w:tc>
        <w:tc>
          <w:tcPr>
            <w:tcW w:w="270" w:type="dxa"/>
            <w:vAlign w:val="bottom"/>
            <w:tcBorders>
              <w:top w:val="single" w:sz="8" w:color="auto"/>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w w:val="95"/>
                <w:shd w:val="clear" w:color="auto" w:fill="D2EEF5"/>
              </w:rPr>
              <w:t>%</w:t>
            </w:r>
          </w:p>
        </w:tc>
        <w:tc>
          <w:tcPr>
            <w:tcW w:w="40" w:type="dxa"/>
            <w:vAlign w:val="bottom"/>
            <w:tcBorders>
              <w:top w:val="single" w:sz="8" w:color="D2EEF5"/>
            </w:tcBorders>
            <w:shd w:val="clear" w:color="auto" w:fill="D2EEF5"/>
          </w:tcPr>
          <w:p>
            <w:pPr>
              <w:spacing w:after="0"/>
              <w:rPr>
                <w:sz w:val="23"/>
                <w:szCs w:val="23"/>
                <w:color w:val="auto"/>
              </w:rPr>
            </w:pPr>
          </w:p>
        </w:tc>
        <w:tc>
          <w:tcPr>
            <w:tcW w:w="20" w:type="dxa"/>
            <w:vAlign w:val="bottom"/>
            <w:tcBorders>
              <w:top w:val="single" w:sz="8" w:color="D2EEF5"/>
              <w:bottom w:val="single" w:sz="8" w:color="auto"/>
            </w:tcBorders>
            <w:shd w:val="clear" w:color="auto" w:fill="D2EEF5"/>
          </w:tcPr>
          <w:p>
            <w:pPr>
              <w:spacing w:after="0"/>
              <w:rPr>
                <w:sz w:val="23"/>
                <w:szCs w:val="23"/>
                <w:color w:val="auto"/>
              </w:rPr>
            </w:pPr>
          </w:p>
        </w:tc>
        <w:tc>
          <w:tcPr>
            <w:tcW w:w="180" w:type="dxa"/>
            <w:vAlign w:val="bottom"/>
            <w:tcBorders>
              <w:top w:val="single" w:sz="8" w:color="auto"/>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top w:val="single" w:sz="8" w:color="auto"/>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w w:val="99"/>
              </w:rPr>
              <w:t>(223,073)</w:t>
            </w:r>
          </w:p>
        </w:tc>
        <w:tc>
          <w:tcPr>
            <w:tcW w:w="40" w:type="dxa"/>
            <w:vAlign w:val="bottom"/>
            <w:tcBorders>
              <w:top w:val="single" w:sz="8" w:color="D2EEF5"/>
            </w:tcBorders>
            <w:shd w:val="clear" w:color="auto" w:fill="D2EEF5"/>
          </w:tcPr>
          <w:p>
            <w:pPr>
              <w:spacing w:after="0"/>
              <w:rPr>
                <w:sz w:val="23"/>
                <w:szCs w:val="23"/>
                <w:color w:val="auto"/>
              </w:rPr>
            </w:pPr>
          </w:p>
        </w:tc>
        <w:tc>
          <w:tcPr>
            <w:tcW w:w="20" w:type="dxa"/>
            <w:vAlign w:val="bottom"/>
            <w:tcBorders>
              <w:top w:val="single" w:sz="8" w:color="D2EEF5"/>
              <w:bottom w:val="single" w:sz="8" w:color="auto"/>
            </w:tcBorders>
            <w:shd w:val="clear" w:color="auto" w:fill="D2EEF5"/>
          </w:tcPr>
          <w:p>
            <w:pPr>
              <w:spacing w:after="0"/>
              <w:rPr>
                <w:sz w:val="23"/>
                <w:szCs w:val="23"/>
                <w:color w:val="auto"/>
              </w:rPr>
            </w:pPr>
          </w:p>
        </w:tc>
        <w:tc>
          <w:tcPr>
            <w:tcW w:w="860" w:type="dxa"/>
            <w:vAlign w:val="bottom"/>
            <w:tcBorders>
              <w:top w:val="single" w:sz="8" w:color="auto"/>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rPr>
              <w:t>-334.4</w:t>
            </w:r>
          </w:p>
        </w:tc>
        <w:tc>
          <w:tcPr>
            <w:tcW w:w="220" w:type="dxa"/>
            <w:vAlign w:val="bottom"/>
            <w:tcBorders>
              <w:top w:val="single" w:sz="8" w:color="auto"/>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shd w:val="clear" w:color="auto" w:fill="D2EEF5"/>
              </w:rPr>
              <w:t>%</w:t>
            </w:r>
          </w:p>
        </w:tc>
        <w:tc>
          <w:tcPr>
            <w:tcW w:w="60" w:type="dxa"/>
            <w:vAlign w:val="bottom"/>
            <w:tcBorders>
              <w:top w:val="single" w:sz="8" w:color="auto"/>
              <w:bottom w:val="single" w:sz="8" w:color="auto"/>
            </w:tcBorders>
            <w:shd w:val="clear" w:color="auto" w:fill="D2EEF5"/>
          </w:tcPr>
          <w:p>
            <w:pPr>
              <w:spacing w:after="0"/>
              <w:rPr>
                <w:sz w:val="23"/>
                <w:szCs w:val="23"/>
                <w:color w:val="auto"/>
              </w:rPr>
            </w:pPr>
          </w:p>
        </w:tc>
      </w:tr>
      <w:tr>
        <w:trPr>
          <w:trHeight w:val="20"/>
        </w:trPr>
        <w:tc>
          <w:tcPr>
            <w:tcW w:w="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30" w:type="dxa"/>
            <w:vAlign w:val="bottom"/>
            <w:tcBorders>
              <w:bottom w:val="single" w:sz="8" w:color="auto"/>
            </w:tcBorders>
          </w:tcPr>
          <w:p>
            <w:pPr>
              <w:spacing w:after="0" w:line="20" w:lineRule="exact"/>
              <w:rPr>
                <w:sz w:val="1"/>
                <w:szCs w:val="1"/>
                <w:color w:val="auto"/>
              </w:rPr>
            </w:pPr>
          </w:p>
        </w:tc>
        <w:tc>
          <w:tcPr>
            <w:tcW w:w="27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"N/M" is not meaningful.</w:t>
      </w:r>
    </w:p>
    <w:p>
      <w:pPr>
        <w:spacing w:after="0" w:line="19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b w:val="1"/>
          <w:bCs w:val="1"/>
          <w:i w:val="1"/>
          <w:iCs w:val="1"/>
          <w:color w:val="auto"/>
        </w:rPr>
        <w:t>Net sales</w:t>
      </w:r>
    </w:p>
    <w:p>
      <w:pPr>
        <w:spacing w:after="0" w:line="210" w:lineRule="exact"/>
        <w:rPr>
          <w:sz w:val="20"/>
          <w:szCs w:val="20"/>
          <w:color w:val="auto"/>
        </w:rPr>
      </w:pPr>
    </w:p>
    <w:p>
      <w:pPr>
        <w:jc w:val="both"/>
        <w:ind w:left="60" w:firstLine="720"/>
        <w:spacing w:after="0" w:line="269" w:lineRule="auto"/>
        <w:rPr>
          <w:sz w:val="20"/>
          <w:szCs w:val="20"/>
          <w:color w:val="auto"/>
        </w:rPr>
      </w:pPr>
      <w:r>
        <w:rPr>
          <w:rFonts w:ascii="Times New Roman" w:cs="Times New Roman" w:eastAsia="Times New Roman" w:hAnsi="Times New Roman"/>
          <w:sz w:val="20"/>
          <w:szCs w:val="20"/>
          <w:color w:val="auto"/>
        </w:rPr>
        <w:t>Net sales for the year ended December 31, 2025, were $134.3 million, a decrease of $56.0 million, or 29.4%, compared to the same period in 2024. The 29.4% decline was primarily due to a 26.9% reduction in volume and mix of products sold and a 2.4% decrease in price. This decline was largely driven by the previously mentioned industry oversupply.</w:t>
      </w:r>
    </w:p>
    <w:p>
      <w:pPr>
        <w:spacing w:after="0" w:line="14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b w:val="1"/>
          <w:bCs w:val="1"/>
          <w:i w:val="1"/>
          <w:iCs w:val="1"/>
          <w:color w:val="auto"/>
        </w:rPr>
        <w:t>Gross profit</w:t>
      </w:r>
    </w:p>
    <w:p>
      <w:pPr>
        <w:spacing w:after="0" w:line="209" w:lineRule="exact"/>
        <w:rPr>
          <w:sz w:val="20"/>
          <w:szCs w:val="20"/>
          <w:color w:val="auto"/>
        </w:rPr>
      </w:pPr>
    </w:p>
    <w:p>
      <w:pPr>
        <w:jc w:val="both"/>
        <w:ind w:left="60" w:firstLine="720"/>
        <w:spacing w:after="0" w:line="260" w:lineRule="auto"/>
        <w:rPr>
          <w:sz w:val="20"/>
          <w:szCs w:val="20"/>
          <w:color w:val="auto"/>
        </w:rPr>
      </w:pPr>
      <w:r>
        <w:rPr>
          <w:rFonts w:ascii="Times New Roman" w:cs="Times New Roman" w:eastAsia="Times New Roman" w:hAnsi="Times New Roman"/>
          <w:sz w:val="20"/>
          <w:szCs w:val="20"/>
          <w:color w:val="auto"/>
        </w:rPr>
        <w:t>Gross profit for the year ended December 31, 2025, was $15.2 million, a decrease of $16.9 million, or 52.7%, compared to the same period in 2024. Our gross profit margin percentage decreased to 11.3% for the year ended December 31, 2025, from 16.9% in the same period in 2024. The decrease in gross profit and gross profit margin was primarily due to the lower net sales, lower manufacturing production volume, as well as a $3.2 million increase in restructuring charges primarily comprised of inventory markdowns.</w:t>
      </w:r>
    </w:p>
    <w:p>
      <w:pPr>
        <w:spacing w:after="0" w:line="15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b w:val="1"/>
          <w:bCs w:val="1"/>
          <w:i w:val="1"/>
          <w:iCs w:val="1"/>
          <w:color w:val="auto"/>
        </w:rPr>
        <w:t>Selling, general and administrative expenses</w:t>
      </w:r>
    </w:p>
    <w:p>
      <w:pPr>
        <w:spacing w:after="0" w:line="210" w:lineRule="exact"/>
        <w:rPr>
          <w:sz w:val="20"/>
          <w:szCs w:val="20"/>
          <w:color w:val="auto"/>
        </w:rPr>
      </w:pPr>
    </w:p>
    <w:p>
      <w:pPr>
        <w:jc w:val="both"/>
        <w:ind w:left="60" w:firstLine="720"/>
        <w:spacing w:after="0" w:line="257" w:lineRule="auto"/>
        <w:rPr>
          <w:sz w:val="20"/>
          <w:szCs w:val="20"/>
          <w:color w:val="auto"/>
        </w:rPr>
      </w:pPr>
      <w:r>
        <w:rPr>
          <w:rFonts w:ascii="Times New Roman" w:cs="Times New Roman" w:eastAsia="Times New Roman" w:hAnsi="Times New Roman"/>
          <w:sz w:val="20"/>
          <w:szCs w:val="20"/>
          <w:color w:val="auto"/>
        </w:rPr>
        <w:t>SG&amp;A expenses for the year ended December 31, 2025, were $59.9 million, a decrease of $12.8 million, or 17.6%, compared to the same period in 2024. SG&amp;A expenses decreased in several areas, including as a result of our cost saving and restructuring initiatives: (i) a $6.4 million decrease in amortization and depreciation primarily due to intangible asset impairments in 2025, (ii) a $4.1 million decrease in employee compensation costs, including lower salaries and benefits, stock-based compensation, and performance bonus, (iii) a $1.2 million decrease in facility costs, and (iv) a $0.7 million decrease in professional fees.</w:t>
      </w:r>
    </w:p>
    <w:p>
      <w:pPr>
        <w:sectPr>
          <w:pgSz w:w="12240" w:h="15840" w:orient="portrait"/>
          <w:cols w:equalWidth="0" w:num="1">
            <w:col w:w="10320"/>
          </w:cols>
          <w:pgMar w:left="940" w:top="43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10320"/>
          </w:cols>
          <w:pgMar w:left="940" w:top="430" w:right="980" w:bottom="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Impairments</w:t>
      </w:r>
    </w:p>
    <w:p>
      <w:pPr>
        <w:spacing w:after="0" w:line="210"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0"/>
          <w:szCs w:val="20"/>
          <w:color w:val="auto"/>
        </w:rPr>
        <w:t xml:space="preserve">During the fourth quarter of fiscal 2025, as a result of industry conditions, primarily attributable to an agricultural oversupply impacting our market and resulting in a decrease in indoor and outdoor cultivation, as well as continued declines in operating cash flows and profitability, we assessed our long-lived assets for impairment and recorded an impairment charge of $232.2 million. Of the impairment charge, $228.4 million was related to finite-lived intangible assets and $3.8 million was related to property, plant, and equipment. There were no impairment charges in the year ended December 31, 2024. Refer to Note 5 – </w:t>
      </w:r>
      <w:r>
        <w:rPr>
          <w:rFonts w:ascii="Times New Roman" w:cs="Times New Roman" w:eastAsia="Times New Roman" w:hAnsi="Times New Roman"/>
          <w:sz w:val="20"/>
          <w:szCs w:val="20"/>
          <w:i w:val="1"/>
          <w:iCs w:val="1"/>
          <w:color w:val="auto"/>
        </w:rPr>
        <w:t>Intangibles</w:t>
      </w:r>
      <w:r>
        <w:rPr>
          <w:rFonts w:ascii="Times New Roman" w:cs="Times New Roman" w:eastAsia="Times New Roman" w:hAnsi="Times New Roman"/>
          <w:sz w:val="20"/>
          <w:szCs w:val="20"/>
          <w:color w:val="auto"/>
        </w:rPr>
        <w:t xml:space="preserve"> and Note 9 – </w:t>
      </w:r>
      <w:r>
        <w:rPr>
          <w:rFonts w:ascii="Times New Roman" w:cs="Times New Roman" w:eastAsia="Times New Roman" w:hAnsi="Times New Roman"/>
          <w:sz w:val="20"/>
          <w:szCs w:val="20"/>
          <w:i w:val="1"/>
          <w:iCs w:val="1"/>
          <w:color w:val="auto"/>
        </w:rPr>
        <w:t>Property, Plant and Equipment, Net</w:t>
      </w:r>
      <w:r>
        <w:rPr>
          <w:rFonts w:ascii="Times New Roman" w:cs="Times New Roman" w:eastAsia="Times New Roman" w:hAnsi="Times New Roman"/>
          <w:sz w:val="20"/>
          <w:szCs w:val="20"/>
          <w:color w:val="auto"/>
        </w:rPr>
        <w:t xml:space="preserve"> for additional details</w:t>
      </w:r>
      <w:r>
        <w:rPr>
          <w:rFonts w:ascii="Times New Roman" w:cs="Times New Roman" w:eastAsia="Times New Roman" w:hAnsi="Times New Roman"/>
          <w:sz w:val="20"/>
          <w:szCs w:val="20"/>
          <w:i w:val="1"/>
          <w:iCs w:val="1"/>
          <w:color w:val="auto"/>
        </w:rPr>
        <w:t>.</w:t>
      </w:r>
    </w:p>
    <w:p>
      <w:pPr>
        <w:spacing w:after="0" w:line="1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Loss on asset disposition</w:t>
      </w:r>
    </w:p>
    <w:p>
      <w:pPr>
        <w:spacing w:after="0" w:line="210" w:lineRule="exact"/>
        <w:rPr>
          <w:sz w:val="20"/>
          <w:szCs w:val="20"/>
          <w:color w:val="auto"/>
        </w:rPr>
      </w:pPr>
    </w:p>
    <w:p>
      <w:pPr>
        <w:jc w:val="both"/>
        <w:ind w:firstLine="720"/>
        <w:spacing w:after="0" w:line="263" w:lineRule="auto"/>
        <w:rPr>
          <w:sz w:val="20"/>
          <w:szCs w:val="20"/>
          <w:color w:val="auto"/>
        </w:rPr>
      </w:pPr>
      <w:r>
        <w:rPr>
          <w:rFonts w:ascii="Times New Roman" w:cs="Times New Roman" w:eastAsia="Times New Roman" w:hAnsi="Times New Roman"/>
          <w:sz w:val="20"/>
          <w:szCs w:val="20"/>
          <w:color w:val="auto"/>
        </w:rPr>
        <w:t xml:space="preserve">We entered into a Purchase Agreement with CM Fabrication, LLC to sell assets relating to the production of durable equipment products for $8.7 million. The IGE Asset Sale closed during the second quarter of 2024, and we sold or disposed of inventories and other assets. We recorded a loss on asset disposition of $11.5 million for the year ended December 31, 2024. Refer to Note 4 – </w:t>
      </w:r>
      <w:r>
        <w:rPr>
          <w:rFonts w:ascii="Times New Roman" w:cs="Times New Roman" w:eastAsia="Times New Roman" w:hAnsi="Times New Roman"/>
          <w:sz w:val="20"/>
          <w:szCs w:val="20"/>
          <w:i w:val="1"/>
          <w:iCs w:val="1"/>
          <w:color w:val="auto"/>
        </w:rPr>
        <w:t>Restructuring and Asset Sales</w:t>
      </w:r>
      <w:r>
        <w:rPr>
          <w:rFonts w:ascii="Times New Roman" w:cs="Times New Roman" w:eastAsia="Times New Roman" w:hAnsi="Times New Roman"/>
          <w:sz w:val="20"/>
          <w:szCs w:val="20"/>
          <w:color w:val="auto"/>
        </w:rPr>
        <w:t xml:space="preserve"> for a further description of the IGE Asset Sale.</w:t>
      </w:r>
    </w:p>
    <w:p>
      <w:pPr>
        <w:spacing w:after="0" w:line="15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Interest expense</w:t>
      </w:r>
    </w:p>
    <w:p>
      <w:pPr>
        <w:spacing w:after="0" w:line="209" w:lineRule="exact"/>
        <w:rPr>
          <w:sz w:val="20"/>
          <w:szCs w:val="20"/>
          <w:color w:val="auto"/>
        </w:rPr>
      </w:pPr>
    </w:p>
    <w:p>
      <w:pPr>
        <w:jc w:val="both"/>
        <w:ind w:firstLine="720"/>
        <w:spacing w:after="0" w:line="269" w:lineRule="auto"/>
        <w:rPr>
          <w:sz w:val="20"/>
          <w:szCs w:val="20"/>
          <w:color w:val="auto"/>
        </w:rPr>
      </w:pPr>
      <w:r>
        <w:rPr>
          <w:rFonts w:ascii="Times New Roman" w:cs="Times New Roman" w:eastAsia="Times New Roman" w:hAnsi="Times New Roman"/>
          <w:sz w:val="20"/>
          <w:szCs w:val="20"/>
          <w:color w:val="auto"/>
        </w:rPr>
        <w:t>Interest expense for the year ended December 31, 2025, was $13.4 million, a decrease of $1.8 million, or 11.9%, compared to the same period in the prior year. The decrease was primarily due to lower debt outstanding due to principal repayments, as well as lower variable interest rates on our Term Loan.</w:t>
      </w:r>
    </w:p>
    <w:p>
      <w:pPr>
        <w:spacing w:after="0" w:line="14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Other (expense) income, net</w:t>
      </w:r>
    </w:p>
    <w:p>
      <w:pPr>
        <w:spacing w:after="0" w:line="210"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 xml:space="preserve">Other expense, net for the year ended December 31, 2025, was $0.2 million, compared to other income, net of $1.6 million in the prior year. Other expense, net for the year ended December 31, 2025, was primarily driven by a loss on debt extinguishment recorded in conjunction with the Term Loan prepayments during the year. Refer to Note 11 – </w:t>
      </w:r>
      <w:r>
        <w:rPr>
          <w:rFonts w:ascii="Times New Roman" w:cs="Times New Roman" w:eastAsia="Times New Roman" w:hAnsi="Times New Roman"/>
          <w:sz w:val="20"/>
          <w:szCs w:val="20"/>
          <w:i w:val="1"/>
          <w:iCs w:val="1"/>
          <w:color w:val="auto"/>
        </w:rPr>
        <w:t>Debt</w:t>
      </w:r>
      <w:r>
        <w:rPr>
          <w:rFonts w:ascii="Times New Roman" w:cs="Times New Roman" w:eastAsia="Times New Roman" w:hAnsi="Times New Roman"/>
          <w:sz w:val="20"/>
          <w:szCs w:val="20"/>
          <w:color w:val="auto"/>
        </w:rPr>
        <w:t xml:space="preserve"> for additional details. Other income, net for the year ended December 31, 2024, was primarily driven by a cash settlement arising from an outstanding litigation matter of a previously acquired entity, foreign currency exchange rate gains and interest income.</w:t>
      </w:r>
    </w:p>
    <w:p>
      <w:pPr>
        <w:spacing w:after="0" w:line="15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Income tax benefit (expense)</w:t>
      </w:r>
    </w:p>
    <w:p>
      <w:pPr>
        <w:spacing w:after="0" w:line="210"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We recorded an income tax benefit of $0.7 million for the year ended December 31, 2025, representing an effective tax rate of 0.3%. Our effective tax rate for the year ended December 31, 2025, differs from the federal statutory rate of 21% primarily due to maintaining a full valuation allowance against our net deferred tax assets in the United States and most foreign jurisdictions. The income tax benefit for the year ended December 31, 2025, was primarily due to deferred tax benefits, partially offset by current state and foreign tax expense in certain jurisdictions.</w:t>
      </w:r>
    </w:p>
    <w:p>
      <w:pPr>
        <w:spacing w:after="0" w:line="155"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We recorded an income tax expense of $0.9 million for the year ended December 31, 2024, representing an effective tax rate of (1.3)%. Our effective tax rate for the year ended December 31, 2024, differs from the federal statutory rate of 21% primarily due to maintaining a full valuation allowance against our net deferred tax assets in the United States and most foreign jurisdictions. The income tax expense for the year ended December 31, 2024, was primarily due to current foreign tax expense in certain jurisdictions.</w:t>
      </w:r>
    </w:p>
    <w:p>
      <w:pPr>
        <w:sectPr>
          <w:pgSz w:w="12240" w:h="15840" w:orient="portrait"/>
          <w:cols w:equalWidth="0" w:num="1">
            <w:col w:w="10260"/>
          </w:cols>
          <w:pgMar w:left="1000" w:top="43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10260"/>
          </w:cols>
          <w:pgMar w:left="1000" w:top="430" w:right="980" w:bottom="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Flow from Operating, Investing, and Financing Activities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Comparison of Years Ended December 31, 2025, and 2024</w:t>
      </w:r>
    </w:p>
    <w:p>
      <w:pPr>
        <w:spacing w:after="0" w:line="214" w:lineRule="exact"/>
        <w:rPr>
          <w:sz w:val="20"/>
          <w:szCs w:val="20"/>
          <w:color w:val="auto"/>
        </w:rPr>
      </w:pPr>
    </w:p>
    <w:p>
      <w:pPr>
        <w:jc w:val="both"/>
        <w:ind w:right="20" w:firstLine="720"/>
        <w:spacing w:after="0" w:line="287" w:lineRule="auto"/>
        <w:rPr>
          <w:sz w:val="20"/>
          <w:szCs w:val="20"/>
          <w:color w:val="auto"/>
        </w:rPr>
      </w:pPr>
      <w:r>
        <w:rPr>
          <w:rFonts w:ascii="Times New Roman" w:cs="Times New Roman" w:eastAsia="Times New Roman" w:hAnsi="Times New Roman"/>
          <w:sz w:val="20"/>
          <w:szCs w:val="20"/>
          <w:color w:val="auto"/>
        </w:rPr>
        <w:t>The following table summarizes our cash flows for the years ended December 31, 2025, and 2024 (amounts in thousands):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7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540" w:type="dxa"/>
            <w:vAlign w:val="bottom"/>
            <w:gridSpan w:val="6"/>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Years ended December 31,</w:t>
            </w:r>
          </w:p>
        </w:tc>
      </w:tr>
      <w:tr>
        <w:trPr>
          <w:trHeight w:val="248"/>
        </w:trPr>
        <w:tc>
          <w:tcPr>
            <w:tcW w:w="7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Borders>
              <w:bottom w:val="single" w:sz="8" w:color="D2EEF5"/>
            </w:tcBorders>
          </w:tcPr>
          <w:p>
            <w:pPr>
              <w:spacing w:after="0"/>
              <w:rPr>
                <w:sz w:val="21"/>
                <w:szCs w:val="21"/>
                <w:color w:val="auto"/>
              </w:rPr>
            </w:pPr>
          </w:p>
        </w:tc>
        <w:tc>
          <w:tcPr>
            <w:tcW w:w="20" w:type="dxa"/>
            <w:vAlign w:val="bottom"/>
            <w:tcBorders>
              <w:bottom w:val="single" w:sz="8" w:color="D2EEF5"/>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66"/>
        </w:trPr>
        <w:tc>
          <w:tcPr>
            <w:tcW w:w="7680" w:type="dxa"/>
            <w:vAlign w:val="bottom"/>
            <w:shd w:val="clear" w:color="auto" w:fill="D2EEF5"/>
          </w:tcPr>
          <w:p>
            <w:pPr>
              <w:ind w:left="60"/>
              <w:spacing w:after="0"/>
              <w:rPr>
                <w:sz w:val="20"/>
                <w:szCs w:val="20"/>
                <w:color w:val="auto"/>
              </w:rPr>
            </w:pPr>
            <w:r>
              <w:rPr>
                <w:rFonts w:ascii="Times New Roman" w:cs="Times New Roman" w:eastAsia="Times New Roman" w:hAnsi="Times New Roman"/>
                <w:sz w:val="20"/>
                <w:szCs w:val="20"/>
                <w:b w:val="1"/>
                <w:bCs w:val="1"/>
                <w:color w:val="auto"/>
              </w:rPr>
              <w:t>Net cash used in operating activities</w:t>
            </w:r>
          </w:p>
        </w:tc>
        <w:tc>
          <w:tcPr>
            <w:tcW w:w="20" w:type="dxa"/>
            <w:vAlign w:val="bottom"/>
            <w:shd w:val="clear" w:color="auto" w:fill="D2EEF5"/>
          </w:tcPr>
          <w:p>
            <w:pPr>
              <w:spacing w:after="0"/>
              <w:rPr>
                <w:sz w:val="23"/>
                <w:szCs w:val="23"/>
                <w:color w:val="auto"/>
              </w:rPr>
            </w:pPr>
          </w:p>
        </w:tc>
        <w:tc>
          <w:tcPr>
            <w:tcW w:w="280" w:type="dxa"/>
            <w:vAlign w:val="bottom"/>
            <w:shd w:val="clear" w:color="auto" w:fill="D2EEF5"/>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rPr>
              <w:t>(14,059)</w:t>
            </w:r>
          </w:p>
        </w:tc>
        <w:tc>
          <w:tcPr>
            <w:tcW w:w="60" w:type="dxa"/>
            <w:vAlign w:val="bottom"/>
            <w:shd w:val="clear" w:color="auto" w:fill="D2EEF5"/>
          </w:tcPr>
          <w:p>
            <w:pPr>
              <w:spacing w:after="0"/>
              <w:rPr>
                <w:sz w:val="23"/>
                <w:szCs w:val="23"/>
                <w:color w:val="auto"/>
              </w:rPr>
            </w:pPr>
          </w:p>
        </w:tc>
        <w:tc>
          <w:tcPr>
            <w:tcW w:w="20" w:type="dxa"/>
            <w:vAlign w:val="bottom"/>
            <w:shd w:val="clear" w:color="auto" w:fill="D2EEF5"/>
          </w:tcPr>
          <w:p>
            <w:pPr>
              <w:spacing w:after="0"/>
              <w:rPr>
                <w:sz w:val="23"/>
                <w:szCs w:val="23"/>
                <w:color w:val="auto"/>
              </w:rPr>
            </w:pPr>
          </w:p>
        </w:tc>
        <w:tc>
          <w:tcPr>
            <w:tcW w:w="300" w:type="dxa"/>
            <w:vAlign w:val="bottom"/>
            <w:shd w:val="clear" w:color="auto" w:fill="D2EEF5"/>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rPr>
              <w:t>(324)</w:t>
            </w:r>
          </w:p>
        </w:tc>
      </w:tr>
      <w:tr>
        <w:trPr>
          <w:trHeight w:val="280"/>
        </w:trPr>
        <w:tc>
          <w:tcPr>
            <w:tcW w:w="76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Net cash (used in) from investing activities</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1,669</w:t>
            </w:r>
          </w:p>
        </w:tc>
      </w:tr>
      <w:tr>
        <w:trPr>
          <w:trHeight w:val="290"/>
        </w:trPr>
        <w:tc>
          <w:tcPr>
            <w:tcW w:w="7680" w:type="dxa"/>
            <w:vAlign w:val="bottom"/>
            <w:shd w:val="clear" w:color="auto" w:fill="D2EEF5"/>
          </w:tcPr>
          <w:p>
            <w:pPr>
              <w:ind w:left="60"/>
              <w:spacing w:after="0"/>
              <w:rPr>
                <w:sz w:val="20"/>
                <w:szCs w:val="20"/>
                <w:color w:val="auto"/>
              </w:rPr>
            </w:pPr>
            <w:r>
              <w:rPr>
                <w:rFonts w:ascii="Times New Roman" w:cs="Times New Roman" w:eastAsia="Times New Roman" w:hAnsi="Times New Roman"/>
                <w:sz w:val="20"/>
                <w:szCs w:val="20"/>
                <w:b w:val="1"/>
                <w:bCs w:val="1"/>
                <w:color w:val="auto"/>
              </w:rPr>
              <w:t>Net cash used in financing activities</w:t>
            </w:r>
          </w:p>
        </w:tc>
        <w:tc>
          <w:tcPr>
            <w:tcW w:w="20" w:type="dxa"/>
            <w:vAlign w:val="bottom"/>
            <w:shd w:val="clear" w:color="auto" w:fill="D2EEF5"/>
          </w:tcPr>
          <w:p>
            <w:pPr>
              <w:spacing w:after="0"/>
              <w:rPr>
                <w:sz w:val="24"/>
                <w:szCs w:val="24"/>
                <w:color w:val="auto"/>
              </w:rPr>
            </w:pPr>
          </w:p>
        </w:tc>
        <w:tc>
          <w:tcPr>
            <w:tcW w:w="280" w:type="dxa"/>
            <w:vAlign w:val="bottom"/>
            <w:shd w:val="clear" w:color="auto" w:fill="D2EEF5"/>
          </w:tcPr>
          <w:p>
            <w:pPr>
              <w:spacing w:after="0"/>
              <w:rPr>
                <w:sz w:val="24"/>
                <w:szCs w:val="24"/>
                <w:color w:val="auto"/>
              </w:rPr>
            </w:pPr>
          </w:p>
        </w:tc>
        <w:tc>
          <w:tcPr>
            <w:tcW w:w="9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rPr>
              <w:t>(5,438)</w:t>
            </w:r>
          </w:p>
        </w:tc>
        <w:tc>
          <w:tcPr>
            <w:tcW w:w="6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300" w:type="dxa"/>
            <w:vAlign w:val="bottom"/>
            <w:shd w:val="clear" w:color="auto" w:fill="D2EEF5"/>
          </w:tcPr>
          <w:p>
            <w:pPr>
              <w:spacing w:after="0"/>
              <w:rPr>
                <w:sz w:val="24"/>
                <w:szCs w:val="24"/>
                <w:color w:val="auto"/>
              </w:rPr>
            </w:pPr>
          </w:p>
        </w:tc>
        <w:tc>
          <w:tcPr>
            <w:tcW w:w="9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rPr>
              <w:t>(4,776)</w:t>
            </w:r>
          </w:p>
        </w:tc>
      </w:tr>
      <w:tr>
        <w:trPr>
          <w:trHeight w:val="284"/>
        </w:trPr>
        <w:tc>
          <w:tcPr>
            <w:tcW w:w="76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Effect of exchange rate changes on cash and cash equivalents</w:t>
            </w: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536</w:t>
            </w:r>
          </w:p>
        </w:tc>
        <w:tc>
          <w:tcPr>
            <w:tcW w:w="60" w:type="dxa"/>
            <w:vAlign w:val="bottom"/>
            <w:tcBorders>
              <w:bottom w:val="single" w:sz="8" w:color="D2EEF5"/>
            </w:tcBorders>
          </w:tcPr>
          <w:p>
            <w:pPr>
              <w:spacing w:after="0"/>
              <w:rPr>
                <w:sz w:val="24"/>
                <w:szCs w:val="24"/>
                <w:color w:val="auto"/>
              </w:rPr>
            </w:pPr>
          </w:p>
        </w:tc>
        <w:tc>
          <w:tcPr>
            <w:tcW w:w="20" w:type="dxa"/>
            <w:vAlign w:val="bottom"/>
            <w:tcBorders>
              <w:bottom w:val="single" w:sz="8" w:color="D2EEF5"/>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(770)</w:t>
            </w:r>
          </w:p>
        </w:tc>
      </w:tr>
      <w:tr>
        <w:trPr>
          <w:trHeight w:val="266"/>
        </w:trPr>
        <w:tc>
          <w:tcPr>
            <w:tcW w:w="7680" w:type="dxa"/>
            <w:vAlign w:val="bottom"/>
            <w:shd w:val="clear" w:color="auto" w:fill="D2EEF5"/>
          </w:tcPr>
          <w:p>
            <w:pPr>
              <w:ind w:left="60"/>
              <w:spacing w:after="0"/>
              <w:rPr>
                <w:sz w:val="20"/>
                <w:szCs w:val="20"/>
                <w:color w:val="auto"/>
              </w:rPr>
            </w:pPr>
            <w:r>
              <w:rPr>
                <w:rFonts w:ascii="Times New Roman" w:cs="Times New Roman" w:eastAsia="Times New Roman" w:hAnsi="Times New Roman"/>
                <w:sz w:val="20"/>
                <w:szCs w:val="20"/>
                <w:b w:val="1"/>
                <w:bCs w:val="1"/>
                <w:color w:val="auto"/>
              </w:rPr>
              <w:t>Net decrease in cash and cash equivalents</w:t>
            </w:r>
          </w:p>
        </w:tc>
        <w:tc>
          <w:tcPr>
            <w:tcW w:w="20" w:type="dxa"/>
            <w:vAlign w:val="bottom"/>
            <w:shd w:val="clear" w:color="auto" w:fill="D2EEF5"/>
          </w:tcPr>
          <w:p>
            <w:pPr>
              <w:spacing w:after="0"/>
              <w:rPr>
                <w:sz w:val="23"/>
                <w:szCs w:val="23"/>
                <w:color w:val="auto"/>
              </w:rPr>
            </w:pPr>
          </w:p>
        </w:tc>
        <w:tc>
          <w:tcPr>
            <w:tcW w:w="280" w:type="dxa"/>
            <w:vAlign w:val="bottom"/>
            <w:shd w:val="clear" w:color="auto" w:fill="D2EEF5"/>
          </w:tcPr>
          <w:p>
            <w:pPr>
              <w:spacing w:after="0"/>
              <w:rPr>
                <w:sz w:val="23"/>
                <w:szCs w:val="23"/>
                <w:color w:val="auto"/>
              </w:rPr>
            </w:pPr>
          </w:p>
        </w:tc>
        <w:tc>
          <w:tcPr>
            <w:tcW w:w="9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rPr>
              <w:t>(19,802)</w:t>
            </w:r>
          </w:p>
        </w:tc>
        <w:tc>
          <w:tcPr>
            <w:tcW w:w="60" w:type="dxa"/>
            <w:vAlign w:val="bottom"/>
            <w:shd w:val="clear" w:color="auto" w:fill="D2EEF5"/>
          </w:tcPr>
          <w:p>
            <w:pPr>
              <w:spacing w:after="0"/>
              <w:rPr>
                <w:sz w:val="23"/>
                <w:szCs w:val="23"/>
                <w:color w:val="auto"/>
              </w:rPr>
            </w:pPr>
          </w:p>
        </w:tc>
        <w:tc>
          <w:tcPr>
            <w:tcW w:w="20" w:type="dxa"/>
            <w:vAlign w:val="bottom"/>
            <w:shd w:val="clear" w:color="auto" w:fill="D2EEF5"/>
          </w:tcPr>
          <w:p>
            <w:pPr>
              <w:spacing w:after="0"/>
              <w:rPr>
                <w:sz w:val="23"/>
                <w:szCs w:val="23"/>
                <w:color w:val="auto"/>
              </w:rPr>
            </w:pPr>
          </w:p>
        </w:tc>
        <w:tc>
          <w:tcPr>
            <w:tcW w:w="300" w:type="dxa"/>
            <w:vAlign w:val="bottom"/>
            <w:shd w:val="clear" w:color="auto" w:fill="D2EEF5"/>
          </w:tcPr>
          <w:p>
            <w:pPr>
              <w:spacing w:after="0"/>
              <w:rPr>
                <w:sz w:val="23"/>
                <w:szCs w:val="23"/>
                <w:color w:val="auto"/>
              </w:rPr>
            </w:pPr>
          </w:p>
        </w:tc>
        <w:tc>
          <w:tcPr>
            <w:tcW w:w="9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rPr>
              <w:t>(4,201)</w:t>
            </w:r>
          </w:p>
        </w:tc>
      </w:tr>
      <w:tr>
        <w:trPr>
          <w:trHeight w:val="284"/>
        </w:trPr>
        <w:tc>
          <w:tcPr>
            <w:tcW w:w="76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Cash and cash equivalents cash at beginning of year</w:t>
            </w: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26,111</w:t>
            </w:r>
          </w:p>
        </w:tc>
        <w:tc>
          <w:tcPr>
            <w:tcW w:w="60" w:type="dxa"/>
            <w:vAlign w:val="bottom"/>
            <w:tcBorders>
              <w:bottom w:val="single" w:sz="8" w:color="D2EEF5"/>
            </w:tcBorders>
          </w:tcPr>
          <w:p>
            <w:pPr>
              <w:spacing w:after="0"/>
              <w:rPr>
                <w:sz w:val="24"/>
                <w:szCs w:val="24"/>
                <w:color w:val="auto"/>
              </w:rPr>
            </w:pPr>
          </w:p>
        </w:tc>
        <w:tc>
          <w:tcPr>
            <w:tcW w:w="20" w:type="dxa"/>
            <w:vAlign w:val="bottom"/>
            <w:tcBorders>
              <w:bottom w:val="single" w:sz="8" w:color="D2EEF5"/>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30,312</w:t>
            </w:r>
          </w:p>
        </w:tc>
      </w:tr>
      <w:tr>
        <w:trPr>
          <w:trHeight w:val="268"/>
        </w:trPr>
        <w:tc>
          <w:tcPr>
            <w:tcW w:w="7680" w:type="dxa"/>
            <w:vAlign w:val="bottom"/>
            <w:shd w:val="clear" w:color="auto" w:fill="D2EEF5"/>
          </w:tcPr>
          <w:p>
            <w:pPr>
              <w:ind w:left="60"/>
              <w:spacing w:after="0"/>
              <w:rPr>
                <w:sz w:val="20"/>
                <w:szCs w:val="20"/>
                <w:color w:val="auto"/>
              </w:rPr>
            </w:pPr>
            <w:r>
              <w:rPr>
                <w:rFonts w:ascii="Times New Roman" w:cs="Times New Roman" w:eastAsia="Times New Roman" w:hAnsi="Times New Roman"/>
                <w:sz w:val="20"/>
                <w:szCs w:val="20"/>
                <w:b w:val="1"/>
                <w:bCs w:val="1"/>
                <w:color w:val="auto"/>
              </w:rPr>
              <w:t>Cash and cash equivalents at end of year</w:t>
            </w:r>
          </w:p>
        </w:tc>
        <w:tc>
          <w:tcPr>
            <w:tcW w:w="20" w:type="dxa"/>
            <w:vAlign w:val="bottom"/>
            <w:tcBorders>
              <w:bottom w:val="single" w:sz="8" w:color="auto"/>
            </w:tcBorders>
            <w:shd w:val="clear" w:color="auto" w:fill="D2EEF5"/>
          </w:tcPr>
          <w:p>
            <w:pPr>
              <w:spacing w:after="0"/>
              <w:rPr>
                <w:sz w:val="23"/>
                <w:szCs w:val="23"/>
                <w:color w:val="auto"/>
              </w:rPr>
            </w:pPr>
          </w:p>
        </w:tc>
        <w:tc>
          <w:tcPr>
            <w:tcW w:w="280" w:type="dxa"/>
            <w:vAlign w:val="bottom"/>
            <w:tcBorders>
              <w:bottom w:val="single" w:sz="8" w:color="auto"/>
            </w:tcBorders>
            <w:shd w:val="clear" w:color="auto" w:fill="D2EEF5"/>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rPr>
              <w:t>6,309</w:t>
            </w:r>
          </w:p>
        </w:tc>
        <w:tc>
          <w:tcPr>
            <w:tcW w:w="60" w:type="dxa"/>
            <w:vAlign w:val="bottom"/>
            <w:shd w:val="clear" w:color="auto" w:fill="D2EEF5"/>
          </w:tcPr>
          <w:p>
            <w:pPr>
              <w:spacing w:after="0"/>
              <w:rPr>
                <w:sz w:val="23"/>
                <w:szCs w:val="23"/>
                <w:color w:val="auto"/>
              </w:rPr>
            </w:pPr>
          </w:p>
        </w:tc>
        <w:tc>
          <w:tcPr>
            <w:tcW w:w="20" w:type="dxa"/>
            <w:vAlign w:val="bottom"/>
            <w:tcBorders>
              <w:bottom w:val="single" w:sz="8" w:color="auto"/>
            </w:tcBorders>
            <w:shd w:val="clear" w:color="auto" w:fill="D2EEF5"/>
          </w:tcPr>
          <w:p>
            <w:pPr>
              <w:spacing w:after="0"/>
              <w:rPr>
                <w:sz w:val="23"/>
                <w:szCs w:val="23"/>
                <w:color w:val="auto"/>
              </w:rPr>
            </w:pPr>
          </w:p>
        </w:tc>
        <w:tc>
          <w:tcPr>
            <w:tcW w:w="300" w:type="dxa"/>
            <w:vAlign w:val="bottom"/>
            <w:tcBorders>
              <w:bottom w:val="single" w:sz="8" w:color="auto"/>
            </w:tcBorders>
            <w:shd w:val="clear" w:color="auto" w:fill="D2EEF5"/>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rPr>
              <w:t>26,111</w:t>
            </w:r>
          </w:p>
        </w:tc>
      </w:tr>
      <w:tr>
        <w:trPr>
          <w:trHeight w:val="20"/>
        </w:trPr>
        <w:tc>
          <w:tcPr>
            <w:tcW w:w="76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Operating Activities</w:t>
      </w:r>
    </w:p>
    <w:p>
      <w:pPr>
        <w:spacing w:after="0" w:line="210"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Net cash used in operating activities was $14.1 million for the year ended December 31, 2025. The net cash usage was primarily due to a net loss, partially offset by $4.6 million net cash inflow from a reduction in working capital. The total 2025 cash impact was a net loss of $289.8 million, less net non-cash items of $271.2 million, primarily impairments and depreciation, depletion and amortization. The $4.6 million net reduction in working capital was primarily comprised of a $12.1 million decrease of inventories, a $5.7 million decrease in accounts receivable, and a $0.1 million decrease of prepaid expenses and other current assets, partially offset by a $7.8 million decrease of lease liabilities. During the year ended December 31, 2025, we paid $12.7 million in cash interest.</w:t>
      </w:r>
    </w:p>
    <w:p>
      <w:pPr>
        <w:spacing w:after="0" w:line="162"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 xml:space="preserve">Net cash used in operating activities was $0.3 million for the year ended December 31, 2024. The net cash usage was primarily due to a net loss, partially offset by $9.7 million net cash inflow from a reduction in working capital. The total 2024 cash impact was a net loss of $66.7 million, less net non-cash items of $56.7 million. The $9.7 million net reduction in working capital was primarily comprised of a $14.4 million decrease of inventories, a $1.6 million decrease in accounts receivable, and a $1.6 million decrease of prepaid expenses and other current assets, partially offset by a $8.9 million decrease of lease liabilities. During the year ended December 31, 2024, we paid $13.3 million in cash interest and we paid cash income taxes, net of refunds, of $0.2 million. As described in Note 4 – </w:t>
      </w:r>
      <w:r>
        <w:rPr>
          <w:rFonts w:ascii="Times New Roman" w:cs="Times New Roman" w:eastAsia="Times New Roman" w:hAnsi="Times New Roman"/>
          <w:sz w:val="20"/>
          <w:szCs w:val="20"/>
          <w:i w:val="1"/>
          <w:iCs w:val="1"/>
          <w:color w:val="auto"/>
        </w:rPr>
        <w:t>Restructuring and Asset Sales</w:t>
      </w:r>
      <w:r>
        <w:rPr>
          <w:rFonts w:ascii="Times New Roman" w:cs="Times New Roman" w:eastAsia="Times New Roman" w:hAnsi="Times New Roman"/>
          <w:sz w:val="20"/>
          <w:szCs w:val="20"/>
          <w:color w:val="auto"/>
        </w:rPr>
        <w:t>, in connection with the IGE Asset Sale, we estimated the amount of cash proceeds associated with the sale of inventories as $5.0 million and classified the amount within net cash from operating activities. In addition, the Company paid cash of $1.3 million to terminate the facility operating lease in connection with the IGE Asset Sale.</w:t>
      </w:r>
    </w:p>
    <w:p>
      <w:pPr>
        <w:spacing w:after="0" w:line="166"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color w:val="auto"/>
        </w:rPr>
        <w:t>The Company is continuing to consolidate its operations in connection with restructuring and related cost saving initiatives which has contributed to the aforementioned decrease in inventory in both the 2025 and 2024 periods.</w:t>
      </w:r>
    </w:p>
    <w:p>
      <w:pPr>
        <w:spacing w:after="0" w:line="12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Investing Activities</w:t>
      </w:r>
    </w:p>
    <w:p>
      <w:pPr>
        <w:spacing w:after="0" w:line="209" w:lineRule="exact"/>
        <w:rPr>
          <w:sz w:val="20"/>
          <w:szCs w:val="20"/>
          <w:color w:val="auto"/>
        </w:rPr>
      </w:pPr>
    </w:p>
    <w:p>
      <w:pPr>
        <w:jc w:val="both"/>
        <w:ind w:firstLine="720"/>
        <w:spacing w:after="0" w:line="269" w:lineRule="auto"/>
        <w:rPr>
          <w:sz w:val="20"/>
          <w:szCs w:val="20"/>
          <w:color w:val="auto"/>
        </w:rPr>
      </w:pPr>
      <w:r>
        <w:rPr>
          <w:rFonts w:ascii="Times New Roman" w:cs="Times New Roman" w:eastAsia="Times New Roman" w:hAnsi="Times New Roman"/>
          <w:sz w:val="20"/>
          <w:szCs w:val="20"/>
          <w:color w:val="auto"/>
        </w:rPr>
        <w:t>Net cash used in investing activities was $0.8 million for the year ended December 31, 2025, due to $1.0 million of capital expenditures of property, plant and equipment, partially offset by proceeds from the sale of property, plant and equipment of $0.2 million.</w:t>
      </w:r>
    </w:p>
    <w:p>
      <w:pPr>
        <w:spacing w:after="0" w:line="147" w:lineRule="exact"/>
        <w:rPr>
          <w:sz w:val="20"/>
          <w:szCs w:val="20"/>
          <w:color w:val="auto"/>
        </w:rPr>
      </w:pPr>
    </w:p>
    <w:p>
      <w:pPr>
        <w:jc w:val="both"/>
        <w:ind w:firstLine="720"/>
        <w:spacing w:after="0" w:line="263" w:lineRule="auto"/>
        <w:rPr>
          <w:sz w:val="20"/>
          <w:szCs w:val="20"/>
          <w:color w:val="auto"/>
        </w:rPr>
      </w:pPr>
      <w:r>
        <w:rPr>
          <w:rFonts w:ascii="Times New Roman" w:cs="Times New Roman" w:eastAsia="Times New Roman" w:hAnsi="Times New Roman"/>
          <w:sz w:val="20"/>
          <w:szCs w:val="20"/>
          <w:color w:val="auto"/>
        </w:rPr>
        <w:t>Net cash from investing activities was $1.7 million for the year ended December 31, 2024. We received cash proceeds from the IGE Asset Sale associated with the sale of property, plant and equipment of $3.7 million, and additional cash proceeds from the sale of property, plant and equipment of $0.9 million. These cash proceeds were partially offset by $2.9 million of capital expenditures of property, plant and equipment.</w:t>
      </w:r>
    </w:p>
    <w:p>
      <w:pPr>
        <w:spacing w:after="0" w:line="152" w:lineRule="exact"/>
        <w:rPr>
          <w:sz w:val="20"/>
          <w:szCs w:val="20"/>
          <w:color w:val="auto"/>
        </w:rPr>
      </w:pPr>
    </w:p>
    <w:p>
      <w:pPr>
        <w:jc w:val="both"/>
        <w:ind w:firstLine="720"/>
        <w:spacing w:after="0" w:line="287" w:lineRule="auto"/>
        <w:rPr>
          <w:sz w:val="20"/>
          <w:szCs w:val="20"/>
          <w:color w:val="auto"/>
        </w:rPr>
      </w:pPr>
      <w:r>
        <w:rPr>
          <w:rFonts w:ascii="Times New Roman" w:cs="Times New Roman" w:eastAsia="Times New Roman" w:hAnsi="Times New Roman"/>
          <w:sz w:val="20"/>
          <w:szCs w:val="20"/>
          <w:color w:val="auto"/>
        </w:rPr>
        <w:t>In both 2025 and 2024, the capital expenditures of property, plant and equipment primarily relates to investments in our peat moss harvesting operation in Canada.</w:t>
      </w:r>
    </w:p>
    <w:p>
      <w:pPr>
        <w:sectPr>
          <w:pgSz w:w="12240" w:h="15840" w:orient="portrait"/>
          <w:cols w:equalWidth="0" w:num="1">
            <w:col w:w="10260"/>
          </w:cols>
          <w:pgMar w:left="1000" w:top="43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10260"/>
          </w:cols>
          <w:pgMar w:left="1000" w:top="430" w:right="980" w:bottom="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Financing Activities</w:t>
      </w:r>
    </w:p>
    <w:p>
      <w:pPr>
        <w:spacing w:after="0" w:line="210" w:lineRule="exact"/>
        <w:rPr>
          <w:sz w:val="20"/>
          <w:szCs w:val="20"/>
          <w:color w:val="auto"/>
        </w:rPr>
      </w:pPr>
    </w:p>
    <w:p>
      <w:pPr>
        <w:jc w:val="both"/>
        <w:ind w:firstLine="720"/>
        <w:spacing w:after="0" w:line="268" w:lineRule="auto"/>
        <w:rPr>
          <w:sz w:val="20"/>
          <w:szCs w:val="20"/>
          <w:color w:val="auto"/>
        </w:rPr>
      </w:pPr>
      <w:r>
        <w:rPr>
          <w:rFonts w:ascii="Times New Roman" w:cs="Times New Roman" w:eastAsia="Times New Roman" w:hAnsi="Times New Roman"/>
          <w:sz w:val="20"/>
          <w:szCs w:val="20"/>
          <w:color w:val="auto"/>
        </w:rPr>
        <w:t>Net cash used in financing activities was $5.4 million for the year ended December 31, 2025, primarily driven by (i) $4.9 million of Term Loan repayments primarily made in conjunction with the reinvestment provisions, and (ii) finance lease principal payments of $0.5 million</w:t>
      </w:r>
      <w:r>
        <w:rPr>
          <w:rFonts w:ascii="Times New Roman" w:cs="Times New Roman" w:eastAsia="Times New Roman" w:hAnsi="Times New Roman"/>
          <w:sz w:val="20"/>
          <w:szCs w:val="20"/>
          <w:i w:val="1"/>
          <w:iCs w:val="1"/>
          <w:color w:val="auto"/>
        </w:rPr>
        <w:t>.</w:t>
      </w:r>
    </w:p>
    <w:p>
      <w:pPr>
        <w:spacing w:after="0" w:line="149" w:lineRule="exact"/>
        <w:rPr>
          <w:sz w:val="20"/>
          <w:szCs w:val="20"/>
          <w:color w:val="auto"/>
        </w:rPr>
      </w:pPr>
    </w:p>
    <w:p>
      <w:pPr>
        <w:jc w:val="both"/>
        <w:ind w:firstLine="720"/>
        <w:spacing w:after="0" w:line="263" w:lineRule="auto"/>
        <w:rPr>
          <w:sz w:val="20"/>
          <w:szCs w:val="20"/>
          <w:color w:val="auto"/>
        </w:rPr>
      </w:pPr>
      <w:r>
        <w:rPr>
          <w:rFonts w:ascii="Times New Roman" w:cs="Times New Roman" w:eastAsia="Times New Roman" w:hAnsi="Times New Roman"/>
          <w:sz w:val="20"/>
          <w:szCs w:val="20"/>
          <w:color w:val="auto"/>
        </w:rPr>
        <w:t>Net cash used in financing activities was $4.8 million for the year ended December 31, 2024, primarily driven by (i) $3.2 million of Term Loan repayments relating to required quarterly payments of principal and payments made in conjunction with a 2023 sale-leaseback transaction and (ii) finance lease principal payments of $1.4 million which included approximately $0.7 million relating to equipment finance lease payments made in connection with the IGE Asset Sale.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Availability and Use of Cash</w:t>
      </w:r>
    </w:p>
    <w:p>
      <w:pPr>
        <w:spacing w:after="0" w:line="214" w:lineRule="exact"/>
        <w:rPr>
          <w:sz w:val="20"/>
          <w:szCs w:val="20"/>
          <w:color w:val="auto"/>
        </w:rPr>
      </w:pPr>
    </w:p>
    <w:p>
      <w:pPr>
        <w:jc w:val="both"/>
        <w:ind w:firstLine="720"/>
        <w:spacing w:after="0" w:line="262" w:lineRule="auto"/>
        <w:rPr>
          <w:sz w:val="20"/>
          <w:szCs w:val="20"/>
          <w:color w:val="auto"/>
        </w:rPr>
      </w:pPr>
      <w:r>
        <w:rPr>
          <w:rFonts w:ascii="Times New Roman" w:cs="Times New Roman" w:eastAsia="Times New Roman" w:hAnsi="Times New Roman"/>
          <w:sz w:val="20"/>
          <w:szCs w:val="20"/>
          <w:color w:val="auto"/>
        </w:rPr>
        <w:t>As of December 31, 2025, we had $6.3 million in cash and cash equivalents and a working capital deficit of $88.6 million. We have incurred recurring operating losses, negative cash flows from operations, and has significant debt obligations due within the next twelve months. These conditions and events, considered in the aggregate, raise substantial doubt about our ability to continue as a going concern.</w:t>
      </w:r>
    </w:p>
    <w:p>
      <w:pPr>
        <w:spacing w:after="0" w:line="155"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 xml:space="preserve">Our plans to address these conditions include reducing costs through restructuring and other initiatives, including facility consolidations, headcount reductions, and focusing on our proprietary brand offerings. To improve liquidity we are negotiating with lenders and key vendors, and are pursuing additional financing or strategic alternatives including the sale of assets or businesses, or through an offering of equity securities. Any potential such event may be subject to provisions referenced in the Term Loan, such as subjecting us to make mandatory repayments prior to the originally stated maturity date. Although we believe such plans, if executed, should provide us with liquidity to meet our needs, successful completion of such plans is dependent on numerous factors, many of which are beyond our control as further discussed in </w:t>
      </w:r>
      <w:r>
        <w:rPr>
          <w:rFonts w:ascii="Times New Roman" w:cs="Times New Roman" w:eastAsia="Times New Roman" w:hAnsi="Times New Roman"/>
          <w:sz w:val="20"/>
          <w:szCs w:val="20"/>
          <w:i w:val="1"/>
          <w:iCs w:val="1"/>
          <w:color w:val="auto"/>
        </w:rPr>
        <w:t>Part I, Item 1A, Risk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Factors </w:t>
      </w:r>
      <w:r>
        <w:rPr>
          <w:rFonts w:ascii="Times New Roman" w:cs="Times New Roman" w:eastAsia="Times New Roman" w:hAnsi="Times New Roman"/>
          <w:sz w:val="20"/>
          <w:szCs w:val="20"/>
          <w:color w:val="auto"/>
        </w:rPr>
        <w:t>included in this Annual Report on Form 10-K.</w:t>
      </w:r>
    </w:p>
    <w:p>
      <w:pPr>
        <w:spacing w:after="0" w:line="166"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 xml:space="preserve">As further described in Note 4 – </w:t>
      </w:r>
      <w:r>
        <w:rPr>
          <w:rFonts w:ascii="Times New Roman" w:cs="Times New Roman" w:eastAsia="Times New Roman" w:hAnsi="Times New Roman"/>
          <w:sz w:val="20"/>
          <w:szCs w:val="20"/>
          <w:i w:val="1"/>
          <w:iCs w:val="1"/>
          <w:color w:val="auto"/>
        </w:rPr>
        <w:t>Restructuring and Asset Sales</w:t>
      </w:r>
      <w:r>
        <w:rPr>
          <w:rFonts w:ascii="Times New Roman" w:cs="Times New Roman" w:eastAsia="Times New Roman" w:hAnsi="Times New Roman"/>
          <w:sz w:val="20"/>
          <w:szCs w:val="20"/>
          <w:color w:val="auto"/>
        </w:rPr>
        <w:t xml:space="preserve"> to our consolidated financial statements included elsewhere in this Annual Report on Form 10-K, we closed on the IGE Asset Sale and received gross proceeds of $8.7 million during the year ended December 31, 2024. In accordance with our Term Loan, the net proceeds, approximately $6.3 million, from the IGE Asset Sale transaction were required to be reinvested into certain permitted investments, such as capital expenditures or permitted acquisitions/ investments, or offered to prepay Term Loan principal. As of December 31, 2025, we have satisfied this provision as related to the IGE Asset Sale, through a combination of certain investments and prepayments of the Term Loan. Refer to further discussion below, relating to Term Loan reinvestment provisions regarding the net cash proceeds of the IGE Asset Sale.</w:t>
      </w:r>
    </w:p>
    <w:p>
      <w:pPr>
        <w:spacing w:after="0" w:line="166"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0"/>
          <w:szCs w:val="20"/>
          <w:color w:val="auto"/>
        </w:rPr>
        <w:t>If necessary, we believe that we could supplement our cash position through additional asset sales or divestiture of one or more of our brands or lines of business. During 2024, we sold a portion of the excess owned land at our Goshen, New York location, and are evaluating other opportunities to sell excess owned land, not currently being used in operations, to supplement our cash position. We believe it is prudent to be prepared if required and, accordingly, continue to be engaged in the process of evaluating and preparing to implement one or more of the aforementioned activities. Any potential such event may be subject to provisions referenced in our Term Loan, such as subjecting us to make mandatory prepayments.</w:t>
      </w:r>
    </w:p>
    <w:p>
      <w:pPr>
        <w:spacing w:after="0" w:line="1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Term Loan</w:t>
      </w:r>
    </w:p>
    <w:p>
      <w:pPr>
        <w:spacing w:after="0" w:line="214" w:lineRule="exact"/>
        <w:rPr>
          <w:sz w:val="20"/>
          <w:szCs w:val="20"/>
          <w:color w:val="auto"/>
        </w:rPr>
      </w:pPr>
    </w:p>
    <w:p>
      <w:pPr>
        <w:jc w:val="both"/>
        <w:ind w:firstLine="720"/>
        <w:spacing w:after="0" w:line="267" w:lineRule="auto"/>
        <w:rPr>
          <w:sz w:val="20"/>
          <w:szCs w:val="20"/>
          <w:color w:val="auto"/>
        </w:rPr>
      </w:pPr>
      <w:r>
        <w:rPr>
          <w:rFonts w:ascii="Times New Roman" w:cs="Times New Roman" w:eastAsia="Times New Roman" w:hAnsi="Times New Roman"/>
          <w:sz w:val="19"/>
          <w:szCs w:val="19"/>
          <w:color w:val="auto"/>
        </w:rPr>
        <w:t>On October 25, 2021, we and certain of our direct and indirect subsidiaries entered into the Term Loan with JPMorgan Chase Bank, N.A., as administrative agent for the lenders, pursuant to which we borrowed a $125 million senior secured term loan. The Term Loan was amended by Amendment No. 1 effective as of June 27, 2023, to replace the London Interbank Offered Rate ("LIBOR") referenced rates with Secured Overnight Financing Rate ("SOFR") referenced rates. Pursuant to Amendment No. 1, any Term Loan that constitutes a Eurodollar Rate Loan that is outstanding as of the Amendment No. 1 closing date shall continue until the end of the applicable interest period for such Eurodollar Rate Loan and the provisions of the Term Loan applicable thereto shall continue and remain in effect (notwithstanding the occurrence of the Amendment No. 1 closing date) until the end of the applicable interest period for such Eurodollar Rate Loan, after which such provisions shall have had no further force or effect. Such Eurodollar Rate Loan shall subsequently either be an ABR Loan or a Term Benchmark Loan. The ABR Loans shall bear interest at the Alternate Base Rate (with a 2.0% floor) plus 4.50%, and Term Benchmark Loans shall bear interest at the Adjusted Term SOFR Rate (with a 1.0% floor) plus 5.50%. As of the date of filing this Annual Report on Form 10-K, the ABR Loan and Term Benchmark Loan credit spreads of 4.50% and 5.50%, respectively, within the Amendment No. 1 have not changed from the credit spreads in the original Term Loan. The Term Loan matures on October 25, 2028, and is secured by a first lien on our non-working capital assets and a second lien on our working capital assets.</w:t>
      </w:r>
    </w:p>
    <w:p>
      <w:pPr>
        <w:sectPr>
          <w:pgSz w:w="12240" w:h="15840" w:orient="portrait"/>
          <w:cols w:equalWidth="0" w:num="1">
            <w:col w:w="10260"/>
          </w:cols>
          <w:pgMar w:left="1000" w:top="43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10260"/>
          </w:cols>
          <w:pgMar w:left="1000" w:top="430" w:right="980" w:bottom="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91" w:lineRule="exact"/>
        <w:rPr>
          <w:sz w:val="20"/>
          <w:szCs w:val="20"/>
          <w:color w:val="auto"/>
        </w:rPr>
      </w:pPr>
    </w:p>
    <w:p>
      <w:pPr>
        <w:jc w:val="both"/>
        <w:ind w:firstLine="720"/>
        <w:spacing w:after="0" w:line="269" w:lineRule="auto"/>
        <w:rPr>
          <w:sz w:val="20"/>
          <w:szCs w:val="20"/>
          <w:color w:val="auto"/>
        </w:rPr>
      </w:pPr>
      <w:r>
        <w:rPr>
          <w:rFonts w:ascii="Times New Roman" w:cs="Times New Roman" w:eastAsia="Times New Roman" w:hAnsi="Times New Roman"/>
          <w:sz w:val="20"/>
          <w:szCs w:val="20"/>
          <w:color w:val="auto"/>
        </w:rPr>
        <w:t>The principal amounts of the Term Loan are scheduled to be repaid in consecutive quarterly installments in amounts equal to 0.25% of the original principal amount of the Term Loan on the last day of each fiscal quarter commencing March 31, 2022, with the balance of the Term Loan payable on the Maturity Date.</w:t>
      </w:r>
    </w:p>
    <w:p>
      <w:pPr>
        <w:spacing w:after="0" w:line="147"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 xml:space="preserve">We are also required to make mandatory prepayments in the event of (i) achieving certain excess cash flow criteria, including the achievement and maintenance of a specific leverage ratio, (ii) certain asset sales that are collateral, or (iii) upon the issuance, offering, or placement of new debt obligations. As described in Note 4 – </w:t>
      </w:r>
      <w:r>
        <w:rPr>
          <w:rFonts w:ascii="Times New Roman" w:cs="Times New Roman" w:eastAsia="Times New Roman" w:hAnsi="Times New Roman"/>
          <w:sz w:val="20"/>
          <w:szCs w:val="20"/>
          <w:i w:val="1"/>
          <w:iCs w:val="1"/>
          <w:color w:val="auto"/>
        </w:rPr>
        <w:t>Restructuring and Asset Sales</w:t>
      </w:r>
      <w:r>
        <w:rPr>
          <w:rFonts w:ascii="Times New Roman" w:cs="Times New Roman" w:eastAsia="Times New Roman" w:hAnsi="Times New Roman"/>
          <w:sz w:val="20"/>
          <w:szCs w:val="20"/>
          <w:color w:val="auto"/>
        </w:rPr>
        <w:t>, we received net cash proceeds of approximately $6.3 million in May 2024 from the IGE Asset Sale and were subject to a provision whereby such net cash proceeds can be reinvested into certain investments, such as capital expenditures. This provision of the Term Loan includes (i) cash investments made within a one-year period from the IGE Asset Sale, and (ii) investments which are contractually committed within one-year of the IGE Asset Sale, and paid within 180 days after entering into such contractual commitment. The amount of any net cash proceeds which are not reinvested required us to make an offer to prepay the corresponding amount on the Term Loan in 2025. In accordance with this provision, we made prepayments of $4.6 million during of 2025. The prepayments reduced our required quarterly installment amounts to zero for the remaining term. As of December 31, 2025, we have satisfied this provision as related to the IGE Asset Sale, through a combination of certain investments and prepayments of the Term Loan. The foregoing description of the reinvestment provision does not purport to be complete and is qualified in its entirety by reference to the provisions of the Term Loan.</w:t>
      </w:r>
    </w:p>
    <w:p>
      <w:pPr>
        <w:spacing w:after="0" w:line="168"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color w:val="auto"/>
        </w:rPr>
        <w:t>As of December 31, 2025, and 2024, the outstanding principal balance on the Term Loan was $114.4 million and $119.3 million, respectively.</w:t>
      </w:r>
    </w:p>
    <w:p>
      <w:pPr>
        <w:spacing w:after="0" w:line="128"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 Term Loan requires us to maintain certain reporting requirements, affirmative covenants, and negative covenants. On February 4, 2026, we elected to defer making an interest payment of approximately $2.8 million on the Term Loan. As a result of our failure to pay the interest within the grace period, an event of default occurred with respect to the Term Loan. On February 11, 2026, the lenders, through the administrative agent, notified us of such event of default and informed us that the administrative agent or the collateral agent may exercise any rights and remedies provided under the Term Loan agreement and related financing documents, but it did not seek to enforce such remedies as of such time.</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Revolving Credit Facility</w:t>
      </w:r>
    </w:p>
    <w:p>
      <w:pPr>
        <w:spacing w:after="0" w:line="214"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On March 29, 2021, we and certain of our subsidiaries entered into the Revolving Credit Agreement with JPMorgan, as administrative agent, issuing bank and swingline lender for a revolving line of credit up to $50 million (the "Revolving Credit Facility") which was subsequently amended several times to, among other things, modify the maximum aggregate borrowing limit, transition the interest rate benchmark from LIBOR to SOFR, and extend the maturity date. We use the terms Revolving Credit Agreement and Revolving Credit Facility interchangeably.</w:t>
      </w:r>
    </w:p>
    <w:p>
      <w:pPr>
        <w:spacing w:after="0" w:line="158"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As of December 31, 2025, and December 31, 2024, we had zero borrowed under the Revolving Credit Facility. On February 17, 2026, we entered into the Termination Agreement to terminate the Revolving Credit Agreement. Pursuant to the terms of the Termination Agreement, the parties agreed to terminate the Revolving Credit Agreement subject to the survival of each of the provisions of the Revolving Credit Agreement and Loan Documents (as defined in the Revolving Credit Agreement) and in the certificates delivered in connection with or pursuant to the Revolving Credit Agreement that survive termination of the Revolving Credit Agreement.</w:t>
      </w:r>
    </w:p>
    <w:p>
      <w:pPr>
        <w:spacing w:after="0" w:line="157"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color w:val="auto"/>
        </w:rPr>
        <w:t>The aforementioned financing arrangements and other transactions are more fully described in the notes to the consolidated financial statements included elsewhere in this Annual Report on Form 10-K.</w:t>
      </w:r>
    </w:p>
    <w:p>
      <w:pPr>
        <w:spacing w:after="0" w:line="1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Cash and Cash Equivalents</w:t>
      </w:r>
    </w:p>
    <w:p>
      <w:pPr>
        <w:spacing w:after="0" w:line="214" w:lineRule="exact"/>
        <w:rPr>
          <w:sz w:val="20"/>
          <w:szCs w:val="20"/>
          <w:color w:val="auto"/>
        </w:rPr>
      </w:pPr>
    </w:p>
    <w:p>
      <w:pPr>
        <w:jc w:val="both"/>
        <w:ind w:right="20" w:firstLine="720"/>
        <w:spacing w:after="0" w:line="287" w:lineRule="auto"/>
        <w:rPr>
          <w:sz w:val="20"/>
          <w:szCs w:val="20"/>
          <w:color w:val="auto"/>
        </w:rPr>
      </w:pPr>
      <w:r>
        <w:rPr>
          <w:rFonts w:ascii="Times New Roman" w:cs="Times New Roman" w:eastAsia="Times New Roman" w:hAnsi="Times New Roman"/>
          <w:sz w:val="20"/>
          <w:szCs w:val="20"/>
          <w:color w:val="auto"/>
        </w:rPr>
        <w:t>The cash and cash equivalents balances of $6.3 million and $26.1 million at December 31, 2025, and December 31, 2024, respectively, included $2.9 million and $11.9 million, respectively, held by foreign subsidiaries.</w:t>
      </w:r>
    </w:p>
    <w:p>
      <w:pPr>
        <w:spacing w:after="0" w:line="1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Material Cash Requirements</w:t>
      </w:r>
    </w:p>
    <w:p>
      <w:pPr>
        <w:spacing w:after="0" w:line="214"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 xml:space="preserve">Our estimated 2026 material cash requirements include (i) anticipated principal and interest payments on our Term Loan, (ii) finance lease payments, and (iii) operating lease payments, as well as other purchase obligations to support our operations. Variable rates on our Term Loan are subject to change as further described in </w:t>
      </w:r>
      <w:r>
        <w:rPr>
          <w:rFonts w:ascii="Times New Roman" w:cs="Times New Roman" w:eastAsia="Times New Roman" w:hAnsi="Times New Roman"/>
          <w:sz w:val="20"/>
          <w:szCs w:val="20"/>
          <w:i w:val="1"/>
          <w:iCs w:val="1"/>
          <w:color w:val="auto"/>
        </w:rPr>
        <w:t>Item 7A, Quantitative and Qualitative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Disclosures About Market Risk</w:t>
      </w:r>
      <w:r>
        <w:rPr>
          <w:rFonts w:ascii="Times New Roman" w:cs="Times New Roman" w:eastAsia="Times New Roman" w:hAnsi="Times New Roman"/>
          <w:sz w:val="20"/>
          <w:szCs w:val="20"/>
          <w:color w:val="auto"/>
        </w:rPr>
        <w:t>. Refer to</w:t>
      </w:r>
      <w:r>
        <w:rPr>
          <w:rFonts w:ascii="Times New Roman" w:cs="Times New Roman" w:eastAsia="Times New Roman" w:hAnsi="Times New Roman"/>
          <w:sz w:val="20"/>
          <w:szCs w:val="20"/>
          <w:i w:val="1"/>
          <w:iCs w:val="1"/>
          <w:color w:val="auto"/>
        </w:rPr>
        <w:t xml:space="preserve"> Item 8, Financial Statements</w:t>
      </w:r>
      <w:r>
        <w:rPr>
          <w:rFonts w:ascii="Times New Roman" w:cs="Times New Roman" w:eastAsia="Times New Roman" w:hAnsi="Times New Roman"/>
          <w:sz w:val="20"/>
          <w:szCs w:val="20"/>
          <w:color w:val="auto"/>
        </w:rPr>
        <w:t>, Note 11 –</w:t>
      </w:r>
      <w:r>
        <w:rPr>
          <w:rFonts w:ascii="Times New Roman" w:cs="Times New Roman" w:eastAsia="Times New Roman" w:hAnsi="Times New Roman"/>
          <w:sz w:val="20"/>
          <w:szCs w:val="20"/>
          <w:i w:val="1"/>
          <w:iCs w:val="1"/>
          <w:color w:val="auto"/>
        </w:rPr>
        <w:t xml:space="preserve"> Debt</w:t>
      </w:r>
      <w:r>
        <w:rPr>
          <w:rFonts w:ascii="Times New Roman" w:cs="Times New Roman" w:eastAsia="Times New Roman" w:hAnsi="Times New Roman"/>
          <w:sz w:val="20"/>
          <w:szCs w:val="20"/>
          <w:color w:val="auto"/>
        </w:rPr>
        <w:t>, Note 8 –</w:t>
      </w:r>
      <w:r>
        <w:rPr>
          <w:rFonts w:ascii="Times New Roman" w:cs="Times New Roman" w:eastAsia="Times New Roman" w:hAnsi="Times New Roman"/>
          <w:sz w:val="20"/>
          <w:szCs w:val="20"/>
          <w:i w:val="1"/>
          <w:iCs w:val="1"/>
          <w:color w:val="auto"/>
        </w:rPr>
        <w:t xml:space="preserve"> Leases</w:t>
      </w:r>
      <w:r>
        <w:rPr>
          <w:rFonts w:ascii="Times New Roman" w:cs="Times New Roman" w:eastAsia="Times New Roman" w:hAnsi="Times New Roman"/>
          <w:sz w:val="20"/>
          <w:szCs w:val="20"/>
          <w:color w:val="auto"/>
        </w:rPr>
        <w:t>, and Note 15 –</w:t>
      </w:r>
      <w:r>
        <w:rPr>
          <w:rFonts w:ascii="Times New Roman" w:cs="Times New Roman" w:eastAsia="Times New Roman" w:hAnsi="Times New Roman"/>
          <w:sz w:val="20"/>
          <w:szCs w:val="20"/>
          <w:i w:val="1"/>
          <w:iCs w:val="1"/>
          <w:color w:val="auto"/>
        </w:rPr>
        <w:t xml:space="preserve"> Commitments and Contingencies </w:t>
      </w:r>
      <w:r>
        <w:rPr>
          <w:rFonts w:ascii="Times New Roman" w:cs="Times New Roman" w:eastAsia="Times New Roman" w:hAnsi="Times New Roman"/>
          <w:sz w:val="20"/>
          <w:szCs w:val="20"/>
          <w:color w:val="auto"/>
        </w:rPr>
        <w:t>for details relating to our material cash requirements for debt, our leasing arrangements,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including future maturities of our operating lease liabilities, and purchase obligations, respectively. From time to time in the</w:t>
      </w:r>
    </w:p>
    <w:p>
      <w:pPr>
        <w:sectPr>
          <w:pgSz w:w="12240" w:h="15840" w:orient="portrait"/>
          <w:cols w:equalWidth="0" w:num="1">
            <w:col w:w="10260"/>
          </w:cols>
          <w:pgMar w:left="1000" w:top="43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10260"/>
          </w:cols>
          <w:pgMar w:left="1000" w:top="430" w:right="980" w:bottom="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91"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color w:val="auto"/>
        </w:rPr>
        <w:t>normal course of business, we will enter into agreements with suppliers which provide favorable pricing in return for a commitment to purchase minimum amounts of inventory over a defined time period.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Seasonality</w:t>
      </w:r>
    </w:p>
    <w:p>
      <w:pPr>
        <w:spacing w:after="0" w:line="214"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Our net sales are typically seasonally stronger in our first three fiscal quarters in preparation of, and during, the warmer spring and summer months in North America (the United States and Canada are our primarily markets). This seasonal trend is primarily due to the garden center portion of our customer base, and because certain of our customers may use some of our products (such as grow media and nutrients) in outdoor applications. Likely due to the industry recession, our net sales have declined which have led to seasonal patterns that may have less consistency. Also, we typically expect to utilize cash from operating activities in the first quarter to fund our working capital requirements related to the seasonal sales pattern described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214"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Certain accounting policies require us to make estimates and judgments in determining the amounts reflected in the consolidated financial statements. Such estimates and judgments involve varying, and possibly significant, degrees of uncertainty. Accordingly, certain amounts currently recorded in the financial statements will likely be adjusted in the future based on new available information and changes in other facts and circumstances. A discussion of our critical accounting policies that required the application of significant judgments as of December 31, 2025 and 2024 are as follows.</w:t>
      </w:r>
    </w:p>
    <w:p>
      <w:pPr>
        <w:spacing w:after="0" w:line="15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Long-lived tangible and finite-lived intangible assets</w:t>
      </w:r>
    </w:p>
    <w:p>
      <w:pPr>
        <w:spacing w:after="0" w:line="209"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Long-lived tangible assets and finite-lived intangible assets are stated at cost. Depreciation, depletion and amortization expense is primarily provided on the straight-line method and based on the estimated useful economic lives of the long-lived assets. Intangible assets with finite lives are subject to amortization. Intangible assets with finite lives and indefinite lives are reviewed for impairment when events or changes in circumstances indicate that the carrying amount may not be recoverable. The impairment evaluation includes a comparison of the undiscounted cash flows expected to be generated by that long-lived asset or asset group to its carrying amount.</w:t>
      </w:r>
    </w:p>
    <w:p>
      <w:pPr>
        <w:spacing w:after="0" w:line="157"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During the fourth quarter of fiscal 2025, as a result of industry conditions, primarily attributable to an agricultural oversupply impacting our market and resulting in a decrease in indoor and outdoor cultivation, as well as continued declines in our operating cash flows and profitability, we assessed our long-lived assets for impairment and recorded an impairment charge of $232.2 million. Of the impairment charge, $228.4 million was related to finite-lived intangible assets and $3.8 million was related to property, plant, and equipment. The loss was recorded in impairments in the consolidated statement of operations for the year ended December 31, 2025. We estimated fair value based on the income approach, as well as the market approach. Under the income approach, we estimated the fair value of the asset group on the present value of estimated future cash flows, which the Company considers to be a level 3 unobservable input in the fair value hierarchy.</w:t>
      </w:r>
    </w:p>
    <w:p>
      <w:pPr>
        <w:spacing w:after="0" w:line="166" w:lineRule="exact"/>
        <w:rPr>
          <w:sz w:val="20"/>
          <w:szCs w:val="20"/>
          <w:color w:val="auto"/>
        </w:rPr>
      </w:pPr>
    </w:p>
    <w:p>
      <w:pPr>
        <w:jc w:val="both"/>
        <w:ind w:firstLine="720"/>
        <w:spacing w:after="0" w:line="262" w:lineRule="auto"/>
        <w:rPr>
          <w:sz w:val="20"/>
          <w:szCs w:val="20"/>
          <w:color w:val="auto"/>
        </w:rPr>
      </w:pPr>
      <w:r>
        <w:rPr>
          <w:rFonts w:ascii="Times New Roman" w:cs="Times New Roman" w:eastAsia="Times New Roman" w:hAnsi="Times New Roman"/>
          <w:sz w:val="20"/>
          <w:szCs w:val="20"/>
          <w:color w:val="auto"/>
        </w:rPr>
        <w:t>We believe that the asset impairment evaluations were based on reasonable assumptions that marketplace participants would use. However, such assumptions are inherently uncertain and actual results could differ from those estimates. Changes to or a failure to achieve our projected business assumptions, including growth and profitability, could result in a valuation that would trigger an additional impairment in future periods.</w:t>
      </w:r>
    </w:p>
    <w:p>
      <w:pPr>
        <w:spacing w:after="0" w:line="15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Inventory valuation</w:t>
      </w:r>
    </w:p>
    <w:p>
      <w:pPr>
        <w:spacing w:after="0" w:line="210"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Inventories consist of finished goods, work-in-process, and raw materials used in manufacturing products. Inventories are stated at the lower of cost or net realizable value, principally determined by the first in, first out method of accounting. We maintain an allowance for excess and obsolete inventory. The estimate for excess and obsolete inventory is based upon assumptions about current and anticipated demand, customer preferences, business strategies, and market conditions. Management reviews these assumptions periodically to determine if any adjustments are needed to the allowance for excess and obsolete inventory. The establishment of an allowance for excess and obsolete inventory establishes a new cost basis in the inventory. Such allowance is not reduced until the product is sold. If inventory is sold, any related reserves would be reversed in the period of sale. The Company estimates inventory markdowns relating to restructuring charges based upon current and anticipated demand, customer preferences, business strategies, and market conditions including management's planned actions with respect to inventory.</w:t>
      </w:r>
    </w:p>
    <w:p>
      <w:pPr>
        <w:sectPr>
          <w:pgSz w:w="12240" w:h="15840" w:orient="portrait"/>
          <w:cols w:equalWidth="0" w:num="1">
            <w:col w:w="10260"/>
          </w:cols>
          <w:pgMar w:left="1000" w:top="43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10260"/>
          </w:cols>
          <w:pgMar w:left="1000" w:top="430" w:right="980" w:bottom="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Recent accounting pronouncements</w:t>
      </w:r>
    </w:p>
    <w:p>
      <w:pPr>
        <w:spacing w:after="0" w:line="210" w:lineRule="exact"/>
        <w:rPr>
          <w:sz w:val="20"/>
          <w:szCs w:val="20"/>
          <w:color w:val="auto"/>
        </w:rPr>
      </w:pPr>
    </w:p>
    <w:p>
      <w:pPr>
        <w:jc w:val="both"/>
        <w:ind w:firstLine="720"/>
        <w:spacing w:after="0" w:line="268" w:lineRule="auto"/>
        <w:rPr>
          <w:sz w:val="20"/>
          <w:szCs w:val="20"/>
          <w:color w:val="auto"/>
        </w:rPr>
      </w:pPr>
      <w:r>
        <w:rPr>
          <w:rFonts w:ascii="Times New Roman" w:cs="Times New Roman" w:eastAsia="Times New Roman" w:hAnsi="Times New Roman"/>
          <w:sz w:val="20"/>
          <w:szCs w:val="20"/>
          <w:color w:val="auto"/>
        </w:rPr>
        <w:t xml:space="preserve">For information regarding recent accounting pronouncements, refer to Note 3 – </w:t>
      </w:r>
      <w:r>
        <w:rPr>
          <w:rFonts w:ascii="Times New Roman" w:cs="Times New Roman" w:eastAsia="Times New Roman" w:hAnsi="Times New Roman"/>
          <w:sz w:val="20"/>
          <w:szCs w:val="20"/>
          <w:i w:val="1"/>
          <w:iCs w:val="1"/>
          <w:color w:val="auto"/>
        </w:rPr>
        <w:t>Basis of Presentation and Significant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Accounting Policies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Recently issued accounting pronouncements</w:t>
      </w:r>
      <w:r>
        <w:rPr>
          <w:rFonts w:ascii="Times New Roman" w:cs="Times New Roman" w:eastAsia="Times New Roman" w:hAnsi="Times New Roman"/>
          <w:sz w:val="20"/>
          <w:szCs w:val="20"/>
          <w:color w:val="auto"/>
        </w:rPr>
        <w:t>, to our consolidated financial statements included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elsewhere in this Annual Report on Form 10-K.</w:t>
      </w:r>
    </w:p>
    <w:p>
      <w:pPr>
        <w:sectPr>
          <w:pgSz w:w="12240" w:h="15840" w:orient="portrait"/>
          <w:cols w:equalWidth="0" w:num="1">
            <w:col w:w="10260"/>
          </w:cols>
          <w:pgMar w:left="1000" w:top="43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10260"/>
          </w:cols>
          <w:pgMar w:left="1000" w:top="430" w:right="980" w:bottom="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87" w:lineRule="exact"/>
        <w:rPr>
          <w:sz w:val="20"/>
          <w:szCs w:val="20"/>
          <w:color w:val="auto"/>
        </w:rPr>
      </w:pPr>
    </w:p>
    <w:p>
      <w:pPr>
        <w:ind w:left="40"/>
        <w:spacing w:after="0"/>
        <w:tabs>
          <w:tab w:leader="none" w:pos="1460" w:val="left"/>
        </w:tabs>
        <w:rPr>
          <w:sz w:val="20"/>
          <w:szCs w:val="20"/>
          <w:color w:val="auto"/>
        </w:rPr>
      </w:pPr>
      <w:r>
        <w:rPr>
          <w:rFonts w:ascii="Times New Roman" w:cs="Times New Roman" w:eastAsia="Times New Roman" w:hAnsi="Times New Roman"/>
          <w:sz w:val="20"/>
          <w:szCs w:val="20"/>
          <w:b w:val="1"/>
          <w:bCs w:val="1"/>
          <w:color w:val="auto"/>
        </w:rPr>
        <w:t>Item 7A.</w:t>
      </w:r>
      <w:r>
        <w:rPr>
          <w:sz w:val="20"/>
          <w:szCs w:val="20"/>
          <w:color w:val="auto"/>
        </w:rPr>
        <w:tab/>
      </w:r>
      <w:r>
        <w:rPr>
          <w:rFonts w:ascii="Times New Roman" w:cs="Times New Roman" w:eastAsia="Times New Roman" w:hAnsi="Times New Roman"/>
          <w:sz w:val="19"/>
          <w:szCs w:val="19"/>
          <w:b w:val="1"/>
          <w:bCs w:val="1"/>
          <w:color w:val="auto"/>
        </w:rPr>
        <w:t>QUANTITATIVE AND QUALITATIVE DISCLOSURES ABOUT MARKET RISK</w:t>
      </w:r>
    </w:p>
    <w:p>
      <w:pPr>
        <w:spacing w:after="0" w:line="214" w:lineRule="exact"/>
        <w:rPr>
          <w:sz w:val="20"/>
          <w:szCs w:val="20"/>
          <w:color w:val="auto"/>
        </w:rPr>
      </w:pPr>
    </w:p>
    <w:p>
      <w:pPr>
        <w:jc w:val="both"/>
        <w:ind w:firstLine="720"/>
        <w:spacing w:after="0" w:line="287" w:lineRule="auto"/>
        <w:rPr>
          <w:sz w:val="20"/>
          <w:szCs w:val="20"/>
          <w:color w:val="auto"/>
        </w:rPr>
      </w:pPr>
      <w:r>
        <w:rPr>
          <w:rFonts w:ascii="Times New Roman" w:cs="Times New Roman" w:eastAsia="Times New Roman" w:hAnsi="Times New Roman"/>
          <w:sz w:val="20"/>
          <w:szCs w:val="20"/>
          <w:color w:val="auto"/>
        </w:rPr>
        <w:t>Market risk is the risk of economic losses due to adverse changes in financial market prices and rates. Our primary market risk has been interest rate, foreign currency and inflation risk.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Rate Risk</w:t>
      </w:r>
    </w:p>
    <w:p>
      <w:pPr>
        <w:spacing w:after="0" w:line="210"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 xml:space="preserve">We are exposed to interest rate risk through our variable rate debt. As of December 31, 2025, we had $114.4 million of Term Loan debt that is subject to variable interest rates that are based on SOFR or an alternate base rate. Refer to Note 11 – </w:t>
      </w:r>
      <w:r>
        <w:rPr>
          <w:rFonts w:ascii="Times New Roman" w:cs="Times New Roman" w:eastAsia="Times New Roman" w:hAnsi="Times New Roman"/>
          <w:sz w:val="20"/>
          <w:szCs w:val="20"/>
          <w:i w:val="1"/>
          <w:iCs w:val="1"/>
          <w:color w:val="auto"/>
        </w:rPr>
        <w:t xml:space="preserve">Debt </w:t>
      </w:r>
      <w:r>
        <w:rPr>
          <w:rFonts w:ascii="Times New Roman" w:cs="Times New Roman" w:eastAsia="Times New Roman" w:hAnsi="Times New Roman"/>
          <w:sz w:val="20"/>
          <w:szCs w:val="20"/>
          <w:color w:val="auto"/>
        </w:rPr>
        <w:t>for details relating to the debt. If the rates were to increase by 100 basis points from the rates in effect as of December 31,</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2025, our interest expense on the variable rate debt would increase by an average of $1.2 million annually. There are inherent limitations in the sensitivity analysis presented, primarily due to the assumptions that interest rate changes would be instantaneous, while SOFR changes regularly. We do not currently hedge our interest rate risks, but may determine to do so in the future.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 Risk</w:t>
      </w:r>
    </w:p>
    <w:p>
      <w:pPr>
        <w:spacing w:after="0" w:line="209"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The functional currencies of our foreign subsidiary operations are predominantly in the Canadian dollar ("CAD") and the Euro. For the purposes of presenting these consolidated financial statements, the assets and liabilities of subsidiaries with CAD or Euro functional currencies are translated into U.S. dollars ("USD") using exchange rates prevailing at the end of each reporting period. Income and expense items are translated at the average rate prevailing during the period with exchange differences impacting other comprehensive income (loss) in equity. Therefore, our results of operations and cash flows are subject to fluctuations due to changes in foreign currency exchange rates, principally the CAD. We are impacted by changes in foreign currency exchange rates when we sell product in currencies different from the currency in which costs were incurred. The functional currencies and our purchasing and sales activities primarily include USD, CAD and Euro. As these currencies fluctuate against each other, and other currencies, we are exposed to foreign currency exchange rate risk on sales, purchasing transactions, and labor. To date, we have not entered into any foreign currency exchange contracts and currently do not expect to enter into foreign currency exchange contracts for trading or speculative purposes.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Inflation Risk</w:t>
      </w:r>
    </w:p>
    <w:p>
      <w:pPr>
        <w:spacing w:after="0" w:line="210" w:lineRule="exact"/>
        <w:rPr>
          <w:sz w:val="20"/>
          <w:szCs w:val="20"/>
          <w:color w:val="auto"/>
        </w:rPr>
      </w:pPr>
    </w:p>
    <w:p>
      <w:pPr>
        <w:jc w:val="both"/>
        <w:ind w:firstLine="720"/>
        <w:spacing w:after="0" w:line="287" w:lineRule="auto"/>
        <w:rPr>
          <w:sz w:val="20"/>
          <w:szCs w:val="20"/>
          <w:color w:val="auto"/>
        </w:rPr>
      </w:pPr>
      <w:r>
        <w:rPr>
          <w:rFonts w:ascii="Times New Roman" w:cs="Times New Roman" w:eastAsia="Times New Roman" w:hAnsi="Times New Roman"/>
          <w:sz w:val="20"/>
          <w:szCs w:val="20"/>
          <w:color w:val="auto"/>
        </w:rPr>
        <w:t>Our results of operations and financial condition are presented based on historical costs. We cannot provide assurances that our results of operations and financial condition will not be materially impacted by inflation in the future.</w:t>
      </w:r>
    </w:p>
    <w:p>
      <w:pPr>
        <w:sectPr>
          <w:pgSz w:w="12240" w:h="15840" w:orient="portrait"/>
          <w:cols w:equalWidth="0" w:num="1">
            <w:col w:w="10260"/>
          </w:cols>
          <w:pgMar w:left="1000" w:top="43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10260"/>
          </w:cols>
          <w:pgMar w:left="1000" w:top="430" w:right="980" w:bottom="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87"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FINANCIAL STATEMENTS AND SUPPLEMENTARY DATA</w:t>
      </w:r>
    </w:p>
    <w:p>
      <w:pPr>
        <w:spacing w:after="0" w:line="210"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39370</wp:posOffset>
                </wp:positionV>
                <wp:extent cx="6514465" cy="20066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200660"/>
                        </a:xfrm>
                        <a:prstGeom prst="rect">
                          <a:avLst/>
                        </a:prstGeom>
                        <a:solidFill>
                          <a:srgbClr val="D2EEF5"/>
                        </a:solidFill>
                      </wps:spPr>
                      <wps:bodyPr/>
                    </wps:wsp>
                  </a:graphicData>
                </a:graphic>
              </wp:anchor>
            </w:drawing>
          </mc:Choice>
          <mc:Fallback>
            <w:pict>
              <v:rect id="Shape 56" o:spid="_x0000_s1081" style="position:absolute;margin-left:-0.4499pt;margin-top:3.1pt;width:512.95pt;height:15.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shd w:val="clear" w:color="auto" w:fill="D2EEF5"/>
        </w:rPr>
        <w:t>Page</w:t>
      </w:r>
    </w:p>
    <w:p>
      <w:pPr>
        <w:spacing w:after="0" w:line="84" w:lineRule="exact"/>
        <w:rPr>
          <w:sz w:val="20"/>
          <w:szCs w:val="20"/>
          <w:color w:val="auto"/>
        </w:rPr>
      </w:pPr>
    </w:p>
    <w:p>
      <w:pPr>
        <w:ind w:left="40"/>
        <w:spacing w:after="0"/>
        <w:tabs>
          <w:tab w:leader="dot" w:pos="9860" w:val="left"/>
        </w:tabs>
        <w:rPr>
          <w:sz w:val="20"/>
          <w:szCs w:val="20"/>
          <w:color w:val="auto"/>
        </w:rPr>
      </w:pPr>
      <w:r>
        <w:rPr>
          <w:rFonts w:ascii="Times New Roman" w:cs="Times New Roman" w:eastAsia="Times New Roman" w:hAnsi="Times New Roman"/>
          <w:sz w:val="20"/>
          <w:szCs w:val="20"/>
          <w:b w:val="1"/>
          <w:bCs w:val="1"/>
          <w:u w:val="single" w:color="auto"/>
          <w:color w:val="1C2790"/>
        </w:rPr>
        <w:t>Report of Independent Registered Public Accounting Firm (PCAOB ID No.</w:t>
      </w:r>
      <w:r>
        <w:rPr>
          <w:rFonts w:ascii="Times New Roman" w:cs="Times New Roman" w:eastAsia="Times New Roman" w:hAnsi="Times New Roman"/>
          <w:sz w:val="20"/>
          <w:szCs w:val="20"/>
          <w:b w:val="1"/>
          <w:bCs w:val="1"/>
          <w:color w:val="1C2790"/>
        </w:rPr>
        <w:t xml:space="preserve"> </w:t>
      </w:r>
      <w:r>
        <w:rPr>
          <w:rFonts w:ascii="Times New Roman" w:cs="Times New Roman" w:eastAsia="Times New Roman" w:hAnsi="Times New Roman"/>
          <w:sz w:val="20"/>
          <w:szCs w:val="20"/>
          <w:b w:val="1"/>
          <w:bCs w:val="1"/>
          <w:u w:val="single" w:color="auto"/>
          <w:color w:val="19228E"/>
        </w:rPr>
        <w:t>34</w:t>
      </w:r>
      <w:r>
        <w:rPr>
          <w:rFonts w:ascii="Times New Roman" w:cs="Times New Roman" w:eastAsia="Times New Roman" w:hAnsi="Times New Roman"/>
          <w:sz w:val="20"/>
          <w:szCs w:val="20"/>
          <w:b w:val="1"/>
          <w:bCs w:val="1"/>
          <w:u w:val="single" w:color="auto"/>
          <w:color w:val="1C2790"/>
        </w:rPr>
        <w:t>)</w:t>
      </w:r>
      <w:r>
        <w:rPr>
          <w:sz w:val="20"/>
          <w:szCs w:val="20"/>
          <w:color w:val="auto"/>
        </w:rPr>
        <w:tab/>
      </w:r>
      <w:r>
        <w:rPr>
          <w:rFonts w:ascii="Times New Roman" w:cs="Times New Roman" w:eastAsia="Times New Roman" w:hAnsi="Times New Roman"/>
          <w:sz w:val="20"/>
          <w:szCs w:val="20"/>
          <w:b w:val="1"/>
          <w:bCs w:val="1"/>
          <w:u w:val="single" w:color="auto"/>
          <w:color w:val="1C2790"/>
        </w:rPr>
        <w:t>59</w:t>
      </w:r>
    </w:p>
    <w:p>
      <w:pPr>
        <w:spacing w:after="0" w:line="86" w:lineRule="exact"/>
        <w:rPr>
          <w:sz w:val="20"/>
          <w:szCs w:val="20"/>
          <w:color w:val="auto"/>
        </w:rPr>
      </w:pPr>
    </w:p>
    <w:p>
      <w:pPr>
        <w:ind w:left="40"/>
        <w:spacing w:after="0"/>
        <w:tabs>
          <w:tab w:leader="dot" w:pos="9660" w:val="left"/>
        </w:tabs>
        <w:rPr>
          <w:sz w:val="20"/>
          <w:szCs w:val="20"/>
          <w:color w:val="auto"/>
        </w:rPr>
      </w:pPr>
      <w:r>
        <w:rPr>
          <w:rFonts w:ascii="Times New Roman" w:cs="Times New Roman" w:eastAsia="Times New Roman" w:hAnsi="Times New Roman"/>
          <w:sz w:val="20"/>
          <w:szCs w:val="20"/>
          <w:b w:val="1"/>
          <w:bCs w:val="1"/>
          <w:u w:val="single" w:color="auto"/>
          <w:color w:val="1C2790"/>
          <w:shd w:val="clear" w:color="auto" w:fill="D2EEF5"/>
        </w:rPr>
        <w:t>Consolidated Balance Sheets</w:t>
      </w:r>
      <w:r>
        <w:rPr>
          <w:sz w:val="20"/>
          <w:szCs w:val="20"/>
          <w:color w:val="auto"/>
        </w:rPr>
        <w:tab/>
      </w:r>
      <w:r>
        <w:rPr>
          <w:rFonts w:ascii="Times New Roman" w:cs="Times New Roman" w:eastAsia="Times New Roman" w:hAnsi="Times New Roman"/>
          <w:sz w:val="20"/>
          <w:szCs w:val="20"/>
          <w:b w:val="1"/>
          <w:bCs w:val="1"/>
          <w:color w:val="auto"/>
          <w:shd w:val="clear" w:color="auto" w:fill="D2EEF5"/>
        </w:rPr>
        <w:t xml:space="preserve">.  </w:t>
      </w:r>
      <w:r>
        <w:rPr>
          <w:rFonts w:ascii="Times New Roman" w:cs="Times New Roman" w:eastAsia="Times New Roman" w:hAnsi="Times New Roman"/>
          <w:sz w:val="20"/>
          <w:szCs w:val="20"/>
          <w:b w:val="1"/>
          <w:bCs w:val="1"/>
          <w:u w:val="single" w:color="auto"/>
          <w:color w:val="1C2790"/>
          <w:shd w:val="clear" w:color="auto" w:fill="D2EEF5"/>
        </w:rPr>
        <w:t>62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6209030</wp:posOffset>
                </wp:positionH>
                <wp:positionV relativeFrom="paragraph">
                  <wp:posOffset>-144780</wp:posOffset>
                </wp:positionV>
                <wp:extent cx="266065" cy="17907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6065" cy="179070"/>
                        </a:xfrm>
                        <a:prstGeom prst="rect">
                          <a:avLst/>
                        </a:prstGeom>
                        <a:solidFill>
                          <a:srgbClr val="D2EEF5"/>
                        </a:solidFill>
                      </wps:spPr>
                      <wps:bodyPr/>
                    </wps:wsp>
                  </a:graphicData>
                </a:graphic>
              </wp:anchor>
            </w:drawing>
          </mc:Choice>
          <mc:Fallback>
            <w:pict>
              <v:rect id="Shape 57" o:spid="_x0000_s1082" style="position:absolute;margin-left:488.9pt;margin-top:-11.3999pt;width:20.95pt;height:14.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64" w:lineRule="exact"/>
        <w:rPr>
          <w:sz w:val="20"/>
          <w:szCs w:val="20"/>
          <w:color w:val="auto"/>
        </w:rPr>
      </w:pPr>
    </w:p>
    <w:p>
      <w:pPr>
        <w:ind w:left="40"/>
        <w:spacing w:after="0"/>
        <w:tabs>
          <w:tab w:leader="dot" w:pos="9860" w:val="left"/>
        </w:tabs>
        <w:rPr>
          <w:sz w:val="20"/>
          <w:szCs w:val="20"/>
          <w:color w:val="auto"/>
        </w:rPr>
      </w:pPr>
      <w:r>
        <w:rPr>
          <w:rFonts w:ascii="Times New Roman" w:cs="Times New Roman" w:eastAsia="Times New Roman" w:hAnsi="Times New Roman"/>
          <w:sz w:val="20"/>
          <w:szCs w:val="20"/>
          <w:b w:val="1"/>
          <w:bCs w:val="1"/>
          <w:u w:val="single" w:color="auto"/>
          <w:color w:val="1C2790"/>
        </w:rPr>
        <w:t>Consolidated Statements of Operations</w:t>
      </w:r>
      <w:r>
        <w:rPr>
          <w:sz w:val="20"/>
          <w:szCs w:val="20"/>
          <w:color w:val="auto"/>
        </w:rPr>
        <w:tab/>
      </w:r>
      <w:r>
        <w:rPr>
          <w:rFonts w:ascii="Times New Roman" w:cs="Times New Roman" w:eastAsia="Times New Roman" w:hAnsi="Times New Roman"/>
          <w:sz w:val="20"/>
          <w:szCs w:val="20"/>
          <w:b w:val="1"/>
          <w:bCs w:val="1"/>
          <w:u w:val="single" w:color="auto"/>
          <w:color w:val="1C2790"/>
        </w:rPr>
        <w:t>63</w:t>
      </w:r>
    </w:p>
    <w:p>
      <w:pPr>
        <w:spacing w:after="0" w:line="86" w:lineRule="exact"/>
        <w:rPr>
          <w:sz w:val="20"/>
          <w:szCs w:val="20"/>
          <w:color w:val="auto"/>
        </w:rPr>
      </w:pPr>
    </w:p>
    <w:p>
      <w:pPr>
        <w:ind w:left="40"/>
        <w:spacing w:after="0"/>
        <w:tabs>
          <w:tab w:leader="dot" w:pos="9660" w:val="left"/>
        </w:tabs>
        <w:rPr>
          <w:sz w:val="20"/>
          <w:szCs w:val="20"/>
          <w:color w:val="auto"/>
        </w:rPr>
      </w:pPr>
      <w:r>
        <w:rPr>
          <w:rFonts w:ascii="Times New Roman" w:cs="Times New Roman" w:eastAsia="Times New Roman" w:hAnsi="Times New Roman"/>
          <w:sz w:val="20"/>
          <w:szCs w:val="20"/>
          <w:b w:val="1"/>
          <w:bCs w:val="1"/>
          <w:u w:val="single" w:color="auto"/>
          <w:color w:val="1C2790"/>
          <w:shd w:val="clear" w:color="auto" w:fill="D2EEF5"/>
        </w:rPr>
        <w:t>Consolidated Statements of Comprehensive Loss</w:t>
      </w:r>
      <w:r>
        <w:rPr>
          <w:sz w:val="20"/>
          <w:szCs w:val="20"/>
          <w:color w:val="auto"/>
        </w:rPr>
        <w:tab/>
      </w:r>
      <w:r>
        <w:rPr>
          <w:rFonts w:ascii="Times New Roman" w:cs="Times New Roman" w:eastAsia="Times New Roman" w:hAnsi="Times New Roman"/>
          <w:sz w:val="20"/>
          <w:szCs w:val="20"/>
          <w:b w:val="1"/>
          <w:bCs w:val="1"/>
          <w:color w:val="auto"/>
          <w:shd w:val="clear" w:color="auto" w:fill="D2EEF5"/>
        </w:rPr>
        <w:t xml:space="preserve">.  </w:t>
      </w:r>
      <w:r>
        <w:rPr>
          <w:rFonts w:ascii="Times New Roman" w:cs="Times New Roman" w:eastAsia="Times New Roman" w:hAnsi="Times New Roman"/>
          <w:sz w:val="20"/>
          <w:szCs w:val="20"/>
          <w:b w:val="1"/>
          <w:bCs w:val="1"/>
          <w:u w:val="single" w:color="auto"/>
          <w:color w:val="1C2790"/>
          <w:shd w:val="clear" w:color="auto" w:fill="D2EEF5"/>
        </w:rPr>
        <w:t>64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6209030</wp:posOffset>
                </wp:positionH>
                <wp:positionV relativeFrom="paragraph">
                  <wp:posOffset>-144780</wp:posOffset>
                </wp:positionV>
                <wp:extent cx="266065" cy="17907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6065" cy="179070"/>
                        </a:xfrm>
                        <a:prstGeom prst="rect">
                          <a:avLst/>
                        </a:prstGeom>
                        <a:solidFill>
                          <a:srgbClr val="D2EEF5"/>
                        </a:solidFill>
                      </wps:spPr>
                      <wps:bodyPr/>
                    </wps:wsp>
                  </a:graphicData>
                </a:graphic>
              </wp:anchor>
            </w:drawing>
          </mc:Choice>
          <mc:Fallback>
            <w:pict>
              <v:rect id="Shape 58" o:spid="_x0000_s1083" style="position:absolute;margin-left:488.9pt;margin-top:-11.3999pt;width:20.95pt;height:14.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64" w:lineRule="exact"/>
        <w:rPr>
          <w:sz w:val="20"/>
          <w:szCs w:val="20"/>
          <w:color w:val="auto"/>
        </w:rPr>
      </w:pPr>
    </w:p>
    <w:p>
      <w:pPr>
        <w:ind w:left="40"/>
        <w:spacing w:after="0"/>
        <w:tabs>
          <w:tab w:leader="dot" w:pos="9860" w:val="left"/>
        </w:tabs>
        <w:rPr>
          <w:sz w:val="20"/>
          <w:szCs w:val="20"/>
          <w:color w:val="auto"/>
        </w:rPr>
      </w:pPr>
      <w:r>
        <w:rPr>
          <w:rFonts w:ascii="Times New Roman" w:cs="Times New Roman" w:eastAsia="Times New Roman" w:hAnsi="Times New Roman"/>
          <w:sz w:val="20"/>
          <w:szCs w:val="20"/>
          <w:b w:val="1"/>
          <w:bCs w:val="1"/>
          <w:u w:val="single" w:color="auto"/>
          <w:color w:val="1C2790"/>
        </w:rPr>
        <w:t>Consolidated Statements of Changes in Stockholders’ Equity (Deficit)</w:t>
      </w:r>
      <w:r>
        <w:rPr>
          <w:sz w:val="20"/>
          <w:szCs w:val="20"/>
          <w:color w:val="auto"/>
        </w:rPr>
        <w:tab/>
      </w:r>
      <w:r>
        <w:rPr>
          <w:rFonts w:ascii="Times New Roman" w:cs="Times New Roman" w:eastAsia="Times New Roman" w:hAnsi="Times New Roman"/>
          <w:sz w:val="20"/>
          <w:szCs w:val="20"/>
          <w:b w:val="1"/>
          <w:bCs w:val="1"/>
          <w:u w:val="single" w:color="auto"/>
          <w:color w:val="1C2790"/>
        </w:rPr>
        <w:t>65</w:t>
      </w:r>
    </w:p>
    <w:p>
      <w:pPr>
        <w:spacing w:after="0" w:line="86" w:lineRule="exact"/>
        <w:rPr>
          <w:sz w:val="20"/>
          <w:szCs w:val="20"/>
          <w:color w:val="auto"/>
        </w:rPr>
      </w:pPr>
    </w:p>
    <w:p>
      <w:pPr>
        <w:ind w:left="40"/>
        <w:spacing w:after="0"/>
        <w:tabs>
          <w:tab w:leader="dot" w:pos="9660" w:val="left"/>
        </w:tabs>
        <w:rPr>
          <w:sz w:val="20"/>
          <w:szCs w:val="20"/>
          <w:color w:val="auto"/>
        </w:rPr>
      </w:pPr>
      <w:r>
        <w:rPr>
          <w:rFonts w:ascii="Times New Roman" w:cs="Times New Roman" w:eastAsia="Times New Roman" w:hAnsi="Times New Roman"/>
          <w:sz w:val="20"/>
          <w:szCs w:val="20"/>
          <w:b w:val="1"/>
          <w:bCs w:val="1"/>
          <w:u w:val="single" w:color="auto"/>
          <w:color w:val="1C2790"/>
          <w:shd w:val="clear" w:color="auto" w:fill="D2EEF5"/>
        </w:rPr>
        <w:t>Consolidated Statements of Cash Flows</w:t>
      </w:r>
      <w:r>
        <w:rPr>
          <w:sz w:val="20"/>
          <w:szCs w:val="20"/>
          <w:color w:val="auto"/>
        </w:rPr>
        <w:tab/>
      </w:r>
      <w:r>
        <w:rPr>
          <w:rFonts w:ascii="Times New Roman" w:cs="Times New Roman" w:eastAsia="Times New Roman" w:hAnsi="Times New Roman"/>
          <w:sz w:val="20"/>
          <w:szCs w:val="20"/>
          <w:b w:val="1"/>
          <w:bCs w:val="1"/>
          <w:color w:val="auto"/>
          <w:shd w:val="clear" w:color="auto" w:fill="D2EEF5"/>
        </w:rPr>
        <w:t xml:space="preserve">.  </w:t>
      </w:r>
      <w:r>
        <w:rPr>
          <w:rFonts w:ascii="Times New Roman" w:cs="Times New Roman" w:eastAsia="Times New Roman" w:hAnsi="Times New Roman"/>
          <w:sz w:val="20"/>
          <w:szCs w:val="20"/>
          <w:b w:val="1"/>
          <w:bCs w:val="1"/>
          <w:u w:val="single" w:color="auto"/>
          <w:color w:val="1C2790"/>
          <w:shd w:val="clear" w:color="auto" w:fill="D2EEF5"/>
        </w:rPr>
        <w:t>66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6209030</wp:posOffset>
                </wp:positionH>
                <wp:positionV relativeFrom="paragraph">
                  <wp:posOffset>-144780</wp:posOffset>
                </wp:positionV>
                <wp:extent cx="266065" cy="17907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6065" cy="179070"/>
                        </a:xfrm>
                        <a:prstGeom prst="rect">
                          <a:avLst/>
                        </a:prstGeom>
                        <a:solidFill>
                          <a:srgbClr val="D2EEF5"/>
                        </a:solidFill>
                      </wps:spPr>
                      <wps:bodyPr/>
                    </wps:wsp>
                  </a:graphicData>
                </a:graphic>
              </wp:anchor>
            </w:drawing>
          </mc:Choice>
          <mc:Fallback>
            <w:pict>
              <v:rect id="Shape 59" o:spid="_x0000_s1084" style="position:absolute;margin-left:488.9pt;margin-top:-11.3999pt;width:20.95pt;height:14.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64" w:lineRule="exact"/>
        <w:rPr>
          <w:sz w:val="20"/>
          <w:szCs w:val="20"/>
          <w:color w:val="auto"/>
        </w:rPr>
      </w:pPr>
    </w:p>
    <w:p>
      <w:pPr>
        <w:ind w:left="40"/>
        <w:spacing w:after="0"/>
        <w:tabs>
          <w:tab w:leader="dot" w:pos="9860" w:val="left"/>
        </w:tabs>
        <w:rPr>
          <w:sz w:val="20"/>
          <w:szCs w:val="20"/>
          <w:color w:val="auto"/>
        </w:rPr>
      </w:pPr>
      <w:r>
        <w:rPr>
          <w:rFonts w:ascii="Times New Roman" w:cs="Times New Roman" w:eastAsia="Times New Roman" w:hAnsi="Times New Roman"/>
          <w:sz w:val="20"/>
          <w:szCs w:val="20"/>
          <w:b w:val="1"/>
          <w:bCs w:val="1"/>
          <w:u w:val="single" w:color="auto"/>
          <w:color w:val="1C2790"/>
        </w:rPr>
        <w:t>Notes to the Consolidated Financial Statements</w:t>
      </w:r>
      <w:r>
        <w:rPr>
          <w:sz w:val="20"/>
          <w:szCs w:val="20"/>
          <w:color w:val="auto"/>
        </w:rPr>
        <w:tab/>
      </w:r>
      <w:r>
        <w:rPr>
          <w:rFonts w:ascii="Times New Roman" w:cs="Times New Roman" w:eastAsia="Times New Roman" w:hAnsi="Times New Roman"/>
          <w:sz w:val="20"/>
          <w:szCs w:val="20"/>
          <w:b w:val="1"/>
          <w:bCs w:val="1"/>
          <w:u w:val="single" w:color="auto"/>
          <w:color w:val="1C2790"/>
        </w:rPr>
        <w:t>67</w:t>
      </w:r>
    </w:p>
    <w:p>
      <w:pPr>
        <w:sectPr>
          <w:pgSz w:w="12240" w:h="15840" w:orient="portrait"/>
          <w:cols w:equalWidth="0" w:num="1">
            <w:col w:w="10200"/>
          </w:cols>
          <w:pgMar w:left="1000" w:top="430"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10200"/>
          </w:cols>
          <w:pgMar w:left="1000" w:top="430" w:right="1040" w:bottom="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87" w:lineRule="exact"/>
        <w:rPr>
          <w:sz w:val="20"/>
          <w:szCs w:val="20"/>
          <w:color w:val="auto"/>
        </w:rPr>
      </w:pPr>
    </w:p>
    <w:p>
      <w:pPr>
        <w:ind w:right="3440"/>
        <w:spacing w:after="0" w:line="460" w:lineRule="auto"/>
        <w:rPr>
          <w:sz w:val="20"/>
          <w:szCs w:val="20"/>
          <w:color w:val="auto"/>
        </w:rPr>
      </w:pPr>
      <w:r>
        <w:rPr>
          <w:rFonts w:ascii="Times New Roman" w:cs="Times New Roman" w:eastAsia="Times New Roman" w:hAnsi="Times New Roman"/>
          <w:sz w:val="20"/>
          <w:szCs w:val="20"/>
          <w:b w:val="1"/>
          <w:bCs w:val="1"/>
          <w:color w:val="auto"/>
        </w:rPr>
        <w:t xml:space="preserve">REPORT OF INDEPENDENT REGISTERED PUBLIC ACCOUNTING FIRM </w:t>
      </w:r>
      <w:r>
        <w:rPr>
          <w:rFonts w:ascii="Times New Roman" w:cs="Times New Roman" w:eastAsia="Times New Roman" w:hAnsi="Times New Roman"/>
          <w:sz w:val="20"/>
          <w:szCs w:val="20"/>
          <w:color w:val="auto"/>
        </w:rPr>
        <w:t xml:space="preserve">To the stockholders and the Board of Directors of Hydrofarm Holdings Group, Inc. </w:t>
      </w:r>
      <w:r>
        <w:rPr>
          <w:rFonts w:ascii="Times New Roman" w:cs="Times New Roman" w:eastAsia="Times New Roman" w:hAnsi="Times New Roman"/>
          <w:sz w:val="20"/>
          <w:szCs w:val="20"/>
          <w:b w:val="1"/>
          <w:bCs w:val="1"/>
          <w:color w:val="auto"/>
        </w:rPr>
        <w:t>Opinion on the Financial Statements</w:t>
      </w:r>
    </w:p>
    <w:p>
      <w:pPr>
        <w:spacing w:after="0" w:line="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Hydrofarm Holdings Group, Inc. and subsidiaries (the "Company") as of December 31, 2025 and 2024, the related consolidated statements of operations, comprehensive loss, changes in stockholders' equity (deficit), and cash flows, for each of the two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two years in the period ended December 31, 2025, in conformity with accounting principles generally accepted in the United States of America.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Going Concern</w:t>
      </w:r>
    </w:p>
    <w:p>
      <w:pPr>
        <w:spacing w:after="0" w:line="2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accompanying financial statements have been prepared assuming that the Company will continue as a going concern. As discussed in Note 2 to the financial statements, at December 31, 2025, the Company has incurred recurring operating losses, negative cash flows from operations, and has significant debt obligations due within the next twelve months, which raises substantial doubt about its ability to continue as a going concern. Management's plans in regard to these matters are also described in Note 2. The financial statements do not include any adjustments that might result from the outcome of this uncertainty.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1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Matters</w:t>
      </w:r>
    </w:p>
    <w:p>
      <w:pPr>
        <w:spacing w:after="0" w:line="2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57" w:lineRule="exact"/>
        <w:rPr>
          <w:sz w:val="20"/>
          <w:szCs w:val="20"/>
          <w:color w:val="auto"/>
        </w:rPr>
      </w:pPr>
    </w:p>
    <w:p>
      <w:pPr>
        <w:ind w:right="4400"/>
        <w:spacing w:after="0" w:line="458"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Inventory Valuation - Refer to Notes 3 and 7 to the financial statements </w:t>
      </w:r>
      <w:r>
        <w:rPr>
          <w:rFonts w:ascii="Times New Roman" w:cs="Times New Roman" w:eastAsia="Times New Roman" w:hAnsi="Times New Roman"/>
          <w:sz w:val="20"/>
          <w:szCs w:val="20"/>
          <w:i w:val="1"/>
          <w:iCs w:val="1"/>
          <w:color w:val="auto"/>
        </w:rPr>
        <w:t>Critical Audit Matter Description</w:t>
      </w:r>
    </w:p>
    <w:p>
      <w:pPr>
        <w:spacing w:after="0" w:line="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Company’s inventories are stated at the lower of cost or net realizable value, principally determined by the first in, first out method of accounting. As described in Notes 3 and 7 to the consolidated financial statements, the Company maintains an allowance for excess and obsolete inventory that is based upon assumptions about current and anticipated demand, customer</w:t>
      </w:r>
    </w:p>
    <w:p>
      <w:pPr>
        <w:sectPr>
          <w:pgSz w:w="12240" w:h="15840" w:orient="portrait"/>
          <w:cols w:equalWidth="0" w:num="1">
            <w:col w:w="10260"/>
          </w:cols>
          <w:pgMar w:left="1000" w:top="430" w:right="980" w:bottom="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10260"/>
          </w:cols>
          <w:pgMar w:left="1000" w:top="430" w:right="980" w:bottom="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9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color w:val="auto"/>
        </w:rPr>
        <w:t>preferences, business strategies, and market conditions. Management reviews these assumptions periodically to determine if any adjustments are needed to the allowance for excess and obsolete inventory.</w:t>
      </w:r>
    </w:p>
    <w:p>
      <w:pPr>
        <w:spacing w:after="0" w:line="12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We identified inventory valuation as a critical audit matter because of the quantitative and qualitative materiality of the inventory excess and obsolescence reserve balance, coupled with the judgments necessary to identify and record the inventory excess and obsolescence reserve in the correct period. Additionally, our audit procedures performed to evaluate management’s estimates of the net realizable value for the inventory on-hand as of the reporting date involved a high degree of auditor judgment.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How the Critical Audit Matter Was Addressed in the Audit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audit procedures related to the inventory valuation included the following, among other things:</w:t>
      </w:r>
    </w:p>
    <w:p>
      <w:pPr>
        <w:spacing w:after="0" w:line="210" w:lineRule="exact"/>
        <w:rPr>
          <w:sz w:val="20"/>
          <w:szCs w:val="20"/>
          <w:color w:val="auto"/>
        </w:rPr>
      </w:pPr>
    </w:p>
    <w:p>
      <w:pPr>
        <w:ind w:left="720" w:hanging="370"/>
        <w:spacing w:after="0" w:line="287"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tested the design and implementation of internal controls over management’s inventory excess and obsolescence reserve.</w:t>
      </w:r>
    </w:p>
    <w:p>
      <w:pPr>
        <w:spacing w:after="0" w:line="129" w:lineRule="exact"/>
        <w:rPr>
          <w:rFonts w:ascii="Times New Roman" w:cs="Times New Roman" w:eastAsia="Times New Roman" w:hAnsi="Times New Roman"/>
          <w:sz w:val="20"/>
          <w:szCs w:val="20"/>
          <w:color w:val="auto"/>
        </w:rPr>
      </w:pPr>
    </w:p>
    <w:p>
      <w:pPr>
        <w:ind w:left="720" w:hanging="370"/>
        <w:spacing w:after="0" w:line="288"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evaluated the appropriateness and consistency of management’s methodology and assumptions used in determining the inventory valuation of the excess and obsolescence reserve.</w:t>
      </w:r>
    </w:p>
    <w:p>
      <w:pPr>
        <w:spacing w:after="0" w:line="128" w:lineRule="exact"/>
        <w:rPr>
          <w:rFonts w:ascii="Times New Roman" w:cs="Times New Roman" w:eastAsia="Times New Roman" w:hAnsi="Times New Roman"/>
          <w:sz w:val="20"/>
          <w:szCs w:val="20"/>
          <w:color w:val="auto"/>
        </w:rPr>
      </w:pPr>
    </w:p>
    <w:p>
      <w:pPr>
        <w:ind w:left="720" w:hanging="370"/>
        <w:spacing w:after="0" w:line="288"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obtained the Company’s valuation of the inventory excess and obsolescence reserve calculation and tested the mathematical accuracy.</w:t>
      </w:r>
    </w:p>
    <w:p>
      <w:pPr>
        <w:spacing w:after="0" w:line="128" w:lineRule="exact"/>
        <w:rPr>
          <w:rFonts w:ascii="Times New Roman" w:cs="Times New Roman" w:eastAsia="Times New Roman" w:hAnsi="Times New Roman"/>
          <w:sz w:val="20"/>
          <w:szCs w:val="20"/>
          <w:color w:val="auto"/>
        </w:rPr>
      </w:pPr>
    </w:p>
    <w:p>
      <w:pPr>
        <w:ind w:left="720" w:hanging="370"/>
        <w:spacing w:after="0" w:line="287"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tested the accuracy and completeness of the underlying data used in the calculation of the Company’s valuation of the inventory excess and obsolescence reserve.</w:t>
      </w:r>
    </w:p>
    <w:p>
      <w:pPr>
        <w:spacing w:after="0" w:line="129" w:lineRule="exact"/>
        <w:rPr>
          <w:rFonts w:ascii="Times New Roman" w:cs="Times New Roman" w:eastAsia="Times New Roman" w:hAnsi="Times New Roman"/>
          <w:sz w:val="20"/>
          <w:szCs w:val="20"/>
          <w:color w:val="auto"/>
        </w:rPr>
      </w:pPr>
    </w:p>
    <w:p>
      <w:pPr>
        <w:ind w:left="720" w:hanging="370"/>
        <w:spacing w:after="0" w:line="288"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selected a sample of inventory items and compared the recorded unit cost against the most recent sales price to determine if inventory was recorded at lower of cost or net realizable value.</w:t>
      </w:r>
    </w:p>
    <w:p>
      <w:pPr>
        <w:spacing w:after="0" w:line="128" w:lineRule="exact"/>
        <w:rPr>
          <w:rFonts w:ascii="Times New Roman" w:cs="Times New Roman" w:eastAsia="Times New Roman" w:hAnsi="Times New Roman"/>
          <w:sz w:val="20"/>
          <w:szCs w:val="20"/>
          <w:color w:val="auto"/>
        </w:rPr>
      </w:pPr>
    </w:p>
    <w:p>
      <w:pPr>
        <w:jc w:val="both"/>
        <w:ind w:left="720" w:hanging="370"/>
        <w:spacing w:after="0" w:line="269"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selected a sample of inventory items and evaluated the appropriateness of and performed audit procedures over specified inputs supporting management's inventory excess and obsolescence reserve, including the historical sales of inventory and gross margins.</w:t>
      </w:r>
    </w:p>
    <w:p>
      <w:pPr>
        <w:spacing w:after="0" w:line="147" w:lineRule="exact"/>
        <w:rPr>
          <w:sz w:val="20"/>
          <w:szCs w:val="20"/>
          <w:color w:val="auto"/>
        </w:rPr>
      </w:pPr>
    </w:p>
    <w:p>
      <w:pPr>
        <w:ind w:right="3080"/>
        <w:spacing w:after="0" w:line="458" w:lineRule="auto"/>
        <w:rPr>
          <w:sz w:val="20"/>
          <w:szCs w:val="20"/>
          <w:color w:val="auto"/>
        </w:rPr>
      </w:pPr>
      <w:r>
        <w:rPr>
          <w:rFonts w:ascii="Times New Roman" w:cs="Times New Roman" w:eastAsia="Times New Roman" w:hAnsi="Times New Roman"/>
          <w:sz w:val="20"/>
          <w:szCs w:val="20"/>
          <w:b w:val="1"/>
          <w:bCs w:val="1"/>
          <w:i w:val="1"/>
          <w:iCs w:val="1"/>
          <w:color w:val="auto"/>
        </w:rPr>
        <w:t xml:space="preserve">Impairment of Long-Lived Assets - Refer to Notes 3, 5 and 9 to the financial statements </w:t>
      </w:r>
      <w:r>
        <w:rPr>
          <w:rFonts w:ascii="Times New Roman" w:cs="Times New Roman" w:eastAsia="Times New Roman" w:hAnsi="Times New Roman"/>
          <w:sz w:val="20"/>
          <w:szCs w:val="20"/>
          <w:i w:val="1"/>
          <w:iCs w:val="1"/>
          <w:color w:val="auto"/>
        </w:rPr>
        <w:t>Critical Audit Matter Description</w:t>
      </w:r>
    </w:p>
    <w:p>
      <w:pPr>
        <w:spacing w:after="0" w:line="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The Company’s long-lived tangible assets and finite-lived intangible assets are stated at cost. All intangible assets are tested for impairment when events or changes in circumstances indicate that the carrying amount may not be recoverable. As described in Note 5 to the consolidated financial statements, as a result of industry conditions the Company performed an impairment assessment and recorded an impairment of $232.2 million for the year ended December 31, 2025.</w:t>
      </w:r>
    </w:p>
    <w:p>
      <w:pPr>
        <w:spacing w:after="0" w:line="1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0"/>
          <w:szCs w:val="20"/>
          <w:color w:val="auto"/>
        </w:rPr>
        <w:t>Given the significant judgments made by management to estimate the fair value of long-lived assets and the difference between fair value and the carrying value, performing audit procedures to evaluate the reasonableness of management's estimates and assumptions related to revenue growth rate, operating margins, discount rate, and market approach, required a high degree of auditor judgment and an increased extent of effort, including the need to involve our fair value specialists.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How the Critical Audit Matter Was Addressed in the Audit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audit procedures related to the determination of fair value of long-lived assets, included the following, among others:</w:t>
      </w:r>
    </w:p>
    <w:p>
      <w:pPr>
        <w:spacing w:after="0" w:line="210" w:lineRule="exact"/>
        <w:rPr>
          <w:sz w:val="20"/>
          <w:szCs w:val="20"/>
          <w:color w:val="auto"/>
        </w:rPr>
      </w:pPr>
    </w:p>
    <w:p>
      <w:pPr>
        <w:ind w:left="720" w:hanging="370"/>
        <w:spacing w:after="0" w:line="287"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tested the design and implementation of internal controls over management’s review over the long-lived asset valuation.</w:t>
      </w:r>
    </w:p>
    <w:p>
      <w:pPr>
        <w:spacing w:after="0" w:line="129" w:lineRule="exact"/>
        <w:rPr>
          <w:rFonts w:ascii="Times New Roman" w:cs="Times New Roman" w:eastAsia="Times New Roman" w:hAnsi="Times New Roman"/>
          <w:sz w:val="20"/>
          <w:szCs w:val="20"/>
          <w:color w:val="auto"/>
        </w:rPr>
      </w:pPr>
    </w:p>
    <w:p>
      <w:pPr>
        <w:ind w:left="720" w:hanging="370"/>
        <w:spacing w:after="0" w:line="288"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evaluated management's ability to accurately forecast by comparing management's historical projections to actual performance.</w:t>
      </w:r>
    </w:p>
    <w:p>
      <w:pPr>
        <w:spacing w:after="0" w:line="12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evaluated whether the estimated future earnings were consistent with evidence obtained in other areas of the audit.</w:t>
      </w:r>
    </w:p>
    <w:p>
      <w:pPr>
        <w:spacing w:after="0" w:line="210" w:lineRule="exact"/>
        <w:rPr>
          <w:rFonts w:ascii="Times New Roman" w:cs="Times New Roman" w:eastAsia="Times New Roman" w:hAnsi="Times New Roman"/>
          <w:sz w:val="20"/>
          <w:szCs w:val="20"/>
          <w:color w:val="auto"/>
        </w:rPr>
      </w:pPr>
    </w:p>
    <w:p>
      <w:pPr>
        <w:jc w:val="both"/>
        <w:ind w:left="720" w:hanging="370"/>
        <w:spacing w:after="0" w:line="268"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evaluated the reasonableness of management's revenue growth rate and operating margins by comparing management's projections to historical amounts and internal communications to management and the Board of Directors.</w:t>
      </w:r>
    </w:p>
    <w:p>
      <w:pPr>
        <w:sectPr>
          <w:pgSz w:w="12240" w:h="15840" w:orient="portrait"/>
          <w:cols w:equalWidth="0" w:num="1">
            <w:col w:w="10260"/>
          </w:cols>
          <w:pgMar w:left="1000" w:top="430" w:right="980" w:bottom="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10260"/>
          </w:cols>
          <w:pgMar w:left="1000" w:top="430" w:right="980" w:bottom="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91" w:lineRule="exact"/>
        <w:rPr>
          <w:sz w:val="20"/>
          <w:szCs w:val="20"/>
          <w:color w:val="auto"/>
        </w:rPr>
      </w:pPr>
    </w:p>
    <w:p>
      <w:pPr>
        <w:ind w:left="720" w:hanging="370"/>
        <w:spacing w:after="0" w:line="288" w:lineRule="auto"/>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the assistance of our fair value specialists, we evaluated the reasonableness of the Company’s valuation methodology and mathematical accuracy.</w:t>
      </w:r>
    </w:p>
    <w:p>
      <w:pPr>
        <w:spacing w:after="0" w:line="128" w:lineRule="exact"/>
        <w:rPr>
          <w:rFonts w:ascii="Times New Roman" w:cs="Times New Roman" w:eastAsia="Times New Roman" w:hAnsi="Times New Roman"/>
          <w:sz w:val="20"/>
          <w:szCs w:val="20"/>
          <w:color w:val="auto"/>
        </w:rPr>
      </w:pPr>
    </w:p>
    <w:p>
      <w:pPr>
        <w:jc w:val="both"/>
        <w:ind w:left="720" w:hanging="370"/>
        <w:spacing w:after="0" w:line="268" w:lineRule="auto"/>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the assistance of our fair value specialists, we evaluated the reasonableness of the Company’s discount rate by testing source information and developing a range of independent estimates and comparing those to the discount rate selected by management.</w:t>
      </w:r>
    </w:p>
    <w:p>
      <w:pPr>
        <w:spacing w:after="0" w:line="148" w:lineRule="exact"/>
        <w:rPr>
          <w:rFonts w:ascii="Times New Roman" w:cs="Times New Roman" w:eastAsia="Times New Roman" w:hAnsi="Times New Roman"/>
          <w:sz w:val="20"/>
          <w:szCs w:val="20"/>
          <w:color w:val="auto"/>
        </w:rPr>
      </w:pPr>
    </w:p>
    <w:p>
      <w:pPr>
        <w:ind w:left="720" w:hanging="370"/>
        <w:spacing w:after="0" w:line="288" w:lineRule="auto"/>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the assistance of our fair value specialists, we evaluated the reasonableness of the Company’s market approach by evaluating the reasonableness of selected peer companies and market multiple calculations.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Minneapolis, Minnesota</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27, 2026</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2020.</w:t>
      </w:r>
    </w:p>
    <w:p>
      <w:pPr>
        <w:sectPr>
          <w:pgSz w:w="12240" w:h="15840" w:orient="portrait"/>
          <w:cols w:equalWidth="0" w:num="1">
            <w:col w:w="10260"/>
          </w:cols>
          <w:pgMar w:left="1000" w:top="43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10260"/>
          </w:cols>
          <w:pgMar w:left="1000" w:top="430" w:right="980" w:bottom="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4"/>
          <w:szCs w:val="24"/>
          <w:b w:val="1"/>
          <w:bCs w:val="1"/>
          <w:color w:val="auto"/>
        </w:rPr>
        <w:t>Hydrofarm Holdings Group, Inc.</w:t>
      </w:r>
    </w:p>
    <w:p>
      <w:pPr>
        <w:spacing w:after="0" w:line="20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7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pacing w:after="0" w:line="196" w:lineRule="exact"/>
        <w:rPr>
          <w:sz w:val="20"/>
          <w:szCs w:val="20"/>
          <w:color w:val="auto"/>
        </w:rPr>
      </w:pPr>
    </w:p>
    <w:tbl>
      <w:tblPr>
        <w:tblLayout w:type="fixed"/>
        <w:tblInd w:w="100" w:type="dxa"/>
        <w:tblCellMar>
          <w:top w:w="0" w:type="dxa"/>
          <w:left w:w="0" w:type="dxa"/>
          <w:bottom w:w="0" w:type="dxa"/>
          <w:right w:w="0" w:type="dxa"/>
        </w:tblCellMar>
      </w:tblPr>
      <w:tr>
        <w:trPr>
          <w:trHeight w:val="282"/>
        </w:trPr>
        <w:tc>
          <w:tcPr>
            <w:tcW w:w="4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5"/>
          </w:tcPr>
          <w:p>
            <w:pPr>
              <w:jc w:val="right"/>
              <w:ind w:right="44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66"/>
        </w:trPr>
        <w:tc>
          <w:tcPr>
            <w:tcW w:w="40" w:type="dxa"/>
            <w:vAlign w:val="bottom"/>
            <w:tcBorders>
              <w:bottom w:val="single" w:sz="8" w:color="D2EEF5"/>
            </w:tcBorders>
          </w:tcPr>
          <w:p>
            <w:pPr>
              <w:spacing w:after="0"/>
              <w:rPr>
                <w:sz w:val="23"/>
                <w:szCs w:val="23"/>
                <w:color w:val="auto"/>
              </w:rPr>
            </w:pPr>
          </w:p>
        </w:tc>
        <w:tc>
          <w:tcPr>
            <w:tcW w:w="7640" w:type="dxa"/>
            <w:vAlign w:val="bottom"/>
            <w:tcBorders>
              <w:bottom w:val="single" w:sz="8" w:color="D2EEF5"/>
            </w:tcBorders>
          </w:tcPr>
          <w:p>
            <w:pPr>
              <w:spacing w:after="0"/>
              <w:rPr>
                <w:sz w:val="23"/>
                <w:szCs w:val="23"/>
                <w:color w:val="auto"/>
              </w:rPr>
            </w:pPr>
          </w:p>
        </w:tc>
        <w:tc>
          <w:tcPr>
            <w:tcW w:w="60" w:type="dxa"/>
            <w:vAlign w:val="bottom"/>
            <w:tcBorders>
              <w:bottom w:val="single" w:sz="8" w:color="D2EEF5"/>
            </w:tcBorders>
          </w:tcPr>
          <w:p>
            <w:pPr>
              <w:spacing w:after="0"/>
              <w:rPr>
                <w:sz w:val="23"/>
                <w:szCs w:val="23"/>
                <w:color w:val="auto"/>
              </w:rPr>
            </w:pPr>
          </w:p>
        </w:tc>
        <w:tc>
          <w:tcPr>
            <w:tcW w:w="40" w:type="dxa"/>
            <w:vAlign w:val="bottom"/>
            <w:tcBorders>
              <w:bottom w:val="single" w:sz="8" w:color="D2EEF5"/>
            </w:tcBorders>
          </w:tcPr>
          <w:p>
            <w:pPr>
              <w:spacing w:after="0"/>
              <w:rPr>
                <w:sz w:val="23"/>
                <w:szCs w:val="23"/>
                <w:color w:val="auto"/>
              </w:rPr>
            </w:pPr>
          </w:p>
        </w:tc>
        <w:tc>
          <w:tcPr>
            <w:tcW w:w="20" w:type="dxa"/>
            <w:vAlign w:val="bottom"/>
            <w:tcBorders>
              <w:bottom w:val="single" w:sz="8" w:color="D2EEF5"/>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2025</w:t>
            </w:r>
          </w:p>
        </w:tc>
        <w:tc>
          <w:tcPr>
            <w:tcW w:w="40" w:type="dxa"/>
            <w:vAlign w:val="bottom"/>
            <w:tcBorders>
              <w:bottom w:val="single" w:sz="8" w:color="D2EEF5"/>
            </w:tcBorders>
          </w:tcPr>
          <w:p>
            <w:pPr>
              <w:spacing w:after="0"/>
              <w:rPr>
                <w:sz w:val="23"/>
                <w:szCs w:val="23"/>
                <w:color w:val="auto"/>
              </w:rPr>
            </w:pPr>
          </w:p>
        </w:tc>
        <w:tc>
          <w:tcPr>
            <w:tcW w:w="20" w:type="dxa"/>
            <w:vAlign w:val="bottom"/>
            <w:tcBorders>
              <w:bottom w:val="single" w:sz="8" w:color="D2EEF5"/>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2024</w:t>
            </w:r>
          </w:p>
        </w:tc>
        <w:tc>
          <w:tcPr>
            <w:tcW w:w="0" w:type="dxa"/>
            <w:vAlign w:val="bottom"/>
          </w:tcPr>
          <w:p>
            <w:pPr>
              <w:spacing w:after="0"/>
              <w:rPr>
                <w:sz w:val="1"/>
                <w:szCs w:val="1"/>
                <w:color w:val="auto"/>
              </w:rPr>
            </w:pPr>
          </w:p>
        </w:tc>
      </w:tr>
      <w:tr>
        <w:trPr>
          <w:trHeight w:val="264"/>
        </w:trPr>
        <w:tc>
          <w:tcPr>
            <w:tcW w:w="40" w:type="dxa"/>
            <w:vAlign w:val="bottom"/>
            <w:shd w:val="clear" w:color="auto" w:fill="D2EEF5"/>
          </w:tcPr>
          <w:p>
            <w:pPr>
              <w:spacing w:after="0"/>
              <w:rPr>
                <w:sz w:val="22"/>
                <w:szCs w:val="22"/>
                <w:color w:val="auto"/>
              </w:rPr>
            </w:pPr>
          </w:p>
        </w:tc>
        <w:tc>
          <w:tcPr>
            <w:tcW w:w="7640" w:type="dxa"/>
            <w:vAlign w:val="bottom"/>
            <w:shd w:val="clear" w:color="auto" w:fill="D2EEF5"/>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60" w:type="dxa"/>
            <w:vAlign w:val="bottom"/>
            <w:shd w:val="clear" w:color="auto" w:fill="D2EEF5"/>
          </w:tcPr>
          <w:p>
            <w:pPr>
              <w:spacing w:after="0"/>
              <w:rPr>
                <w:sz w:val="22"/>
                <w:szCs w:val="22"/>
                <w:color w:val="auto"/>
              </w:rPr>
            </w:pPr>
          </w:p>
        </w:tc>
        <w:tc>
          <w:tcPr>
            <w:tcW w:w="40" w:type="dxa"/>
            <w:vAlign w:val="bottom"/>
            <w:shd w:val="clear" w:color="auto" w:fill="D2EEF5"/>
          </w:tcPr>
          <w:p>
            <w:pPr>
              <w:spacing w:after="0"/>
              <w:rPr>
                <w:sz w:val="22"/>
                <w:szCs w:val="22"/>
                <w:color w:val="auto"/>
              </w:rPr>
            </w:pPr>
          </w:p>
        </w:tc>
        <w:tc>
          <w:tcPr>
            <w:tcW w:w="20" w:type="dxa"/>
            <w:vAlign w:val="bottom"/>
            <w:shd w:val="clear" w:color="auto" w:fill="D2EEF5"/>
          </w:tcPr>
          <w:p>
            <w:pPr>
              <w:spacing w:after="0"/>
              <w:rPr>
                <w:sz w:val="22"/>
                <w:szCs w:val="22"/>
                <w:color w:val="auto"/>
              </w:rPr>
            </w:pPr>
          </w:p>
        </w:tc>
        <w:tc>
          <w:tcPr>
            <w:tcW w:w="220" w:type="dxa"/>
            <w:vAlign w:val="bottom"/>
            <w:shd w:val="clear" w:color="auto" w:fill="D2EEF5"/>
          </w:tcPr>
          <w:p>
            <w:pPr>
              <w:spacing w:after="0"/>
              <w:rPr>
                <w:sz w:val="22"/>
                <w:szCs w:val="22"/>
                <w:color w:val="auto"/>
              </w:rPr>
            </w:pPr>
          </w:p>
        </w:tc>
        <w:tc>
          <w:tcPr>
            <w:tcW w:w="880" w:type="dxa"/>
            <w:vAlign w:val="bottom"/>
            <w:shd w:val="clear" w:color="auto" w:fill="D2EEF5"/>
          </w:tcPr>
          <w:p>
            <w:pPr>
              <w:spacing w:after="0"/>
              <w:rPr>
                <w:sz w:val="22"/>
                <w:szCs w:val="22"/>
                <w:color w:val="auto"/>
              </w:rPr>
            </w:pPr>
          </w:p>
        </w:tc>
        <w:tc>
          <w:tcPr>
            <w:tcW w:w="40" w:type="dxa"/>
            <w:vAlign w:val="bottom"/>
            <w:shd w:val="clear" w:color="auto" w:fill="D2EEF5"/>
          </w:tcPr>
          <w:p>
            <w:pPr>
              <w:spacing w:after="0"/>
              <w:rPr>
                <w:sz w:val="22"/>
                <w:szCs w:val="22"/>
                <w:color w:val="auto"/>
              </w:rPr>
            </w:pPr>
          </w:p>
        </w:tc>
        <w:tc>
          <w:tcPr>
            <w:tcW w:w="20" w:type="dxa"/>
            <w:vAlign w:val="bottom"/>
            <w:shd w:val="clear" w:color="auto" w:fill="D2EEF5"/>
          </w:tcPr>
          <w:p>
            <w:pPr>
              <w:spacing w:after="0"/>
              <w:rPr>
                <w:sz w:val="22"/>
                <w:szCs w:val="22"/>
                <w:color w:val="auto"/>
              </w:rPr>
            </w:pPr>
          </w:p>
        </w:tc>
        <w:tc>
          <w:tcPr>
            <w:tcW w:w="220" w:type="dxa"/>
            <w:vAlign w:val="bottom"/>
            <w:shd w:val="clear" w:color="auto" w:fill="D2EEF5"/>
          </w:tcPr>
          <w:p>
            <w:pPr>
              <w:spacing w:after="0"/>
              <w:rPr>
                <w:sz w:val="22"/>
                <w:szCs w:val="22"/>
                <w:color w:val="auto"/>
              </w:rPr>
            </w:pPr>
          </w:p>
        </w:tc>
        <w:tc>
          <w:tcPr>
            <w:tcW w:w="860" w:type="dxa"/>
            <w:vAlign w:val="bottom"/>
            <w:shd w:val="clear" w:color="auto" w:fill="D2EEF5"/>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77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D2EEF5"/>
          </w:tcPr>
          <w:p>
            <w:pPr>
              <w:spacing w:after="0"/>
              <w:rPr>
                <w:sz w:val="24"/>
                <w:szCs w:val="24"/>
                <w:color w:val="auto"/>
              </w:rPr>
            </w:pPr>
          </w:p>
        </w:tc>
        <w:tc>
          <w:tcPr>
            <w:tcW w:w="7640" w:type="dxa"/>
            <w:vAlign w:val="bottom"/>
            <w:shd w:val="clear" w:color="auto" w:fill="D2EEF5"/>
          </w:tcPr>
          <w:p>
            <w:pPr>
              <w:ind w:left="14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60" w:type="dxa"/>
            <w:vAlign w:val="bottom"/>
            <w:shd w:val="clear" w:color="auto" w:fill="D2EEF5"/>
          </w:tcPr>
          <w:p>
            <w:pPr>
              <w:spacing w:after="0"/>
              <w:rPr>
                <w:sz w:val="24"/>
                <w:szCs w:val="24"/>
                <w:color w:val="auto"/>
              </w:rPr>
            </w:pPr>
          </w:p>
        </w:tc>
        <w:tc>
          <w:tcPr>
            <w:tcW w:w="4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2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6,309</w:t>
            </w:r>
          </w:p>
        </w:tc>
        <w:tc>
          <w:tcPr>
            <w:tcW w:w="4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2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26,111</w:t>
            </w: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7760" w:type="dxa"/>
            <w:vAlign w:val="bottom"/>
            <w:gridSpan w:val="4"/>
          </w:tcPr>
          <w:p>
            <w:pPr>
              <w:ind w:left="140"/>
              <w:spacing w:after="0"/>
              <w:rPr>
                <w:sz w:val="20"/>
                <w:szCs w:val="20"/>
                <w:color w:val="auto"/>
              </w:rPr>
            </w:pPr>
            <w:r>
              <w:rPr>
                <w:rFonts w:ascii="Times New Roman" w:cs="Times New Roman" w:eastAsia="Times New Roman" w:hAnsi="Times New Roman"/>
                <w:sz w:val="20"/>
                <w:szCs w:val="20"/>
                <w:color w:val="auto"/>
              </w:rPr>
              <w:t>Accounts receivable, net</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8,186</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14,756</w:t>
            </w:r>
          </w:p>
        </w:tc>
        <w:tc>
          <w:tcPr>
            <w:tcW w:w="0" w:type="dxa"/>
            <w:vAlign w:val="bottom"/>
          </w:tcPr>
          <w:p>
            <w:pPr>
              <w:spacing w:after="0"/>
              <w:rPr>
                <w:sz w:val="1"/>
                <w:szCs w:val="1"/>
                <w:color w:val="auto"/>
              </w:rPr>
            </w:pPr>
          </w:p>
        </w:tc>
      </w:tr>
      <w:tr>
        <w:trPr>
          <w:trHeight w:val="289"/>
        </w:trPr>
        <w:tc>
          <w:tcPr>
            <w:tcW w:w="40" w:type="dxa"/>
            <w:vAlign w:val="bottom"/>
            <w:shd w:val="clear" w:color="auto" w:fill="D2EEF5"/>
          </w:tcPr>
          <w:p>
            <w:pPr>
              <w:spacing w:after="0"/>
              <w:rPr>
                <w:sz w:val="24"/>
                <w:szCs w:val="24"/>
                <w:color w:val="auto"/>
              </w:rPr>
            </w:pPr>
          </w:p>
        </w:tc>
        <w:tc>
          <w:tcPr>
            <w:tcW w:w="7640" w:type="dxa"/>
            <w:vAlign w:val="bottom"/>
            <w:shd w:val="clear" w:color="auto" w:fill="D2EEF5"/>
          </w:tcPr>
          <w:p>
            <w:pPr>
              <w:ind w:left="140"/>
              <w:spacing w:after="0"/>
              <w:rPr>
                <w:sz w:val="20"/>
                <w:szCs w:val="20"/>
                <w:color w:val="auto"/>
              </w:rPr>
            </w:pPr>
            <w:r>
              <w:rPr>
                <w:rFonts w:ascii="Times New Roman" w:cs="Times New Roman" w:eastAsia="Times New Roman" w:hAnsi="Times New Roman"/>
                <w:sz w:val="20"/>
                <w:szCs w:val="20"/>
                <w:color w:val="auto"/>
              </w:rPr>
              <w:t>Inventories</w:t>
            </w:r>
          </w:p>
        </w:tc>
        <w:tc>
          <w:tcPr>
            <w:tcW w:w="60" w:type="dxa"/>
            <w:vAlign w:val="bottom"/>
            <w:shd w:val="clear" w:color="auto" w:fill="D2EEF5"/>
          </w:tcPr>
          <w:p>
            <w:pPr>
              <w:spacing w:after="0"/>
              <w:rPr>
                <w:sz w:val="24"/>
                <w:szCs w:val="24"/>
                <w:color w:val="auto"/>
              </w:rPr>
            </w:pPr>
          </w:p>
        </w:tc>
        <w:tc>
          <w:tcPr>
            <w:tcW w:w="4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8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33,324</w:t>
            </w:r>
          </w:p>
        </w:tc>
        <w:tc>
          <w:tcPr>
            <w:tcW w:w="4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50,633</w:t>
            </w:r>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7760" w:type="dxa"/>
            <w:vAlign w:val="bottom"/>
            <w:gridSpan w:val="4"/>
          </w:tcPr>
          <w:p>
            <w:pPr>
              <w:ind w:left="14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3,622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3,712</w:t>
            </w:r>
          </w:p>
        </w:tc>
        <w:tc>
          <w:tcPr>
            <w:tcW w:w="0" w:type="dxa"/>
            <w:vAlign w:val="bottom"/>
          </w:tcPr>
          <w:p>
            <w:pPr>
              <w:spacing w:after="0"/>
              <w:rPr>
                <w:sz w:val="1"/>
                <w:szCs w:val="1"/>
                <w:color w:val="auto"/>
              </w:rPr>
            </w:pPr>
          </w:p>
        </w:tc>
      </w:tr>
      <w:tr>
        <w:trPr>
          <w:trHeight w:val="265"/>
        </w:trPr>
        <w:tc>
          <w:tcPr>
            <w:tcW w:w="40" w:type="dxa"/>
            <w:vAlign w:val="bottom"/>
            <w:shd w:val="clear" w:color="auto" w:fill="D2EEF5"/>
          </w:tcPr>
          <w:p>
            <w:pPr>
              <w:spacing w:after="0"/>
              <w:rPr>
                <w:sz w:val="23"/>
                <w:szCs w:val="23"/>
                <w:color w:val="auto"/>
              </w:rPr>
            </w:pPr>
          </w:p>
        </w:tc>
        <w:tc>
          <w:tcPr>
            <w:tcW w:w="7640" w:type="dxa"/>
            <w:vAlign w:val="bottom"/>
            <w:shd w:val="clear" w:color="auto" w:fill="D2EEF5"/>
          </w:tcPr>
          <w:p>
            <w:pPr>
              <w:ind w:left="360"/>
              <w:spacing w:after="0"/>
              <w:rPr>
                <w:sz w:val="20"/>
                <w:szCs w:val="20"/>
                <w:color w:val="auto"/>
              </w:rPr>
            </w:pPr>
            <w:r>
              <w:rPr>
                <w:rFonts w:ascii="Times New Roman" w:cs="Times New Roman" w:eastAsia="Times New Roman" w:hAnsi="Times New Roman"/>
                <w:sz w:val="20"/>
                <w:szCs w:val="20"/>
                <w:b w:val="1"/>
                <w:bCs w:val="1"/>
                <w:color w:val="auto"/>
              </w:rPr>
              <w:t>Total current assets</w:t>
            </w:r>
          </w:p>
        </w:tc>
        <w:tc>
          <w:tcPr>
            <w:tcW w:w="60" w:type="dxa"/>
            <w:vAlign w:val="bottom"/>
            <w:shd w:val="clear" w:color="auto" w:fill="D2EEF5"/>
          </w:tcPr>
          <w:p>
            <w:pPr>
              <w:spacing w:after="0"/>
              <w:rPr>
                <w:sz w:val="23"/>
                <w:szCs w:val="23"/>
                <w:color w:val="auto"/>
              </w:rPr>
            </w:pPr>
          </w:p>
        </w:tc>
        <w:tc>
          <w:tcPr>
            <w:tcW w:w="40" w:type="dxa"/>
            <w:vAlign w:val="bottom"/>
            <w:tcBorders>
              <w:top w:val="single" w:sz="8" w:color="D2EEF5"/>
            </w:tcBorders>
            <w:shd w:val="clear" w:color="auto" w:fill="D2EEF5"/>
          </w:tcPr>
          <w:p>
            <w:pPr>
              <w:spacing w:after="0"/>
              <w:rPr>
                <w:sz w:val="23"/>
                <w:szCs w:val="23"/>
                <w:color w:val="auto"/>
              </w:rPr>
            </w:pPr>
          </w:p>
        </w:tc>
        <w:tc>
          <w:tcPr>
            <w:tcW w:w="20" w:type="dxa"/>
            <w:vAlign w:val="bottom"/>
            <w:tcBorders>
              <w:top w:val="single" w:sz="8" w:color="D2EEF5"/>
            </w:tcBorders>
            <w:shd w:val="clear" w:color="auto" w:fill="D2EEF5"/>
          </w:tcPr>
          <w:p>
            <w:pPr>
              <w:spacing w:after="0"/>
              <w:rPr>
                <w:sz w:val="23"/>
                <w:szCs w:val="23"/>
                <w:color w:val="auto"/>
              </w:rPr>
            </w:pPr>
          </w:p>
        </w:tc>
        <w:tc>
          <w:tcPr>
            <w:tcW w:w="220" w:type="dxa"/>
            <w:vAlign w:val="bottom"/>
            <w:tcBorders>
              <w:top w:val="single" w:sz="8" w:color="auto"/>
            </w:tcBorders>
            <w:shd w:val="clear" w:color="auto" w:fill="D2EEF5"/>
          </w:tcPr>
          <w:p>
            <w:pPr>
              <w:spacing w:after="0"/>
              <w:rPr>
                <w:sz w:val="23"/>
                <w:szCs w:val="23"/>
                <w:color w:val="auto"/>
              </w:rPr>
            </w:pPr>
          </w:p>
        </w:tc>
        <w:tc>
          <w:tcPr>
            <w:tcW w:w="880" w:type="dxa"/>
            <w:vAlign w:val="bottom"/>
            <w:tcBorders>
              <w:top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51,441</w:t>
            </w:r>
          </w:p>
        </w:tc>
        <w:tc>
          <w:tcPr>
            <w:tcW w:w="40" w:type="dxa"/>
            <w:vAlign w:val="bottom"/>
            <w:tcBorders>
              <w:top w:val="single" w:sz="8" w:color="D2EEF5"/>
            </w:tcBorders>
            <w:shd w:val="clear" w:color="auto" w:fill="D2EEF5"/>
          </w:tcPr>
          <w:p>
            <w:pPr>
              <w:spacing w:after="0"/>
              <w:rPr>
                <w:sz w:val="23"/>
                <w:szCs w:val="23"/>
                <w:color w:val="auto"/>
              </w:rPr>
            </w:pPr>
          </w:p>
        </w:tc>
        <w:tc>
          <w:tcPr>
            <w:tcW w:w="20" w:type="dxa"/>
            <w:vAlign w:val="bottom"/>
            <w:tcBorders>
              <w:top w:val="single" w:sz="8" w:color="D2EEF5"/>
            </w:tcBorders>
            <w:shd w:val="clear" w:color="auto" w:fill="D2EEF5"/>
          </w:tcPr>
          <w:p>
            <w:pPr>
              <w:spacing w:after="0"/>
              <w:rPr>
                <w:sz w:val="23"/>
                <w:szCs w:val="23"/>
                <w:color w:val="auto"/>
              </w:rPr>
            </w:pPr>
          </w:p>
        </w:tc>
        <w:tc>
          <w:tcPr>
            <w:tcW w:w="220" w:type="dxa"/>
            <w:vAlign w:val="bottom"/>
            <w:tcBorders>
              <w:top w:val="single" w:sz="8" w:color="auto"/>
            </w:tcBorders>
            <w:shd w:val="clear" w:color="auto" w:fill="D2EEF5"/>
          </w:tcPr>
          <w:p>
            <w:pPr>
              <w:spacing w:after="0"/>
              <w:rPr>
                <w:sz w:val="23"/>
                <w:szCs w:val="23"/>
                <w:color w:val="auto"/>
              </w:rPr>
            </w:pPr>
          </w:p>
        </w:tc>
        <w:tc>
          <w:tcPr>
            <w:tcW w:w="860" w:type="dxa"/>
            <w:vAlign w:val="bottom"/>
            <w:tcBorders>
              <w:top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95,212</w:t>
            </w: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77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Property, plant and equipment, net</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30,334</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37,545</w:t>
            </w:r>
          </w:p>
        </w:tc>
        <w:tc>
          <w:tcPr>
            <w:tcW w:w="0" w:type="dxa"/>
            <w:vAlign w:val="bottom"/>
          </w:tcPr>
          <w:p>
            <w:pPr>
              <w:spacing w:after="0"/>
              <w:rPr>
                <w:sz w:val="1"/>
                <w:szCs w:val="1"/>
                <w:color w:val="auto"/>
              </w:rPr>
            </w:pPr>
          </w:p>
        </w:tc>
      </w:tr>
      <w:tr>
        <w:trPr>
          <w:trHeight w:val="289"/>
        </w:trPr>
        <w:tc>
          <w:tcPr>
            <w:tcW w:w="40" w:type="dxa"/>
            <w:vAlign w:val="bottom"/>
            <w:shd w:val="clear" w:color="auto" w:fill="D2EEF5"/>
          </w:tcPr>
          <w:p>
            <w:pPr>
              <w:spacing w:after="0"/>
              <w:rPr>
                <w:sz w:val="24"/>
                <w:szCs w:val="24"/>
                <w:color w:val="auto"/>
              </w:rPr>
            </w:pPr>
          </w:p>
        </w:tc>
        <w:tc>
          <w:tcPr>
            <w:tcW w:w="7640" w:type="dxa"/>
            <w:vAlign w:val="bottom"/>
            <w:shd w:val="clear" w:color="auto" w:fill="D2EEF5"/>
          </w:tcPr>
          <w:p>
            <w:pPr>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100" w:type="dxa"/>
            <w:vAlign w:val="bottom"/>
            <w:gridSpan w:val="2"/>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8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37,765</w:t>
            </w:r>
          </w:p>
        </w:tc>
        <w:tc>
          <w:tcPr>
            <w:tcW w:w="4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42,869</w:t>
            </w: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77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Intangible assets, net</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2,801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249,002</w:t>
            </w:r>
          </w:p>
        </w:tc>
        <w:tc>
          <w:tcPr>
            <w:tcW w:w="0" w:type="dxa"/>
            <w:vAlign w:val="bottom"/>
          </w:tcPr>
          <w:p>
            <w:pPr>
              <w:spacing w:after="0"/>
              <w:rPr>
                <w:sz w:val="1"/>
                <w:szCs w:val="1"/>
                <w:color w:val="auto"/>
              </w:rPr>
            </w:pPr>
          </w:p>
        </w:tc>
      </w:tr>
      <w:tr>
        <w:trPr>
          <w:trHeight w:val="288"/>
        </w:trPr>
        <w:tc>
          <w:tcPr>
            <w:tcW w:w="40" w:type="dxa"/>
            <w:vAlign w:val="bottom"/>
            <w:shd w:val="clear" w:color="auto" w:fill="D2EEF5"/>
          </w:tcPr>
          <w:p>
            <w:pPr>
              <w:spacing w:after="0"/>
              <w:rPr>
                <w:sz w:val="24"/>
                <w:szCs w:val="24"/>
                <w:color w:val="auto"/>
              </w:rPr>
            </w:pPr>
          </w:p>
        </w:tc>
        <w:tc>
          <w:tcPr>
            <w:tcW w:w="7640" w:type="dxa"/>
            <w:vAlign w:val="bottom"/>
            <w:shd w:val="clear" w:color="auto" w:fill="D2EEF5"/>
          </w:tcPr>
          <w:p>
            <w:pPr>
              <w:spacing w:after="0"/>
              <w:rPr>
                <w:sz w:val="20"/>
                <w:szCs w:val="20"/>
                <w:color w:val="auto"/>
              </w:rPr>
            </w:pPr>
            <w:r>
              <w:rPr>
                <w:rFonts w:ascii="Times New Roman" w:cs="Times New Roman" w:eastAsia="Times New Roman" w:hAnsi="Times New Roman"/>
                <w:sz w:val="20"/>
                <w:szCs w:val="20"/>
                <w:color w:val="auto"/>
              </w:rPr>
              <w:t>Other assets</w:t>
            </w:r>
          </w:p>
        </w:tc>
        <w:tc>
          <w:tcPr>
            <w:tcW w:w="100" w:type="dxa"/>
            <w:vAlign w:val="bottom"/>
            <w:gridSpan w:val="2"/>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8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1,463</w:t>
            </w:r>
          </w:p>
        </w:tc>
        <w:tc>
          <w:tcPr>
            <w:tcW w:w="4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1,476</w:t>
            </w:r>
          </w:p>
        </w:tc>
        <w:tc>
          <w:tcPr>
            <w:tcW w:w="0" w:type="dxa"/>
            <w:vAlign w:val="bottom"/>
          </w:tcPr>
          <w:p>
            <w:pPr>
              <w:spacing w:after="0"/>
              <w:rPr>
                <w:sz w:val="1"/>
                <w:szCs w:val="1"/>
                <w:color w:val="auto"/>
              </w:rPr>
            </w:pPr>
          </w:p>
        </w:tc>
      </w:tr>
      <w:tr>
        <w:trPr>
          <w:trHeight w:val="306"/>
        </w:trPr>
        <w:tc>
          <w:tcPr>
            <w:tcW w:w="40" w:type="dxa"/>
            <w:vAlign w:val="bottom"/>
            <w:tcBorders>
              <w:top w:val="single" w:sz="8" w:color="D2EEF5"/>
              <w:bottom w:val="single" w:sz="8" w:color="D2EEF5"/>
            </w:tcBorders>
          </w:tcPr>
          <w:p>
            <w:pPr>
              <w:spacing w:after="0"/>
              <w:rPr>
                <w:sz w:val="24"/>
                <w:szCs w:val="24"/>
                <w:color w:val="auto"/>
              </w:rPr>
            </w:pPr>
          </w:p>
        </w:tc>
        <w:tc>
          <w:tcPr>
            <w:tcW w:w="7700" w:type="dxa"/>
            <w:vAlign w:val="bottom"/>
            <w:tcBorders>
              <w:top w:val="single" w:sz="8" w:color="D2EEF5"/>
              <w:bottom w:val="single" w:sz="8" w:color="D2EEF5"/>
            </w:tcBorders>
            <w:gridSpan w:val="2"/>
          </w:tcPr>
          <w:p>
            <w:pPr>
              <w:ind w:left="360"/>
              <w:spacing w:after="0"/>
              <w:rPr>
                <w:sz w:val="20"/>
                <w:szCs w:val="20"/>
                <w:color w:val="auto"/>
              </w:rPr>
            </w:pPr>
            <w:r>
              <w:rPr>
                <w:rFonts w:ascii="Times New Roman" w:cs="Times New Roman" w:eastAsia="Times New Roman" w:hAnsi="Times New Roman"/>
                <w:sz w:val="20"/>
                <w:szCs w:val="20"/>
                <w:b w:val="1"/>
                <w:bCs w:val="1"/>
                <w:color w:val="auto"/>
              </w:rPr>
              <w:t>Total assets</w:t>
            </w:r>
          </w:p>
        </w:tc>
        <w:tc>
          <w:tcPr>
            <w:tcW w:w="40" w:type="dxa"/>
            <w:vAlign w:val="bottom"/>
            <w:tcBorders>
              <w:bottom w:val="single" w:sz="8" w:color="D2EEF5"/>
            </w:tcBorders>
          </w:tcPr>
          <w:p>
            <w:pPr>
              <w:spacing w:after="0"/>
              <w:rPr>
                <w:sz w:val="24"/>
                <w:szCs w:val="24"/>
                <w:color w:val="auto"/>
              </w:rPr>
            </w:pPr>
          </w:p>
        </w:tc>
        <w:tc>
          <w:tcPr>
            <w:tcW w:w="20" w:type="dxa"/>
            <w:vAlign w:val="bottom"/>
            <w:tcBorders>
              <w:bottom w:val="single" w:sz="8" w:color="D2EEF5"/>
            </w:tcBorders>
          </w:tcPr>
          <w:p>
            <w:pPr>
              <w:spacing w:after="0"/>
              <w:rPr>
                <w:sz w:val="24"/>
                <w:szCs w:val="24"/>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123,804</w:t>
            </w:r>
          </w:p>
        </w:tc>
        <w:tc>
          <w:tcPr>
            <w:tcW w:w="40" w:type="dxa"/>
            <w:vAlign w:val="bottom"/>
            <w:tcBorders>
              <w:bottom w:val="single" w:sz="8" w:color="D2EEF5"/>
            </w:tcBorders>
          </w:tcPr>
          <w:p>
            <w:pPr>
              <w:spacing w:after="0"/>
              <w:rPr>
                <w:sz w:val="24"/>
                <w:szCs w:val="24"/>
                <w:color w:val="auto"/>
              </w:rPr>
            </w:pPr>
          </w:p>
        </w:tc>
        <w:tc>
          <w:tcPr>
            <w:tcW w:w="20" w:type="dxa"/>
            <w:vAlign w:val="bottom"/>
            <w:tcBorders>
              <w:bottom w:val="single" w:sz="8" w:color="D2EEF5"/>
            </w:tcBorders>
          </w:tcPr>
          <w:p>
            <w:pPr>
              <w:spacing w:after="0"/>
              <w:rPr>
                <w:sz w:val="24"/>
                <w:szCs w:val="24"/>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426,104</w:t>
            </w:r>
          </w:p>
        </w:tc>
        <w:tc>
          <w:tcPr>
            <w:tcW w:w="0" w:type="dxa"/>
            <w:vAlign w:val="bottom"/>
          </w:tcPr>
          <w:p>
            <w:pPr>
              <w:spacing w:after="0"/>
              <w:rPr>
                <w:sz w:val="1"/>
                <w:szCs w:val="1"/>
                <w:color w:val="auto"/>
              </w:rPr>
            </w:pPr>
          </w:p>
        </w:tc>
      </w:tr>
      <w:tr>
        <w:trPr>
          <w:trHeight w:val="224"/>
        </w:trPr>
        <w:tc>
          <w:tcPr>
            <w:tcW w:w="40" w:type="dxa"/>
            <w:vAlign w:val="bottom"/>
            <w:shd w:val="clear" w:color="auto" w:fill="D2EEF5"/>
          </w:tcPr>
          <w:p>
            <w:pPr>
              <w:spacing w:after="0"/>
              <w:rPr>
                <w:sz w:val="19"/>
                <w:szCs w:val="19"/>
                <w:color w:val="auto"/>
              </w:rPr>
            </w:pPr>
          </w:p>
        </w:tc>
        <w:tc>
          <w:tcPr>
            <w:tcW w:w="7760" w:type="dxa"/>
            <w:vAlign w:val="bottom"/>
            <w:gridSpan w:val="4"/>
            <w:shd w:val="clear" w:color="auto" w:fill="D2EEF5"/>
          </w:tcPr>
          <w:p>
            <w:pPr>
              <w:spacing w:after="0" w:line="221" w:lineRule="exact"/>
              <w:rPr>
                <w:sz w:val="20"/>
                <w:szCs w:val="20"/>
                <w:color w:val="auto"/>
              </w:rPr>
            </w:pPr>
            <w:r>
              <w:rPr>
                <w:rFonts w:ascii="Times New Roman" w:cs="Times New Roman" w:eastAsia="Times New Roman" w:hAnsi="Times New Roman"/>
                <w:sz w:val="20"/>
                <w:szCs w:val="20"/>
                <w:b w:val="1"/>
                <w:bCs w:val="1"/>
                <w:color w:val="auto"/>
              </w:rPr>
              <w:t>Liabilities and stockholders’ (deficit) equity</w:t>
            </w:r>
          </w:p>
        </w:tc>
        <w:tc>
          <w:tcPr>
            <w:tcW w:w="220" w:type="dxa"/>
            <w:vAlign w:val="bottom"/>
            <w:shd w:val="clear" w:color="auto" w:fill="D2EEF5"/>
          </w:tcPr>
          <w:p>
            <w:pPr>
              <w:spacing w:after="0"/>
              <w:rPr>
                <w:sz w:val="19"/>
                <w:szCs w:val="19"/>
                <w:color w:val="auto"/>
              </w:rPr>
            </w:pPr>
          </w:p>
        </w:tc>
        <w:tc>
          <w:tcPr>
            <w:tcW w:w="880" w:type="dxa"/>
            <w:vAlign w:val="bottom"/>
            <w:shd w:val="clear" w:color="auto" w:fill="D2EEF5"/>
          </w:tcPr>
          <w:p>
            <w:pPr>
              <w:spacing w:after="0"/>
              <w:rPr>
                <w:sz w:val="19"/>
                <w:szCs w:val="19"/>
                <w:color w:val="auto"/>
              </w:rPr>
            </w:pPr>
          </w:p>
        </w:tc>
        <w:tc>
          <w:tcPr>
            <w:tcW w:w="4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220" w:type="dxa"/>
            <w:vAlign w:val="bottom"/>
            <w:shd w:val="clear" w:color="auto" w:fill="D2EEF5"/>
          </w:tcPr>
          <w:p>
            <w:pPr>
              <w:spacing w:after="0"/>
              <w:rPr>
                <w:sz w:val="19"/>
                <w:szCs w:val="19"/>
                <w:color w:val="auto"/>
              </w:rPr>
            </w:pPr>
          </w:p>
        </w:tc>
        <w:tc>
          <w:tcPr>
            <w:tcW w:w="860" w:type="dxa"/>
            <w:vAlign w:val="bottom"/>
            <w:shd w:val="clear" w:color="auto" w:fill="D2EEF5"/>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77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D2EEF5"/>
          </w:tcPr>
          <w:p>
            <w:pPr>
              <w:spacing w:after="0"/>
              <w:rPr>
                <w:sz w:val="24"/>
                <w:szCs w:val="24"/>
                <w:color w:val="auto"/>
              </w:rPr>
            </w:pPr>
          </w:p>
        </w:tc>
        <w:tc>
          <w:tcPr>
            <w:tcW w:w="7640" w:type="dxa"/>
            <w:vAlign w:val="bottom"/>
            <w:shd w:val="clear" w:color="auto" w:fill="D2EEF5"/>
          </w:tcPr>
          <w:p>
            <w:pPr>
              <w:ind w:left="140"/>
              <w:spacing w:after="0"/>
              <w:rPr>
                <w:sz w:val="20"/>
                <w:szCs w:val="20"/>
                <w:color w:val="auto"/>
              </w:rPr>
            </w:pPr>
            <w:r>
              <w:rPr>
                <w:rFonts w:ascii="Times New Roman" w:cs="Times New Roman" w:eastAsia="Times New Roman" w:hAnsi="Times New Roman"/>
                <w:sz w:val="20"/>
                <w:szCs w:val="20"/>
                <w:color w:val="auto"/>
              </w:rPr>
              <w:t>Accounts payable</w:t>
            </w:r>
          </w:p>
        </w:tc>
        <w:tc>
          <w:tcPr>
            <w:tcW w:w="100" w:type="dxa"/>
            <w:vAlign w:val="bottom"/>
            <w:gridSpan w:val="2"/>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2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9,752</w:t>
            </w:r>
          </w:p>
        </w:tc>
        <w:tc>
          <w:tcPr>
            <w:tcW w:w="4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2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12,279</w:t>
            </w: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7760" w:type="dxa"/>
            <w:vAlign w:val="bottom"/>
            <w:gridSpan w:val="4"/>
          </w:tcPr>
          <w:p>
            <w:pPr>
              <w:ind w:left="140"/>
              <w:spacing w:after="0"/>
              <w:rPr>
                <w:sz w:val="20"/>
                <w:szCs w:val="20"/>
                <w:color w:val="auto"/>
              </w:rPr>
            </w:pPr>
            <w:r>
              <w:rPr>
                <w:rFonts w:ascii="Times New Roman" w:cs="Times New Roman" w:eastAsia="Times New Roman" w:hAnsi="Times New Roman"/>
                <w:sz w:val="20"/>
                <w:szCs w:val="20"/>
                <w:color w:val="auto"/>
              </w:rPr>
              <w:t>Accrued expenses and other current liabilities</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7,688</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10,647</w:t>
            </w:r>
          </w:p>
        </w:tc>
        <w:tc>
          <w:tcPr>
            <w:tcW w:w="0" w:type="dxa"/>
            <w:vAlign w:val="bottom"/>
          </w:tcPr>
          <w:p>
            <w:pPr>
              <w:spacing w:after="0"/>
              <w:rPr>
                <w:sz w:val="1"/>
                <w:szCs w:val="1"/>
                <w:color w:val="auto"/>
              </w:rPr>
            </w:pPr>
          </w:p>
        </w:tc>
      </w:tr>
      <w:tr>
        <w:trPr>
          <w:trHeight w:val="289"/>
        </w:trPr>
        <w:tc>
          <w:tcPr>
            <w:tcW w:w="40" w:type="dxa"/>
            <w:vAlign w:val="bottom"/>
            <w:shd w:val="clear" w:color="auto" w:fill="D2EEF5"/>
          </w:tcPr>
          <w:p>
            <w:pPr>
              <w:spacing w:after="0"/>
              <w:rPr>
                <w:sz w:val="24"/>
                <w:szCs w:val="24"/>
                <w:color w:val="auto"/>
              </w:rPr>
            </w:pPr>
          </w:p>
        </w:tc>
        <w:tc>
          <w:tcPr>
            <w:tcW w:w="7640" w:type="dxa"/>
            <w:vAlign w:val="bottom"/>
            <w:shd w:val="clear" w:color="auto" w:fill="D2EEF5"/>
          </w:tcPr>
          <w:p>
            <w:pPr>
              <w:ind w:left="140"/>
              <w:spacing w:after="0"/>
              <w:rPr>
                <w:sz w:val="20"/>
                <w:szCs w:val="20"/>
                <w:color w:val="auto"/>
              </w:rPr>
            </w:pPr>
            <w:r>
              <w:rPr>
                <w:rFonts w:ascii="Times New Roman" w:cs="Times New Roman" w:eastAsia="Times New Roman" w:hAnsi="Times New Roman"/>
                <w:sz w:val="20"/>
                <w:szCs w:val="20"/>
                <w:color w:val="auto"/>
              </w:rPr>
              <w:t>Deferred revenue</w:t>
            </w:r>
          </w:p>
        </w:tc>
        <w:tc>
          <w:tcPr>
            <w:tcW w:w="100" w:type="dxa"/>
            <w:vAlign w:val="bottom"/>
            <w:gridSpan w:val="2"/>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8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2,742</w:t>
            </w:r>
          </w:p>
        </w:tc>
        <w:tc>
          <w:tcPr>
            <w:tcW w:w="4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2,611</w:t>
            </w: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7760" w:type="dxa"/>
            <w:vAlign w:val="bottom"/>
            <w:gridSpan w:val="4"/>
          </w:tcPr>
          <w:p>
            <w:pPr>
              <w:ind w:left="140"/>
              <w:spacing w:after="0"/>
              <w:rPr>
                <w:sz w:val="20"/>
                <w:szCs w:val="20"/>
                <w:color w:val="auto"/>
              </w:rPr>
            </w:pPr>
            <w:r>
              <w:rPr>
                <w:rFonts w:ascii="Times New Roman" w:cs="Times New Roman" w:eastAsia="Times New Roman" w:hAnsi="Times New Roman"/>
                <w:sz w:val="20"/>
                <w:szCs w:val="20"/>
                <w:color w:val="auto"/>
              </w:rPr>
              <w:t>Current portion of operating lease liabilities</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7,543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7,731</w:t>
            </w:r>
          </w:p>
        </w:tc>
        <w:tc>
          <w:tcPr>
            <w:tcW w:w="0" w:type="dxa"/>
            <w:vAlign w:val="bottom"/>
          </w:tcPr>
          <w:p>
            <w:pPr>
              <w:spacing w:after="0"/>
              <w:rPr>
                <w:sz w:val="1"/>
                <w:szCs w:val="1"/>
                <w:color w:val="auto"/>
              </w:rPr>
            </w:pPr>
          </w:p>
        </w:tc>
      </w:tr>
      <w:tr>
        <w:trPr>
          <w:trHeight w:val="289"/>
        </w:trPr>
        <w:tc>
          <w:tcPr>
            <w:tcW w:w="40" w:type="dxa"/>
            <w:vAlign w:val="bottom"/>
            <w:shd w:val="clear" w:color="auto" w:fill="D2EEF5"/>
          </w:tcPr>
          <w:p>
            <w:pPr>
              <w:spacing w:after="0"/>
              <w:rPr>
                <w:sz w:val="24"/>
                <w:szCs w:val="24"/>
                <w:color w:val="auto"/>
              </w:rPr>
            </w:pPr>
          </w:p>
        </w:tc>
        <w:tc>
          <w:tcPr>
            <w:tcW w:w="7640" w:type="dxa"/>
            <w:vAlign w:val="bottom"/>
            <w:shd w:val="clear" w:color="auto" w:fill="D2EEF5"/>
          </w:tcPr>
          <w:p>
            <w:pPr>
              <w:ind w:left="140"/>
              <w:spacing w:after="0"/>
              <w:rPr>
                <w:sz w:val="20"/>
                <w:szCs w:val="20"/>
                <w:color w:val="auto"/>
              </w:rPr>
            </w:pPr>
            <w:r>
              <w:rPr>
                <w:rFonts w:ascii="Times New Roman" w:cs="Times New Roman" w:eastAsia="Times New Roman" w:hAnsi="Times New Roman"/>
                <w:sz w:val="20"/>
                <w:szCs w:val="20"/>
                <w:color w:val="auto"/>
              </w:rPr>
              <w:t>Current portion of finance lease liabilities</w:t>
            </w:r>
          </w:p>
        </w:tc>
        <w:tc>
          <w:tcPr>
            <w:tcW w:w="100" w:type="dxa"/>
            <w:vAlign w:val="bottom"/>
            <w:gridSpan w:val="2"/>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8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455</w:t>
            </w:r>
          </w:p>
        </w:tc>
        <w:tc>
          <w:tcPr>
            <w:tcW w:w="4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459</w:t>
            </w:r>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7760" w:type="dxa"/>
            <w:vAlign w:val="bottom"/>
            <w:gridSpan w:val="4"/>
          </w:tcPr>
          <w:p>
            <w:pPr>
              <w:ind w:left="140"/>
              <w:spacing w:after="0"/>
              <w:rPr>
                <w:sz w:val="20"/>
                <w:szCs w:val="20"/>
                <w:color w:val="auto"/>
              </w:rPr>
            </w:pPr>
            <w:r>
              <w:rPr>
                <w:rFonts w:ascii="Times New Roman" w:cs="Times New Roman" w:eastAsia="Times New Roman" w:hAnsi="Times New Roman"/>
                <w:sz w:val="20"/>
                <w:szCs w:val="20"/>
                <w:color w:val="auto"/>
              </w:rPr>
              <w:t>Current portion of long-term debt</w:t>
            </w:r>
          </w:p>
        </w:tc>
        <w:tc>
          <w:tcPr>
            <w:tcW w:w="220" w:type="dxa"/>
            <w:vAlign w:val="bottom"/>
          </w:tcPr>
          <w:p>
            <w:pPr>
              <w:spacing w:after="0"/>
              <w:rPr>
                <w:sz w:val="24"/>
                <w:szCs w:val="24"/>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111,853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1,260</w:t>
            </w:r>
          </w:p>
        </w:tc>
        <w:tc>
          <w:tcPr>
            <w:tcW w:w="0" w:type="dxa"/>
            <w:vAlign w:val="bottom"/>
          </w:tcPr>
          <w:p>
            <w:pPr>
              <w:spacing w:after="0"/>
              <w:rPr>
                <w:sz w:val="1"/>
                <w:szCs w:val="1"/>
                <w:color w:val="auto"/>
              </w:rPr>
            </w:pPr>
          </w:p>
        </w:tc>
      </w:tr>
      <w:tr>
        <w:trPr>
          <w:trHeight w:val="265"/>
        </w:trPr>
        <w:tc>
          <w:tcPr>
            <w:tcW w:w="40" w:type="dxa"/>
            <w:vAlign w:val="bottom"/>
            <w:shd w:val="clear" w:color="auto" w:fill="D2EEF5"/>
          </w:tcPr>
          <w:p>
            <w:pPr>
              <w:spacing w:after="0"/>
              <w:rPr>
                <w:sz w:val="23"/>
                <w:szCs w:val="23"/>
                <w:color w:val="auto"/>
              </w:rPr>
            </w:pPr>
          </w:p>
        </w:tc>
        <w:tc>
          <w:tcPr>
            <w:tcW w:w="7640" w:type="dxa"/>
            <w:vAlign w:val="bottom"/>
            <w:shd w:val="clear" w:color="auto" w:fill="D2EEF5"/>
          </w:tcPr>
          <w:p>
            <w:pPr>
              <w:ind w:left="360"/>
              <w:spacing w:after="0"/>
              <w:rPr>
                <w:sz w:val="20"/>
                <w:szCs w:val="20"/>
                <w:color w:val="auto"/>
              </w:rPr>
            </w:pPr>
            <w:r>
              <w:rPr>
                <w:rFonts w:ascii="Times New Roman" w:cs="Times New Roman" w:eastAsia="Times New Roman" w:hAnsi="Times New Roman"/>
                <w:sz w:val="20"/>
                <w:szCs w:val="20"/>
                <w:b w:val="1"/>
                <w:bCs w:val="1"/>
                <w:color w:val="auto"/>
              </w:rPr>
              <w:t>Total current liabilities</w:t>
            </w:r>
          </w:p>
        </w:tc>
        <w:tc>
          <w:tcPr>
            <w:tcW w:w="60" w:type="dxa"/>
            <w:vAlign w:val="bottom"/>
            <w:shd w:val="clear" w:color="auto" w:fill="D2EEF5"/>
          </w:tcPr>
          <w:p>
            <w:pPr>
              <w:spacing w:after="0"/>
              <w:rPr>
                <w:sz w:val="23"/>
                <w:szCs w:val="23"/>
                <w:color w:val="auto"/>
              </w:rPr>
            </w:pPr>
          </w:p>
        </w:tc>
        <w:tc>
          <w:tcPr>
            <w:tcW w:w="40" w:type="dxa"/>
            <w:vAlign w:val="bottom"/>
            <w:tcBorders>
              <w:top w:val="single" w:sz="8" w:color="D2EEF5"/>
            </w:tcBorders>
            <w:shd w:val="clear" w:color="auto" w:fill="D2EEF5"/>
          </w:tcPr>
          <w:p>
            <w:pPr>
              <w:spacing w:after="0"/>
              <w:rPr>
                <w:sz w:val="23"/>
                <w:szCs w:val="23"/>
                <w:color w:val="auto"/>
              </w:rPr>
            </w:pPr>
          </w:p>
        </w:tc>
        <w:tc>
          <w:tcPr>
            <w:tcW w:w="20" w:type="dxa"/>
            <w:vAlign w:val="bottom"/>
            <w:tcBorders>
              <w:top w:val="single" w:sz="8" w:color="D2EEF5"/>
            </w:tcBorders>
            <w:shd w:val="clear" w:color="auto" w:fill="D2EEF5"/>
          </w:tcPr>
          <w:p>
            <w:pPr>
              <w:spacing w:after="0"/>
              <w:rPr>
                <w:sz w:val="23"/>
                <w:szCs w:val="23"/>
                <w:color w:val="auto"/>
              </w:rPr>
            </w:pPr>
          </w:p>
        </w:tc>
        <w:tc>
          <w:tcPr>
            <w:tcW w:w="220" w:type="dxa"/>
            <w:vAlign w:val="bottom"/>
            <w:tcBorders>
              <w:top w:val="single" w:sz="8" w:color="auto"/>
            </w:tcBorders>
            <w:shd w:val="clear" w:color="auto" w:fill="D2EEF5"/>
          </w:tcPr>
          <w:p>
            <w:pPr>
              <w:spacing w:after="0"/>
              <w:rPr>
                <w:sz w:val="23"/>
                <w:szCs w:val="23"/>
                <w:color w:val="auto"/>
              </w:rPr>
            </w:pPr>
          </w:p>
        </w:tc>
        <w:tc>
          <w:tcPr>
            <w:tcW w:w="880" w:type="dxa"/>
            <w:vAlign w:val="bottom"/>
            <w:tcBorders>
              <w:top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140,033</w:t>
            </w:r>
          </w:p>
        </w:tc>
        <w:tc>
          <w:tcPr>
            <w:tcW w:w="40" w:type="dxa"/>
            <w:vAlign w:val="bottom"/>
            <w:tcBorders>
              <w:top w:val="single" w:sz="8" w:color="D2EEF5"/>
            </w:tcBorders>
            <w:shd w:val="clear" w:color="auto" w:fill="D2EEF5"/>
          </w:tcPr>
          <w:p>
            <w:pPr>
              <w:spacing w:after="0"/>
              <w:rPr>
                <w:sz w:val="23"/>
                <w:szCs w:val="23"/>
                <w:color w:val="auto"/>
              </w:rPr>
            </w:pPr>
          </w:p>
        </w:tc>
        <w:tc>
          <w:tcPr>
            <w:tcW w:w="20" w:type="dxa"/>
            <w:vAlign w:val="bottom"/>
            <w:tcBorders>
              <w:top w:val="single" w:sz="8" w:color="D2EEF5"/>
            </w:tcBorders>
            <w:shd w:val="clear" w:color="auto" w:fill="D2EEF5"/>
          </w:tcPr>
          <w:p>
            <w:pPr>
              <w:spacing w:after="0"/>
              <w:rPr>
                <w:sz w:val="23"/>
                <w:szCs w:val="23"/>
                <w:color w:val="auto"/>
              </w:rPr>
            </w:pPr>
          </w:p>
        </w:tc>
        <w:tc>
          <w:tcPr>
            <w:tcW w:w="220" w:type="dxa"/>
            <w:vAlign w:val="bottom"/>
            <w:tcBorders>
              <w:top w:val="single" w:sz="8" w:color="auto"/>
            </w:tcBorders>
            <w:shd w:val="clear" w:color="auto" w:fill="D2EEF5"/>
          </w:tcPr>
          <w:p>
            <w:pPr>
              <w:spacing w:after="0"/>
              <w:rPr>
                <w:sz w:val="23"/>
                <w:szCs w:val="23"/>
                <w:color w:val="auto"/>
              </w:rPr>
            </w:pPr>
          </w:p>
        </w:tc>
        <w:tc>
          <w:tcPr>
            <w:tcW w:w="860" w:type="dxa"/>
            <w:vAlign w:val="bottom"/>
            <w:tcBorders>
              <w:top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34,987</w:t>
            </w:r>
          </w:p>
        </w:tc>
        <w:tc>
          <w:tcPr>
            <w:tcW w:w="0" w:type="dxa"/>
            <w:vAlign w:val="bottom"/>
          </w:tcPr>
          <w:p>
            <w:pPr>
              <w:spacing w:after="0"/>
              <w:rPr>
                <w:sz w:val="1"/>
                <w:szCs w:val="1"/>
                <w:color w:val="auto"/>
              </w:rPr>
            </w:pPr>
          </w:p>
        </w:tc>
      </w:tr>
      <w:tr>
        <w:trPr>
          <w:trHeight w:val="311"/>
        </w:trPr>
        <w:tc>
          <w:tcPr>
            <w:tcW w:w="40" w:type="dxa"/>
            <w:vAlign w:val="bottom"/>
          </w:tcPr>
          <w:p>
            <w:pPr>
              <w:spacing w:after="0"/>
              <w:rPr>
                <w:sz w:val="24"/>
                <w:szCs w:val="24"/>
                <w:color w:val="auto"/>
              </w:rPr>
            </w:pPr>
          </w:p>
        </w:tc>
        <w:tc>
          <w:tcPr>
            <w:tcW w:w="77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Long-term operating lease liabilities</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32,800</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37,553</w:t>
            </w:r>
          </w:p>
        </w:tc>
        <w:tc>
          <w:tcPr>
            <w:tcW w:w="0" w:type="dxa"/>
            <w:vAlign w:val="bottom"/>
          </w:tcPr>
          <w:p>
            <w:pPr>
              <w:spacing w:after="0"/>
              <w:rPr>
                <w:sz w:val="1"/>
                <w:szCs w:val="1"/>
                <w:color w:val="auto"/>
              </w:rPr>
            </w:pPr>
          </w:p>
        </w:tc>
      </w:tr>
      <w:tr>
        <w:trPr>
          <w:trHeight w:val="319"/>
        </w:trPr>
        <w:tc>
          <w:tcPr>
            <w:tcW w:w="40" w:type="dxa"/>
            <w:vAlign w:val="bottom"/>
            <w:shd w:val="clear" w:color="auto" w:fill="D2EEF5"/>
          </w:tcPr>
          <w:p>
            <w:pPr>
              <w:spacing w:after="0"/>
              <w:rPr>
                <w:sz w:val="24"/>
                <w:szCs w:val="24"/>
                <w:color w:val="auto"/>
              </w:rPr>
            </w:pPr>
          </w:p>
        </w:tc>
        <w:tc>
          <w:tcPr>
            <w:tcW w:w="7640" w:type="dxa"/>
            <w:vAlign w:val="bottom"/>
            <w:shd w:val="clear" w:color="auto" w:fill="D2EEF5"/>
          </w:tcPr>
          <w:p>
            <w:pPr>
              <w:spacing w:after="0"/>
              <w:rPr>
                <w:sz w:val="20"/>
                <w:szCs w:val="20"/>
                <w:color w:val="auto"/>
              </w:rPr>
            </w:pPr>
            <w:r>
              <w:rPr>
                <w:rFonts w:ascii="Times New Roman" w:cs="Times New Roman" w:eastAsia="Times New Roman" w:hAnsi="Times New Roman"/>
                <w:sz w:val="20"/>
                <w:szCs w:val="20"/>
                <w:color w:val="auto"/>
              </w:rPr>
              <w:t>Long-term finance lease liabilities</w:t>
            </w:r>
          </w:p>
        </w:tc>
        <w:tc>
          <w:tcPr>
            <w:tcW w:w="100" w:type="dxa"/>
            <w:vAlign w:val="bottom"/>
            <w:gridSpan w:val="2"/>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8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7,381</w:t>
            </w:r>
          </w:p>
        </w:tc>
        <w:tc>
          <w:tcPr>
            <w:tcW w:w="4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7,830</w:t>
            </w:r>
          </w:p>
        </w:tc>
        <w:tc>
          <w:tcPr>
            <w:tcW w:w="0" w:type="dxa"/>
            <w:vAlign w:val="bottom"/>
          </w:tcPr>
          <w:p>
            <w:pPr>
              <w:spacing w:after="0"/>
              <w:rPr>
                <w:sz w:val="1"/>
                <w:szCs w:val="1"/>
                <w:color w:val="auto"/>
              </w:rPr>
            </w:pPr>
          </w:p>
        </w:tc>
      </w:tr>
      <w:tr>
        <w:trPr>
          <w:trHeight w:val="311"/>
        </w:trPr>
        <w:tc>
          <w:tcPr>
            <w:tcW w:w="40" w:type="dxa"/>
            <w:vAlign w:val="bottom"/>
          </w:tcPr>
          <w:p>
            <w:pPr>
              <w:spacing w:after="0"/>
              <w:rPr>
                <w:sz w:val="24"/>
                <w:szCs w:val="24"/>
                <w:color w:val="auto"/>
              </w:rPr>
            </w:pPr>
          </w:p>
        </w:tc>
        <w:tc>
          <w:tcPr>
            <w:tcW w:w="77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Long-term debt</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50</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114,693</w:t>
            </w:r>
          </w:p>
        </w:tc>
        <w:tc>
          <w:tcPr>
            <w:tcW w:w="0" w:type="dxa"/>
            <w:vAlign w:val="bottom"/>
          </w:tcPr>
          <w:p>
            <w:pPr>
              <w:spacing w:after="0"/>
              <w:rPr>
                <w:sz w:val="1"/>
                <w:szCs w:val="1"/>
                <w:color w:val="auto"/>
              </w:rPr>
            </w:pPr>
          </w:p>
        </w:tc>
      </w:tr>
      <w:tr>
        <w:trPr>
          <w:trHeight w:val="319"/>
        </w:trPr>
        <w:tc>
          <w:tcPr>
            <w:tcW w:w="40" w:type="dxa"/>
            <w:vAlign w:val="bottom"/>
            <w:shd w:val="clear" w:color="auto" w:fill="D2EEF5"/>
          </w:tcPr>
          <w:p>
            <w:pPr>
              <w:spacing w:after="0"/>
              <w:rPr>
                <w:sz w:val="24"/>
                <w:szCs w:val="24"/>
                <w:color w:val="auto"/>
              </w:rPr>
            </w:pPr>
          </w:p>
        </w:tc>
        <w:tc>
          <w:tcPr>
            <w:tcW w:w="7640" w:type="dxa"/>
            <w:vAlign w:val="bottom"/>
            <w:shd w:val="clear" w:color="auto" w:fill="D2EEF5"/>
          </w:tcPr>
          <w:p>
            <w:pPr>
              <w:spacing w:after="0"/>
              <w:rPr>
                <w:sz w:val="20"/>
                <w:szCs w:val="20"/>
                <w:color w:val="auto"/>
              </w:rPr>
            </w:pPr>
            <w:r>
              <w:rPr>
                <w:rFonts w:ascii="Times New Roman" w:cs="Times New Roman" w:eastAsia="Times New Roman" w:hAnsi="Times New Roman"/>
                <w:sz w:val="20"/>
                <w:szCs w:val="20"/>
                <w:color w:val="auto"/>
              </w:rPr>
              <w:t>Deferred tax liabilities</w:t>
            </w:r>
          </w:p>
        </w:tc>
        <w:tc>
          <w:tcPr>
            <w:tcW w:w="100" w:type="dxa"/>
            <w:vAlign w:val="bottom"/>
            <w:gridSpan w:val="2"/>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8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2,130</w:t>
            </w:r>
          </w:p>
        </w:tc>
        <w:tc>
          <w:tcPr>
            <w:tcW w:w="4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3,047</w:t>
            </w:r>
          </w:p>
        </w:tc>
        <w:tc>
          <w:tcPr>
            <w:tcW w:w="0" w:type="dxa"/>
            <w:vAlign w:val="bottom"/>
          </w:tcPr>
          <w:p>
            <w:pPr>
              <w:spacing w:after="0"/>
              <w:rPr>
                <w:sz w:val="1"/>
                <w:szCs w:val="1"/>
                <w:color w:val="auto"/>
              </w:rPr>
            </w:pPr>
          </w:p>
        </w:tc>
      </w:tr>
      <w:tr>
        <w:trPr>
          <w:trHeight w:val="315"/>
        </w:trPr>
        <w:tc>
          <w:tcPr>
            <w:tcW w:w="40" w:type="dxa"/>
            <w:vAlign w:val="bottom"/>
          </w:tcPr>
          <w:p>
            <w:pPr>
              <w:spacing w:after="0"/>
              <w:rPr>
                <w:sz w:val="24"/>
                <w:szCs w:val="24"/>
                <w:color w:val="auto"/>
              </w:rPr>
            </w:pPr>
          </w:p>
        </w:tc>
        <w:tc>
          <w:tcPr>
            <w:tcW w:w="77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Other long-term liabilities</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4,706</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4,272</w:t>
            </w:r>
          </w:p>
        </w:tc>
        <w:tc>
          <w:tcPr>
            <w:tcW w:w="0" w:type="dxa"/>
            <w:vAlign w:val="bottom"/>
          </w:tcPr>
          <w:p>
            <w:pPr>
              <w:spacing w:after="0"/>
              <w:rPr>
                <w:sz w:val="1"/>
                <w:szCs w:val="1"/>
                <w:color w:val="auto"/>
              </w:rPr>
            </w:pPr>
          </w:p>
        </w:tc>
      </w:tr>
      <w:tr>
        <w:trPr>
          <w:trHeight w:val="294"/>
        </w:trPr>
        <w:tc>
          <w:tcPr>
            <w:tcW w:w="40" w:type="dxa"/>
            <w:vAlign w:val="bottom"/>
            <w:tcBorders>
              <w:bottom w:val="single" w:sz="8" w:color="D2EEF5"/>
            </w:tcBorders>
            <w:shd w:val="clear" w:color="auto" w:fill="D2EEF5"/>
          </w:tcPr>
          <w:p>
            <w:pPr>
              <w:spacing w:after="0"/>
              <w:rPr>
                <w:sz w:val="24"/>
                <w:szCs w:val="24"/>
                <w:color w:val="auto"/>
              </w:rPr>
            </w:pPr>
          </w:p>
        </w:tc>
        <w:tc>
          <w:tcPr>
            <w:tcW w:w="7640" w:type="dxa"/>
            <w:vAlign w:val="bottom"/>
            <w:tcBorders>
              <w:bottom w:val="single" w:sz="8" w:color="D2EEF5"/>
            </w:tcBorders>
            <w:shd w:val="clear" w:color="auto" w:fill="D2EEF5"/>
          </w:tcPr>
          <w:p>
            <w:pPr>
              <w:ind w:left="360"/>
              <w:spacing w:after="0"/>
              <w:rPr>
                <w:sz w:val="20"/>
                <w:szCs w:val="20"/>
                <w:color w:val="auto"/>
              </w:rPr>
            </w:pPr>
            <w:r>
              <w:rPr>
                <w:rFonts w:ascii="Times New Roman" w:cs="Times New Roman" w:eastAsia="Times New Roman" w:hAnsi="Times New Roman"/>
                <w:sz w:val="20"/>
                <w:szCs w:val="20"/>
                <w:b w:val="1"/>
                <w:bCs w:val="1"/>
                <w:color w:val="auto"/>
              </w:rPr>
              <w:t>Total liabilities</w:t>
            </w:r>
          </w:p>
        </w:tc>
        <w:tc>
          <w:tcPr>
            <w:tcW w:w="60" w:type="dxa"/>
            <w:vAlign w:val="bottom"/>
            <w:tcBorders>
              <w:bottom w:val="single" w:sz="8" w:color="D2EEF5"/>
            </w:tcBorders>
            <w:shd w:val="clear" w:color="auto" w:fill="D2EEF5"/>
          </w:tcPr>
          <w:p>
            <w:pPr>
              <w:spacing w:after="0"/>
              <w:rPr>
                <w:sz w:val="24"/>
                <w:szCs w:val="24"/>
                <w:color w:val="auto"/>
              </w:rPr>
            </w:pPr>
          </w:p>
        </w:tc>
        <w:tc>
          <w:tcPr>
            <w:tcW w:w="40" w:type="dxa"/>
            <w:vAlign w:val="bottom"/>
            <w:tcBorders>
              <w:top w:val="single" w:sz="8" w:color="D2EEF5"/>
              <w:bottom w:val="single" w:sz="8" w:color="D2EEF5"/>
            </w:tcBorders>
            <w:shd w:val="clear" w:color="auto" w:fill="D2EEF5"/>
          </w:tcPr>
          <w:p>
            <w:pPr>
              <w:spacing w:after="0"/>
              <w:rPr>
                <w:sz w:val="24"/>
                <w:szCs w:val="24"/>
                <w:color w:val="auto"/>
              </w:rPr>
            </w:pPr>
          </w:p>
        </w:tc>
        <w:tc>
          <w:tcPr>
            <w:tcW w:w="20" w:type="dxa"/>
            <w:vAlign w:val="bottom"/>
            <w:tcBorders>
              <w:top w:val="single" w:sz="8" w:color="D2EEF5"/>
              <w:bottom w:val="single" w:sz="8" w:color="D2EEF5"/>
            </w:tcBorders>
            <w:shd w:val="clear" w:color="auto" w:fill="D2EEF5"/>
          </w:tcPr>
          <w:p>
            <w:pPr>
              <w:spacing w:after="0"/>
              <w:rPr>
                <w:sz w:val="24"/>
                <w:szCs w:val="24"/>
                <w:color w:val="auto"/>
              </w:rPr>
            </w:pPr>
          </w:p>
        </w:tc>
        <w:tc>
          <w:tcPr>
            <w:tcW w:w="220" w:type="dxa"/>
            <w:vAlign w:val="bottom"/>
            <w:tcBorders>
              <w:top w:val="single" w:sz="8" w:color="auto"/>
              <w:bottom w:val="single" w:sz="8" w:color="auto"/>
            </w:tcBorders>
            <w:shd w:val="clear" w:color="auto" w:fill="D2EEF5"/>
          </w:tcPr>
          <w:p>
            <w:pPr>
              <w:spacing w:after="0"/>
              <w:rPr>
                <w:sz w:val="24"/>
                <w:szCs w:val="24"/>
                <w:color w:val="auto"/>
              </w:rPr>
            </w:pPr>
          </w:p>
        </w:tc>
        <w:tc>
          <w:tcPr>
            <w:tcW w:w="880" w:type="dxa"/>
            <w:vAlign w:val="bottom"/>
            <w:tcBorders>
              <w:top w:val="single" w:sz="8" w:color="auto"/>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187,100</w:t>
            </w:r>
          </w:p>
        </w:tc>
        <w:tc>
          <w:tcPr>
            <w:tcW w:w="40" w:type="dxa"/>
            <w:vAlign w:val="bottom"/>
            <w:tcBorders>
              <w:top w:val="single" w:sz="8" w:color="D2EEF5"/>
            </w:tcBorders>
            <w:shd w:val="clear" w:color="auto" w:fill="D2EEF5"/>
          </w:tcPr>
          <w:p>
            <w:pPr>
              <w:spacing w:after="0"/>
              <w:rPr>
                <w:sz w:val="24"/>
                <w:szCs w:val="24"/>
                <w:color w:val="auto"/>
              </w:rPr>
            </w:pPr>
          </w:p>
        </w:tc>
        <w:tc>
          <w:tcPr>
            <w:tcW w:w="20" w:type="dxa"/>
            <w:vAlign w:val="bottom"/>
            <w:tcBorders>
              <w:top w:val="single" w:sz="8" w:color="D2EEF5"/>
            </w:tcBorders>
            <w:shd w:val="clear" w:color="auto" w:fill="D2EEF5"/>
          </w:tcPr>
          <w:p>
            <w:pPr>
              <w:spacing w:after="0"/>
              <w:rPr>
                <w:sz w:val="24"/>
                <w:szCs w:val="24"/>
                <w:color w:val="auto"/>
              </w:rPr>
            </w:pPr>
          </w:p>
        </w:tc>
        <w:tc>
          <w:tcPr>
            <w:tcW w:w="220" w:type="dxa"/>
            <w:vAlign w:val="bottom"/>
            <w:tcBorders>
              <w:top w:val="single" w:sz="8" w:color="auto"/>
              <w:bottom w:val="single" w:sz="8" w:color="auto"/>
            </w:tcBorders>
            <w:shd w:val="clear" w:color="auto" w:fill="D2EEF5"/>
          </w:tcPr>
          <w:p>
            <w:pPr>
              <w:spacing w:after="0"/>
              <w:rPr>
                <w:sz w:val="24"/>
                <w:szCs w:val="24"/>
                <w:color w:val="auto"/>
              </w:rPr>
            </w:pPr>
          </w:p>
        </w:tc>
        <w:tc>
          <w:tcPr>
            <w:tcW w:w="860" w:type="dxa"/>
            <w:vAlign w:val="bottom"/>
            <w:tcBorders>
              <w:top w:val="single" w:sz="8" w:color="auto"/>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202,382</w:t>
            </w: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77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Commitments and contingencies (Note 15)</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40" w:type="dxa"/>
            <w:vAlign w:val="bottom"/>
            <w:shd w:val="clear" w:color="auto" w:fill="D2EEF5"/>
          </w:tcPr>
          <w:p>
            <w:pPr>
              <w:spacing w:after="0"/>
              <w:rPr>
                <w:sz w:val="24"/>
                <w:szCs w:val="24"/>
                <w:color w:val="auto"/>
              </w:rPr>
            </w:pPr>
          </w:p>
        </w:tc>
        <w:tc>
          <w:tcPr>
            <w:tcW w:w="7640" w:type="dxa"/>
            <w:vAlign w:val="bottom"/>
            <w:shd w:val="clear" w:color="auto" w:fill="D2EEF5"/>
          </w:tcPr>
          <w:p>
            <w:pPr>
              <w:spacing w:after="0"/>
              <w:rPr>
                <w:sz w:val="20"/>
                <w:szCs w:val="20"/>
                <w:color w:val="auto"/>
              </w:rPr>
            </w:pPr>
            <w:r>
              <w:rPr>
                <w:rFonts w:ascii="Times New Roman" w:cs="Times New Roman" w:eastAsia="Times New Roman" w:hAnsi="Times New Roman"/>
                <w:sz w:val="20"/>
                <w:szCs w:val="20"/>
                <w:b w:val="1"/>
                <w:bCs w:val="1"/>
                <w:color w:val="auto"/>
              </w:rPr>
              <w:t>Stockholders’ (deficit) equity</w:t>
            </w:r>
          </w:p>
        </w:tc>
        <w:tc>
          <w:tcPr>
            <w:tcW w:w="60" w:type="dxa"/>
            <w:vAlign w:val="bottom"/>
            <w:shd w:val="clear" w:color="auto" w:fill="D2EEF5"/>
          </w:tcPr>
          <w:p>
            <w:pPr>
              <w:spacing w:after="0"/>
              <w:rPr>
                <w:sz w:val="24"/>
                <w:szCs w:val="24"/>
                <w:color w:val="auto"/>
              </w:rPr>
            </w:pPr>
          </w:p>
        </w:tc>
        <w:tc>
          <w:tcPr>
            <w:tcW w:w="4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880" w:type="dxa"/>
            <w:vAlign w:val="bottom"/>
            <w:shd w:val="clear" w:color="auto" w:fill="D2EEF5"/>
          </w:tcPr>
          <w:p>
            <w:pPr>
              <w:spacing w:after="0"/>
              <w:rPr>
                <w:sz w:val="24"/>
                <w:szCs w:val="24"/>
                <w:color w:val="auto"/>
              </w:rPr>
            </w:pPr>
          </w:p>
        </w:tc>
        <w:tc>
          <w:tcPr>
            <w:tcW w:w="4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860" w:type="dxa"/>
            <w:vAlign w:val="bottom"/>
            <w:shd w:val="clear" w:color="auto" w:fill="D2EEF5"/>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7760" w:type="dxa"/>
            <w:vAlign w:val="bottom"/>
            <w:gridSpan w:val="4"/>
          </w:tcPr>
          <w:p>
            <w:pPr>
              <w:ind w:left="140"/>
              <w:spacing w:after="0" w:line="210" w:lineRule="exact"/>
              <w:rPr>
                <w:sz w:val="20"/>
                <w:szCs w:val="20"/>
                <w:color w:val="auto"/>
              </w:rPr>
            </w:pPr>
            <w:r>
              <w:rPr>
                <w:rFonts w:ascii="Times New Roman" w:cs="Times New Roman" w:eastAsia="Times New Roman" w:hAnsi="Times New Roman"/>
                <w:sz w:val="20"/>
                <w:szCs w:val="20"/>
                <w:color w:val="auto"/>
              </w:rPr>
              <w:t>Common stock ($0.0001 par value; 300,000,000 shares authorized; 4,667,004 and 4,614,279</w:t>
            </w:r>
          </w:p>
        </w:tc>
        <w:tc>
          <w:tcPr>
            <w:tcW w:w="22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7760" w:type="dxa"/>
            <w:vAlign w:val="bottom"/>
            <w:gridSpan w:val="4"/>
          </w:tcPr>
          <w:p>
            <w:pPr>
              <w:ind w:left="140"/>
              <w:spacing w:after="0"/>
              <w:rPr>
                <w:sz w:val="20"/>
                <w:szCs w:val="20"/>
                <w:color w:val="auto"/>
              </w:rPr>
            </w:pPr>
            <w:r>
              <w:rPr>
                <w:rFonts w:ascii="Times New Roman" w:cs="Times New Roman" w:eastAsia="Times New Roman" w:hAnsi="Times New Roman"/>
                <w:sz w:val="20"/>
                <w:szCs w:val="20"/>
                <w:color w:val="auto"/>
              </w:rPr>
              <w:t>shares issued and outstanding at December 31, 2025, and December 31, 2024, respectively)</w:t>
            </w:r>
          </w:p>
        </w:tc>
        <w:tc>
          <w:tcPr>
            <w:tcW w:w="22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14"/>
        </w:trPr>
        <w:tc>
          <w:tcPr>
            <w:tcW w:w="40" w:type="dxa"/>
            <w:vAlign w:val="bottom"/>
            <w:shd w:val="clear" w:color="auto" w:fill="D2EEF5"/>
          </w:tcPr>
          <w:p>
            <w:pPr>
              <w:spacing w:after="0"/>
              <w:rPr>
                <w:sz w:val="24"/>
                <w:szCs w:val="24"/>
                <w:color w:val="auto"/>
              </w:rPr>
            </w:pPr>
          </w:p>
        </w:tc>
        <w:tc>
          <w:tcPr>
            <w:tcW w:w="7640" w:type="dxa"/>
            <w:vAlign w:val="bottom"/>
            <w:shd w:val="clear" w:color="auto" w:fill="D2EEF5"/>
          </w:tcPr>
          <w:p>
            <w:pPr>
              <w:ind w:left="140"/>
              <w:spacing w:after="0"/>
              <w:rPr>
                <w:sz w:val="20"/>
                <w:szCs w:val="20"/>
                <w:color w:val="auto"/>
              </w:rPr>
            </w:pPr>
            <w:r>
              <w:rPr>
                <w:rFonts w:ascii="Times New Roman" w:cs="Times New Roman" w:eastAsia="Times New Roman" w:hAnsi="Times New Roman"/>
                <w:sz w:val="20"/>
                <w:szCs w:val="20"/>
                <w:color w:val="auto"/>
              </w:rPr>
              <w:t>Additional paid-in capital</w:t>
            </w:r>
          </w:p>
        </w:tc>
        <w:tc>
          <w:tcPr>
            <w:tcW w:w="100" w:type="dxa"/>
            <w:vAlign w:val="bottom"/>
            <w:gridSpan w:val="2"/>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8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791,227</w:t>
            </w:r>
          </w:p>
        </w:tc>
        <w:tc>
          <w:tcPr>
            <w:tcW w:w="4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790,094</w:t>
            </w:r>
          </w:p>
        </w:tc>
        <w:tc>
          <w:tcPr>
            <w:tcW w:w="0" w:type="dxa"/>
            <w:vAlign w:val="bottom"/>
          </w:tcPr>
          <w:p>
            <w:pPr>
              <w:spacing w:after="0"/>
              <w:rPr>
                <w:sz w:val="1"/>
                <w:szCs w:val="1"/>
                <w:color w:val="auto"/>
              </w:rPr>
            </w:pPr>
          </w:p>
        </w:tc>
      </w:tr>
      <w:tr>
        <w:trPr>
          <w:trHeight w:val="311"/>
        </w:trPr>
        <w:tc>
          <w:tcPr>
            <w:tcW w:w="40" w:type="dxa"/>
            <w:vAlign w:val="bottom"/>
          </w:tcPr>
          <w:p>
            <w:pPr>
              <w:spacing w:after="0"/>
              <w:rPr>
                <w:sz w:val="24"/>
                <w:szCs w:val="24"/>
                <w:color w:val="auto"/>
              </w:rPr>
            </w:pPr>
          </w:p>
        </w:tc>
        <w:tc>
          <w:tcPr>
            <w:tcW w:w="7760" w:type="dxa"/>
            <w:vAlign w:val="bottom"/>
            <w:gridSpan w:val="4"/>
          </w:tcPr>
          <w:p>
            <w:pPr>
              <w:ind w:left="140"/>
              <w:spacing w:after="0"/>
              <w:rPr>
                <w:sz w:val="20"/>
                <w:szCs w:val="20"/>
                <w:color w:val="auto"/>
              </w:rPr>
            </w:pPr>
            <w:r>
              <w:rPr>
                <w:rFonts w:ascii="Times New Roman" w:cs="Times New Roman" w:eastAsia="Times New Roman" w:hAnsi="Times New Roman"/>
                <w:sz w:val="20"/>
                <w:szCs w:val="20"/>
                <w:color w:val="auto"/>
              </w:rPr>
              <w:t>Accumulated other comprehensive loss</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(7,272)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(8,911)</w:t>
            </w:r>
          </w:p>
        </w:tc>
        <w:tc>
          <w:tcPr>
            <w:tcW w:w="0" w:type="dxa"/>
            <w:vAlign w:val="bottom"/>
          </w:tcPr>
          <w:p>
            <w:pPr>
              <w:spacing w:after="0"/>
              <w:rPr>
                <w:sz w:val="1"/>
                <w:szCs w:val="1"/>
                <w:color w:val="auto"/>
              </w:rPr>
            </w:pPr>
          </w:p>
        </w:tc>
      </w:tr>
      <w:tr>
        <w:trPr>
          <w:trHeight w:val="318"/>
        </w:trPr>
        <w:tc>
          <w:tcPr>
            <w:tcW w:w="40" w:type="dxa"/>
            <w:vAlign w:val="bottom"/>
            <w:tcBorders>
              <w:bottom w:val="single" w:sz="8" w:color="D2EEF5"/>
            </w:tcBorders>
            <w:shd w:val="clear" w:color="auto" w:fill="D2EEF5"/>
          </w:tcPr>
          <w:p>
            <w:pPr>
              <w:spacing w:after="0"/>
              <w:rPr>
                <w:sz w:val="24"/>
                <w:szCs w:val="24"/>
                <w:color w:val="auto"/>
              </w:rPr>
            </w:pPr>
          </w:p>
        </w:tc>
        <w:tc>
          <w:tcPr>
            <w:tcW w:w="7640" w:type="dxa"/>
            <w:vAlign w:val="bottom"/>
            <w:tcBorders>
              <w:bottom w:val="single" w:sz="8" w:color="D2EEF5"/>
            </w:tcBorders>
            <w:shd w:val="clear" w:color="auto" w:fill="D2EEF5"/>
          </w:tcPr>
          <w:p>
            <w:pPr>
              <w:ind w:left="140"/>
              <w:spacing w:after="0"/>
              <w:rPr>
                <w:sz w:val="20"/>
                <w:szCs w:val="20"/>
                <w:color w:val="auto"/>
              </w:rPr>
            </w:pPr>
            <w:r>
              <w:rPr>
                <w:rFonts w:ascii="Times New Roman" w:cs="Times New Roman" w:eastAsia="Times New Roman" w:hAnsi="Times New Roman"/>
                <w:sz w:val="20"/>
                <w:szCs w:val="20"/>
                <w:color w:val="auto"/>
              </w:rPr>
              <w:t>Accumulated deficit</w:t>
            </w:r>
          </w:p>
        </w:tc>
        <w:tc>
          <w:tcPr>
            <w:tcW w:w="100" w:type="dxa"/>
            <w:vAlign w:val="bottom"/>
            <w:tcBorders>
              <w:bottom w:val="single" w:sz="8" w:color="D2EEF5"/>
            </w:tcBorders>
            <w:gridSpan w:val="2"/>
            <w:shd w:val="clear" w:color="auto" w:fill="D2EEF5"/>
          </w:tcPr>
          <w:p>
            <w:pPr>
              <w:spacing w:after="0"/>
              <w:rPr>
                <w:sz w:val="24"/>
                <w:szCs w:val="24"/>
                <w:color w:val="auto"/>
              </w:rPr>
            </w:pPr>
          </w:p>
        </w:tc>
        <w:tc>
          <w:tcPr>
            <w:tcW w:w="20" w:type="dxa"/>
            <w:vAlign w:val="bottom"/>
            <w:tcBorders>
              <w:bottom w:val="single" w:sz="8" w:color="D2EEF5"/>
            </w:tcBorders>
            <w:shd w:val="clear" w:color="auto" w:fill="D2EEF5"/>
          </w:tcPr>
          <w:p>
            <w:pPr>
              <w:spacing w:after="0"/>
              <w:rPr>
                <w:sz w:val="24"/>
                <w:szCs w:val="24"/>
                <w:color w:val="auto"/>
              </w:rPr>
            </w:pPr>
          </w:p>
        </w:tc>
        <w:tc>
          <w:tcPr>
            <w:tcW w:w="220" w:type="dxa"/>
            <w:vAlign w:val="bottom"/>
            <w:tcBorders>
              <w:bottom w:val="single" w:sz="8" w:color="auto"/>
            </w:tcBorders>
            <w:shd w:val="clear" w:color="auto" w:fill="D2EEF5"/>
          </w:tcPr>
          <w:p>
            <w:pPr>
              <w:spacing w:after="0"/>
              <w:rPr>
                <w:sz w:val="24"/>
                <w:szCs w:val="24"/>
                <w:color w:val="auto"/>
              </w:rPr>
            </w:pPr>
          </w:p>
        </w:tc>
        <w:tc>
          <w:tcPr>
            <w:tcW w:w="8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(847,251)</w:t>
            </w:r>
          </w:p>
        </w:tc>
        <w:tc>
          <w:tcPr>
            <w:tcW w:w="40" w:type="dxa"/>
            <w:vAlign w:val="bottom"/>
            <w:tcBorders>
              <w:bottom w:val="single" w:sz="8" w:color="D2EEF5"/>
            </w:tcBorders>
            <w:shd w:val="clear" w:color="auto" w:fill="D2EEF5"/>
          </w:tcPr>
          <w:p>
            <w:pPr>
              <w:spacing w:after="0"/>
              <w:rPr>
                <w:sz w:val="24"/>
                <w:szCs w:val="24"/>
                <w:color w:val="auto"/>
              </w:rPr>
            </w:pPr>
          </w:p>
        </w:tc>
        <w:tc>
          <w:tcPr>
            <w:tcW w:w="20" w:type="dxa"/>
            <w:vAlign w:val="bottom"/>
            <w:tcBorders>
              <w:bottom w:val="single" w:sz="8" w:color="D2EEF5"/>
            </w:tcBorders>
            <w:shd w:val="clear" w:color="auto" w:fill="D2EEF5"/>
          </w:tcPr>
          <w:p>
            <w:pPr>
              <w:spacing w:after="0"/>
              <w:rPr>
                <w:sz w:val="24"/>
                <w:szCs w:val="24"/>
                <w:color w:val="auto"/>
              </w:rPr>
            </w:pPr>
          </w:p>
        </w:tc>
        <w:tc>
          <w:tcPr>
            <w:tcW w:w="220" w:type="dxa"/>
            <w:vAlign w:val="bottom"/>
            <w:tcBorders>
              <w:bottom w:val="single" w:sz="8" w:color="auto"/>
            </w:tcBorders>
            <w:shd w:val="clear" w:color="auto" w:fill="D2EEF5"/>
          </w:tcPr>
          <w:p>
            <w:pPr>
              <w:spacing w:after="0"/>
              <w:rPr>
                <w:sz w:val="24"/>
                <w:szCs w:val="24"/>
                <w:color w:val="auto"/>
              </w:rPr>
            </w:pPr>
          </w:p>
        </w:tc>
        <w:tc>
          <w:tcPr>
            <w:tcW w:w="8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(557,461)</w:t>
            </w:r>
          </w:p>
        </w:tc>
        <w:tc>
          <w:tcPr>
            <w:tcW w:w="0" w:type="dxa"/>
            <w:vAlign w:val="bottom"/>
          </w:tcPr>
          <w:p>
            <w:pPr>
              <w:spacing w:after="0"/>
              <w:rPr>
                <w:sz w:val="1"/>
                <w:szCs w:val="1"/>
                <w:color w:val="auto"/>
              </w:rPr>
            </w:pPr>
          </w:p>
        </w:tc>
      </w:tr>
      <w:tr>
        <w:trPr>
          <w:trHeight w:val="296"/>
        </w:trPr>
        <w:tc>
          <w:tcPr>
            <w:tcW w:w="40" w:type="dxa"/>
            <w:vAlign w:val="bottom"/>
            <w:tcBorders>
              <w:bottom w:val="single" w:sz="8" w:color="D2EEF5"/>
            </w:tcBorders>
          </w:tcPr>
          <w:p>
            <w:pPr>
              <w:spacing w:after="0"/>
              <w:rPr>
                <w:sz w:val="24"/>
                <w:szCs w:val="24"/>
                <w:color w:val="auto"/>
              </w:rPr>
            </w:pPr>
          </w:p>
        </w:tc>
        <w:tc>
          <w:tcPr>
            <w:tcW w:w="7760" w:type="dxa"/>
            <w:vAlign w:val="bottom"/>
            <w:tcBorders>
              <w:bottom w:val="single" w:sz="8" w:color="D2EEF5"/>
            </w:tcBorders>
            <w:gridSpan w:val="4"/>
          </w:tcPr>
          <w:p>
            <w:pPr>
              <w:ind w:left="720"/>
              <w:spacing w:after="0"/>
              <w:rPr>
                <w:sz w:val="20"/>
                <w:szCs w:val="20"/>
                <w:color w:val="auto"/>
              </w:rPr>
            </w:pPr>
            <w:r>
              <w:rPr>
                <w:rFonts w:ascii="Times New Roman" w:cs="Times New Roman" w:eastAsia="Times New Roman" w:hAnsi="Times New Roman"/>
                <w:sz w:val="20"/>
                <w:szCs w:val="20"/>
                <w:b w:val="1"/>
                <w:bCs w:val="1"/>
                <w:color w:val="auto"/>
              </w:rPr>
              <w:t>Total stockholders’ (deficit) equity</w:t>
            </w: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(63,296)</w:t>
            </w:r>
          </w:p>
        </w:tc>
        <w:tc>
          <w:tcPr>
            <w:tcW w:w="40" w:type="dxa"/>
            <w:vAlign w:val="bottom"/>
            <w:tcBorders>
              <w:bottom w:val="single" w:sz="8" w:color="D2EEF5"/>
            </w:tcBorders>
          </w:tcPr>
          <w:p>
            <w:pPr>
              <w:spacing w:after="0"/>
              <w:rPr>
                <w:sz w:val="24"/>
                <w:szCs w:val="24"/>
                <w:color w:val="auto"/>
              </w:rPr>
            </w:pPr>
          </w:p>
        </w:tc>
        <w:tc>
          <w:tcPr>
            <w:tcW w:w="20" w:type="dxa"/>
            <w:vAlign w:val="bottom"/>
            <w:tcBorders>
              <w:bottom w:val="single" w:sz="8" w:color="D2EEF5"/>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223,722</w:t>
            </w:r>
          </w:p>
        </w:tc>
        <w:tc>
          <w:tcPr>
            <w:tcW w:w="0" w:type="dxa"/>
            <w:vAlign w:val="bottom"/>
          </w:tcPr>
          <w:p>
            <w:pPr>
              <w:spacing w:after="0"/>
              <w:rPr>
                <w:sz w:val="1"/>
                <w:szCs w:val="1"/>
                <w:color w:val="auto"/>
              </w:rPr>
            </w:pPr>
          </w:p>
        </w:tc>
      </w:tr>
      <w:tr>
        <w:trPr>
          <w:trHeight w:val="297"/>
        </w:trPr>
        <w:tc>
          <w:tcPr>
            <w:tcW w:w="40" w:type="dxa"/>
            <w:vAlign w:val="bottom"/>
            <w:shd w:val="clear" w:color="auto" w:fill="D2EEF5"/>
          </w:tcPr>
          <w:p>
            <w:pPr>
              <w:spacing w:after="0"/>
              <w:rPr>
                <w:sz w:val="24"/>
                <w:szCs w:val="24"/>
                <w:color w:val="auto"/>
              </w:rPr>
            </w:pPr>
          </w:p>
        </w:tc>
        <w:tc>
          <w:tcPr>
            <w:tcW w:w="7640" w:type="dxa"/>
            <w:vAlign w:val="bottom"/>
            <w:shd w:val="clear" w:color="auto" w:fill="D2EEF5"/>
          </w:tcPr>
          <w:p>
            <w:pPr>
              <w:ind w:left="720"/>
              <w:spacing w:after="0"/>
              <w:rPr>
                <w:sz w:val="20"/>
                <w:szCs w:val="20"/>
                <w:color w:val="auto"/>
              </w:rPr>
            </w:pPr>
            <w:r>
              <w:rPr>
                <w:rFonts w:ascii="Times New Roman" w:cs="Times New Roman" w:eastAsia="Times New Roman" w:hAnsi="Times New Roman"/>
                <w:sz w:val="20"/>
                <w:szCs w:val="20"/>
                <w:b w:val="1"/>
                <w:bCs w:val="1"/>
                <w:color w:val="auto"/>
              </w:rPr>
              <w:t>Total liabilities and stockholders’ (deficit) equity</w:t>
            </w:r>
          </w:p>
        </w:tc>
        <w:tc>
          <w:tcPr>
            <w:tcW w:w="100" w:type="dxa"/>
            <w:vAlign w:val="bottom"/>
            <w:gridSpan w:val="2"/>
            <w:shd w:val="clear" w:color="auto" w:fill="D2EEF5"/>
          </w:tcPr>
          <w:p>
            <w:pPr>
              <w:spacing w:after="0"/>
              <w:rPr>
                <w:sz w:val="24"/>
                <w:szCs w:val="24"/>
                <w:color w:val="auto"/>
              </w:rPr>
            </w:pPr>
          </w:p>
        </w:tc>
        <w:tc>
          <w:tcPr>
            <w:tcW w:w="20" w:type="dxa"/>
            <w:vAlign w:val="bottom"/>
            <w:tcBorders>
              <w:bottom w:val="single" w:sz="8" w:color="auto"/>
            </w:tcBorders>
            <w:shd w:val="clear" w:color="auto" w:fill="D2EEF5"/>
          </w:tcPr>
          <w:p>
            <w:pPr>
              <w:spacing w:after="0"/>
              <w:rPr>
                <w:sz w:val="24"/>
                <w:szCs w:val="24"/>
                <w:color w:val="auto"/>
              </w:rPr>
            </w:pPr>
          </w:p>
        </w:tc>
        <w:tc>
          <w:tcPr>
            <w:tcW w:w="2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123,804</w:t>
            </w:r>
          </w:p>
        </w:tc>
        <w:tc>
          <w:tcPr>
            <w:tcW w:w="40" w:type="dxa"/>
            <w:vAlign w:val="bottom"/>
            <w:shd w:val="clear" w:color="auto" w:fill="D2EEF5"/>
          </w:tcPr>
          <w:p>
            <w:pPr>
              <w:spacing w:after="0"/>
              <w:rPr>
                <w:sz w:val="24"/>
                <w:szCs w:val="24"/>
                <w:color w:val="auto"/>
              </w:rPr>
            </w:pPr>
          </w:p>
        </w:tc>
        <w:tc>
          <w:tcPr>
            <w:tcW w:w="20" w:type="dxa"/>
            <w:vAlign w:val="bottom"/>
            <w:tcBorders>
              <w:bottom w:val="single" w:sz="8" w:color="auto"/>
            </w:tcBorders>
            <w:shd w:val="clear" w:color="auto" w:fill="D2EEF5"/>
          </w:tcPr>
          <w:p>
            <w:pPr>
              <w:spacing w:after="0"/>
              <w:rPr>
                <w:sz w:val="24"/>
                <w:szCs w:val="24"/>
                <w:color w:val="auto"/>
              </w:rPr>
            </w:pPr>
          </w:p>
        </w:tc>
        <w:tc>
          <w:tcPr>
            <w:tcW w:w="2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426,104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60325</wp:posOffset>
                </wp:positionH>
                <wp:positionV relativeFrom="paragraph">
                  <wp:posOffset>-431165</wp:posOffset>
                </wp:positionV>
                <wp:extent cx="4953000"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53000" cy="4763"/>
                        </a:xfrm>
                        <a:prstGeom prst="line">
                          <a:avLst/>
                        </a:prstGeom>
                        <a:solidFill>
                          <a:srgbClr val="FFFFFF"/>
                        </a:solidFill>
                        <a:ln w="12955">
                          <a:solidFill>
                            <a:srgbClr val="FFFFFF"/>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5pt,-33.9499pt" to="394.75pt,-33.9499pt" o:allowincell="f" strokecolor="#FFFFFF" strokeweight="1.0201pt"/>
            </w:pict>
          </mc:Fallback>
        </mc:AlternateContent>
        <mc:AlternateContent>
          <mc:Choice Requires="wps">
            <w:drawing>
              <wp:anchor simplePos="0" relativeHeight="251657728" behindDoc="1" locked="0" layoutInCell="0" allowOverlap="1">
                <wp:simplePos x="0" y="0"/>
                <wp:positionH relativeFrom="column">
                  <wp:posOffset>5727700</wp:posOffset>
                </wp:positionH>
                <wp:positionV relativeFrom="paragraph">
                  <wp:posOffset>-438150</wp:posOffset>
                </wp:positionV>
                <wp:extent cx="0" cy="20066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0660"/>
                        </a:xfrm>
                        <a:prstGeom prst="line">
                          <a:avLst/>
                        </a:prstGeom>
                        <a:solidFill>
                          <a:srgbClr val="FFFFFF"/>
                        </a:solidFill>
                        <a:ln w="38100">
                          <a:solidFill>
                            <a:srgbClr val="FFFFFF"/>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1pt,-34.4999pt" to="451pt,-18.6999pt" o:allowincell="f" strokecolor="#FFFFFF" strokeweight="3pt"/>
            </w:pict>
          </mc:Fallback>
        </mc:AlternateContent>
        <mc:AlternateContent>
          <mc:Choice Requires="wps">
            <w:drawing>
              <wp:anchor simplePos="0" relativeHeight="251657728" behindDoc="1" locked="0" layoutInCell="0" allowOverlap="1">
                <wp:simplePos x="0" y="0"/>
                <wp:positionH relativeFrom="column">
                  <wp:posOffset>5013325</wp:posOffset>
                </wp:positionH>
                <wp:positionV relativeFrom="paragraph">
                  <wp:posOffset>-425450</wp:posOffset>
                </wp:positionV>
                <wp:extent cx="1428750"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28750"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4.75pt,-33.4999pt" to="507.25pt,-33.4999pt" o:allowincell="f" strokecolor="#FFFFFF" strokeweight="0.06pt"/>
            </w:pict>
          </mc:Fallback>
        </mc:AlternateContent>
      </w:r>
    </w:p>
    <w:p>
      <w:pPr>
        <w:spacing w:after="0" w:line="13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 consolidated financial statements.</w:t>
      </w:r>
    </w:p>
    <w:p>
      <w:pPr>
        <w:sectPr>
          <w:pgSz w:w="12240" w:h="15840" w:orient="portrait"/>
          <w:cols w:equalWidth="0" w:num="1">
            <w:col w:w="10140"/>
          </w:cols>
          <w:pgMar w:left="1000" w:top="430"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10140"/>
          </w:cols>
          <w:pgMar w:left="1000" w:top="430" w:right="1100" w:bottom="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7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4"/>
          <w:szCs w:val="24"/>
          <w:b w:val="1"/>
          <w:bCs w:val="1"/>
          <w:color w:val="auto"/>
        </w:rPr>
        <w:t>Hydrofarm Holdings Group, Inc.</w:t>
      </w:r>
    </w:p>
    <w:p>
      <w:pPr>
        <w:spacing w:after="0" w:line="20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spacing w:after="0" w:line="7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pacing w:after="0" w:line="166" w:lineRule="exact"/>
        <w:rPr>
          <w:sz w:val="20"/>
          <w:szCs w:val="20"/>
          <w:color w:val="auto"/>
        </w:rPr>
      </w:pPr>
    </w:p>
    <w:tbl>
      <w:tblPr>
        <w:tblLayout w:type="fixed"/>
        <w:tblInd w:w="240" w:type="dxa"/>
        <w:tblCellMar>
          <w:top w:w="0" w:type="dxa"/>
          <w:left w:w="0" w:type="dxa"/>
          <w:bottom w:w="0" w:type="dxa"/>
          <w:right w:w="0" w:type="dxa"/>
        </w:tblCellMar>
      </w:tblPr>
      <w:tr>
        <w:trPr>
          <w:trHeight w:val="282"/>
        </w:trPr>
        <w:tc>
          <w:tcPr>
            <w:tcW w:w="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w w:val="99"/>
              </w:rPr>
              <w:t>Years ended December 31,</w:t>
            </w:r>
          </w:p>
        </w:tc>
      </w:tr>
      <w:tr>
        <w:trPr>
          <w:trHeight w:val="266"/>
        </w:trPr>
        <w:tc>
          <w:tcPr>
            <w:tcW w:w="60" w:type="dxa"/>
            <w:vAlign w:val="bottom"/>
          </w:tcPr>
          <w:p>
            <w:pPr>
              <w:spacing w:after="0"/>
              <w:rPr>
                <w:sz w:val="23"/>
                <w:szCs w:val="23"/>
                <w:color w:val="auto"/>
              </w:rPr>
            </w:pPr>
          </w:p>
        </w:tc>
        <w:tc>
          <w:tcPr>
            <w:tcW w:w="6960" w:type="dxa"/>
            <w:vAlign w:val="bottom"/>
          </w:tcPr>
          <w:p>
            <w:pPr>
              <w:spacing w:after="0"/>
              <w:rPr>
                <w:sz w:val="23"/>
                <w:szCs w:val="23"/>
                <w:color w:val="auto"/>
              </w:rPr>
            </w:pPr>
          </w:p>
        </w:tc>
        <w:tc>
          <w:tcPr>
            <w:tcW w:w="80" w:type="dxa"/>
            <w:vAlign w:val="bottom"/>
            <w:tcBorders>
              <w:bottom w:val="single" w:sz="8" w:color="D2EEF5"/>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Borders>
              <w:bottom w:val="single" w:sz="8" w:color="D2EEF5"/>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64"/>
        </w:trPr>
        <w:tc>
          <w:tcPr>
            <w:tcW w:w="60" w:type="dxa"/>
            <w:vAlign w:val="bottom"/>
            <w:shd w:val="clear" w:color="auto" w:fill="D2EEF5"/>
          </w:tcPr>
          <w:p>
            <w:pPr>
              <w:spacing w:after="0"/>
              <w:rPr>
                <w:sz w:val="22"/>
                <w:szCs w:val="22"/>
                <w:color w:val="auto"/>
              </w:rPr>
            </w:pPr>
          </w:p>
        </w:tc>
        <w:tc>
          <w:tcPr>
            <w:tcW w:w="6960" w:type="dxa"/>
            <w:vAlign w:val="bottom"/>
            <w:shd w:val="clear" w:color="auto" w:fill="D2EEF5"/>
          </w:tcPr>
          <w:p>
            <w:pPr>
              <w:spacing w:after="0"/>
              <w:rPr>
                <w:sz w:val="20"/>
                <w:szCs w:val="20"/>
                <w:color w:val="auto"/>
              </w:rPr>
            </w:pPr>
            <w:r>
              <w:rPr>
                <w:rFonts w:ascii="Times New Roman" w:cs="Times New Roman" w:eastAsia="Times New Roman" w:hAnsi="Times New Roman"/>
                <w:sz w:val="20"/>
                <w:szCs w:val="20"/>
                <w:color w:val="auto"/>
              </w:rPr>
              <w:t>Net sales</w:t>
            </w:r>
          </w:p>
        </w:tc>
        <w:tc>
          <w:tcPr>
            <w:tcW w:w="80" w:type="dxa"/>
            <w:vAlign w:val="bottom"/>
            <w:shd w:val="clear" w:color="auto" w:fill="D2EEF5"/>
          </w:tcPr>
          <w:p>
            <w:pPr>
              <w:spacing w:after="0"/>
              <w:rPr>
                <w:sz w:val="22"/>
                <w:szCs w:val="22"/>
                <w:color w:val="auto"/>
              </w:rPr>
            </w:pPr>
          </w:p>
        </w:tc>
        <w:tc>
          <w:tcPr>
            <w:tcW w:w="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134,252</w:t>
            </w:r>
          </w:p>
        </w:tc>
        <w:tc>
          <w:tcPr>
            <w:tcW w:w="60" w:type="dxa"/>
            <w:vAlign w:val="bottom"/>
            <w:shd w:val="clear" w:color="auto" w:fill="D2EEF5"/>
          </w:tcPr>
          <w:p>
            <w:pPr>
              <w:spacing w:after="0"/>
              <w:rPr>
                <w:sz w:val="22"/>
                <w:szCs w:val="22"/>
                <w:color w:val="auto"/>
              </w:rPr>
            </w:pPr>
          </w:p>
        </w:tc>
        <w:tc>
          <w:tcPr>
            <w:tcW w:w="300" w:type="dxa"/>
            <w:vAlign w:val="bottom"/>
            <w:shd w:val="clear" w:color="auto" w:fill="D2EEF5"/>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190,288</w:t>
            </w:r>
          </w:p>
        </w:tc>
      </w:tr>
      <w:tr>
        <w:trPr>
          <w:trHeight w:val="285"/>
        </w:trPr>
        <w:tc>
          <w:tcPr>
            <w:tcW w:w="60" w:type="dxa"/>
            <w:vAlign w:val="bottom"/>
          </w:tcPr>
          <w:p>
            <w:pPr>
              <w:spacing w:after="0"/>
              <w:rPr>
                <w:sz w:val="24"/>
                <w:szCs w:val="24"/>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Cost of goods sold</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119,043</w:t>
            </w:r>
          </w:p>
        </w:tc>
        <w:tc>
          <w:tcPr>
            <w:tcW w:w="60" w:type="dxa"/>
            <w:vAlign w:val="bottom"/>
            <w:tcBorders>
              <w:bottom w:val="single" w:sz="8" w:color="D2EEF5"/>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158,155</w:t>
            </w:r>
          </w:p>
        </w:tc>
      </w:tr>
      <w:tr>
        <w:trPr>
          <w:trHeight w:val="265"/>
        </w:trPr>
        <w:tc>
          <w:tcPr>
            <w:tcW w:w="60" w:type="dxa"/>
            <w:vAlign w:val="bottom"/>
            <w:shd w:val="clear" w:color="auto" w:fill="D2EEF5"/>
          </w:tcPr>
          <w:p>
            <w:pPr>
              <w:spacing w:after="0"/>
              <w:rPr>
                <w:sz w:val="23"/>
                <w:szCs w:val="23"/>
                <w:color w:val="auto"/>
              </w:rPr>
            </w:pPr>
          </w:p>
        </w:tc>
        <w:tc>
          <w:tcPr>
            <w:tcW w:w="6960" w:type="dxa"/>
            <w:vAlign w:val="bottom"/>
            <w:shd w:val="clear" w:color="auto" w:fill="D2EEF5"/>
          </w:tcPr>
          <w:p>
            <w:pPr>
              <w:ind w:left="360"/>
              <w:spacing w:after="0"/>
              <w:rPr>
                <w:sz w:val="20"/>
                <w:szCs w:val="20"/>
                <w:color w:val="auto"/>
              </w:rPr>
            </w:pPr>
            <w:r>
              <w:rPr>
                <w:rFonts w:ascii="Times New Roman" w:cs="Times New Roman" w:eastAsia="Times New Roman" w:hAnsi="Times New Roman"/>
                <w:sz w:val="20"/>
                <w:szCs w:val="20"/>
                <w:b w:val="1"/>
                <w:bCs w:val="1"/>
                <w:color w:val="auto"/>
              </w:rPr>
              <w:t>Gross profit</w:t>
            </w:r>
          </w:p>
        </w:tc>
        <w:tc>
          <w:tcPr>
            <w:tcW w:w="80" w:type="dxa"/>
            <w:vAlign w:val="bottom"/>
            <w:shd w:val="clear" w:color="auto" w:fill="D2EEF5"/>
          </w:tcPr>
          <w:p>
            <w:pPr>
              <w:spacing w:after="0"/>
              <w:rPr>
                <w:sz w:val="23"/>
                <w:szCs w:val="23"/>
                <w:color w:val="auto"/>
              </w:rPr>
            </w:pPr>
          </w:p>
        </w:tc>
        <w:tc>
          <w:tcPr>
            <w:tcW w:w="180" w:type="dxa"/>
            <w:vAlign w:val="bottom"/>
            <w:shd w:val="clear" w:color="auto" w:fill="D2EEF5"/>
          </w:tcPr>
          <w:p>
            <w:pPr>
              <w:spacing w:after="0"/>
              <w:rPr>
                <w:sz w:val="23"/>
                <w:szCs w:val="23"/>
                <w:color w:val="auto"/>
              </w:rPr>
            </w:pPr>
          </w:p>
        </w:tc>
        <w:tc>
          <w:tcPr>
            <w:tcW w:w="11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15,209</w:t>
            </w:r>
          </w:p>
        </w:tc>
        <w:tc>
          <w:tcPr>
            <w:tcW w:w="60" w:type="dxa"/>
            <w:vAlign w:val="bottom"/>
            <w:shd w:val="clear" w:color="auto" w:fill="D2EEF5"/>
          </w:tcPr>
          <w:p>
            <w:pPr>
              <w:spacing w:after="0"/>
              <w:rPr>
                <w:sz w:val="23"/>
                <w:szCs w:val="23"/>
                <w:color w:val="auto"/>
              </w:rPr>
            </w:pPr>
          </w:p>
        </w:tc>
        <w:tc>
          <w:tcPr>
            <w:tcW w:w="300" w:type="dxa"/>
            <w:vAlign w:val="bottom"/>
            <w:shd w:val="clear" w:color="auto" w:fill="D2EEF5"/>
          </w:tcPr>
          <w:p>
            <w:pPr>
              <w:spacing w:after="0"/>
              <w:rPr>
                <w:sz w:val="23"/>
                <w:szCs w:val="23"/>
                <w:color w:val="auto"/>
              </w:rPr>
            </w:pP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32,133</w:t>
            </w:r>
          </w:p>
        </w:tc>
      </w:tr>
      <w:tr>
        <w:trPr>
          <w:trHeight w:val="279"/>
        </w:trPr>
        <w:tc>
          <w:tcPr>
            <w:tcW w:w="60" w:type="dxa"/>
            <w:vAlign w:val="bottom"/>
          </w:tcPr>
          <w:p>
            <w:pPr>
              <w:spacing w:after="0"/>
              <w:rPr>
                <w:sz w:val="24"/>
                <w:szCs w:val="24"/>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Operating expenses:</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91"/>
        </w:trPr>
        <w:tc>
          <w:tcPr>
            <w:tcW w:w="60" w:type="dxa"/>
            <w:vAlign w:val="bottom"/>
            <w:shd w:val="clear" w:color="auto" w:fill="D2EEF5"/>
          </w:tcPr>
          <w:p>
            <w:pPr>
              <w:spacing w:after="0"/>
              <w:rPr>
                <w:sz w:val="24"/>
                <w:szCs w:val="24"/>
                <w:color w:val="auto"/>
              </w:rPr>
            </w:pPr>
          </w:p>
        </w:tc>
        <w:tc>
          <w:tcPr>
            <w:tcW w:w="6960" w:type="dxa"/>
            <w:vAlign w:val="bottom"/>
            <w:shd w:val="clear" w:color="auto" w:fill="D2EEF5"/>
          </w:tcPr>
          <w:p>
            <w:pPr>
              <w:ind w:left="120"/>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80" w:type="dxa"/>
            <w:vAlign w:val="bottom"/>
            <w:shd w:val="clear" w:color="auto" w:fill="D2EEF5"/>
          </w:tcPr>
          <w:p>
            <w:pPr>
              <w:spacing w:after="0"/>
              <w:rPr>
                <w:sz w:val="24"/>
                <w:szCs w:val="24"/>
                <w:color w:val="auto"/>
              </w:rPr>
            </w:pPr>
          </w:p>
        </w:tc>
        <w:tc>
          <w:tcPr>
            <w:tcW w:w="180" w:type="dxa"/>
            <w:vAlign w:val="bottom"/>
            <w:shd w:val="clear" w:color="auto" w:fill="D2EEF5"/>
          </w:tcPr>
          <w:p>
            <w:pPr>
              <w:spacing w:after="0"/>
              <w:rPr>
                <w:sz w:val="24"/>
                <w:szCs w:val="24"/>
                <w:color w:val="auto"/>
              </w:rPr>
            </w:pPr>
          </w:p>
        </w:tc>
        <w:tc>
          <w:tcPr>
            <w:tcW w:w="11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59,948</w:t>
            </w:r>
          </w:p>
        </w:tc>
        <w:tc>
          <w:tcPr>
            <w:tcW w:w="60" w:type="dxa"/>
            <w:vAlign w:val="bottom"/>
            <w:shd w:val="clear" w:color="auto" w:fill="D2EEF5"/>
          </w:tcPr>
          <w:p>
            <w:pPr>
              <w:spacing w:after="0"/>
              <w:rPr>
                <w:sz w:val="24"/>
                <w:szCs w:val="24"/>
                <w:color w:val="auto"/>
              </w:rPr>
            </w:pPr>
          </w:p>
        </w:tc>
        <w:tc>
          <w:tcPr>
            <w:tcW w:w="300" w:type="dxa"/>
            <w:vAlign w:val="bottom"/>
            <w:shd w:val="clear" w:color="auto" w:fill="D2EEF5"/>
          </w:tcPr>
          <w:p>
            <w:pPr>
              <w:spacing w:after="0"/>
              <w:rPr>
                <w:sz w:val="24"/>
                <w:szCs w:val="24"/>
                <w:color w:val="auto"/>
              </w:rPr>
            </w:pP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72,794</w:t>
            </w:r>
          </w:p>
        </w:tc>
      </w:tr>
      <w:tr>
        <w:trPr>
          <w:trHeight w:val="281"/>
        </w:trPr>
        <w:tc>
          <w:tcPr>
            <w:tcW w:w="60" w:type="dxa"/>
            <w:vAlign w:val="bottom"/>
          </w:tcPr>
          <w:p>
            <w:pPr>
              <w:spacing w:after="0"/>
              <w:rPr>
                <w:sz w:val="24"/>
                <w:szCs w:val="24"/>
                <w:color w:val="auto"/>
              </w:rPr>
            </w:pPr>
          </w:p>
        </w:tc>
        <w:tc>
          <w:tcPr>
            <w:tcW w:w="7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Impairments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232,179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289"/>
        </w:trPr>
        <w:tc>
          <w:tcPr>
            <w:tcW w:w="60" w:type="dxa"/>
            <w:vAlign w:val="bottom"/>
            <w:shd w:val="clear" w:color="auto" w:fill="D2EEF5"/>
          </w:tcPr>
          <w:p>
            <w:pPr>
              <w:spacing w:after="0"/>
              <w:rPr>
                <w:sz w:val="24"/>
                <w:szCs w:val="24"/>
                <w:color w:val="auto"/>
              </w:rPr>
            </w:pPr>
          </w:p>
        </w:tc>
        <w:tc>
          <w:tcPr>
            <w:tcW w:w="6960" w:type="dxa"/>
            <w:vAlign w:val="bottom"/>
            <w:shd w:val="clear" w:color="auto" w:fill="D2EEF5"/>
          </w:tcPr>
          <w:p>
            <w:pPr>
              <w:ind w:left="120"/>
              <w:spacing w:after="0"/>
              <w:rPr>
                <w:sz w:val="20"/>
                <w:szCs w:val="20"/>
                <w:color w:val="auto"/>
              </w:rPr>
            </w:pPr>
            <w:r>
              <w:rPr>
                <w:rFonts w:ascii="Times New Roman" w:cs="Times New Roman" w:eastAsia="Times New Roman" w:hAnsi="Times New Roman"/>
                <w:sz w:val="20"/>
                <w:szCs w:val="20"/>
                <w:color w:val="auto"/>
              </w:rPr>
              <w:t>Loss on asset disposition</w:t>
            </w:r>
          </w:p>
        </w:tc>
        <w:tc>
          <w:tcPr>
            <w:tcW w:w="80" w:type="dxa"/>
            <w:vAlign w:val="bottom"/>
            <w:shd w:val="clear" w:color="auto" w:fill="D2EEF5"/>
          </w:tcPr>
          <w:p>
            <w:pPr>
              <w:spacing w:after="0"/>
              <w:rPr>
                <w:sz w:val="24"/>
                <w:szCs w:val="24"/>
                <w:color w:val="auto"/>
              </w:rPr>
            </w:pPr>
          </w:p>
        </w:tc>
        <w:tc>
          <w:tcPr>
            <w:tcW w:w="180" w:type="dxa"/>
            <w:vAlign w:val="bottom"/>
            <w:tcBorders>
              <w:bottom w:val="single" w:sz="8" w:color="auto"/>
            </w:tcBorders>
            <w:shd w:val="clear" w:color="auto" w:fill="D2EEF5"/>
          </w:tcPr>
          <w:p>
            <w:pPr>
              <w:spacing w:after="0"/>
              <w:rPr>
                <w:sz w:val="24"/>
                <w:szCs w:val="24"/>
                <w:color w:val="auto"/>
              </w:rPr>
            </w:pPr>
          </w:p>
        </w:tc>
        <w:tc>
          <w:tcPr>
            <w:tcW w:w="11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shd w:val="clear" w:color="auto" w:fill="D2EEF5"/>
          </w:tcPr>
          <w:p>
            <w:pPr>
              <w:spacing w:after="0"/>
              <w:rPr>
                <w:sz w:val="24"/>
                <w:szCs w:val="24"/>
                <w:color w:val="auto"/>
              </w:rPr>
            </w:pPr>
          </w:p>
        </w:tc>
        <w:tc>
          <w:tcPr>
            <w:tcW w:w="300" w:type="dxa"/>
            <w:vAlign w:val="bottom"/>
            <w:tcBorders>
              <w:bottom w:val="single" w:sz="8" w:color="auto"/>
            </w:tcBorders>
            <w:shd w:val="clear" w:color="auto" w:fill="D2EEF5"/>
          </w:tcPr>
          <w:p>
            <w:pPr>
              <w:spacing w:after="0"/>
              <w:rPr>
                <w:sz w:val="24"/>
                <w:szCs w:val="24"/>
                <w:color w:val="auto"/>
              </w:rPr>
            </w:pPr>
          </w:p>
        </w:tc>
        <w:tc>
          <w:tcPr>
            <w:tcW w:w="10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11,520</w:t>
            </w:r>
          </w:p>
        </w:tc>
      </w:tr>
      <w:tr>
        <w:trPr>
          <w:trHeight w:val="266"/>
        </w:trPr>
        <w:tc>
          <w:tcPr>
            <w:tcW w:w="60" w:type="dxa"/>
            <w:vAlign w:val="bottom"/>
          </w:tcPr>
          <w:p>
            <w:pPr>
              <w:spacing w:after="0"/>
              <w:rPr>
                <w:sz w:val="23"/>
                <w:szCs w:val="23"/>
                <w:color w:val="auto"/>
              </w:rPr>
            </w:pPr>
          </w:p>
        </w:tc>
        <w:tc>
          <w:tcPr>
            <w:tcW w:w="7040" w:type="dxa"/>
            <w:vAlign w:val="bottom"/>
            <w:gridSpan w:val="2"/>
          </w:tcPr>
          <w:p>
            <w:pPr>
              <w:ind w:left="360"/>
              <w:spacing w:after="0"/>
              <w:rPr>
                <w:sz w:val="20"/>
                <w:szCs w:val="20"/>
                <w:color w:val="auto"/>
              </w:rPr>
            </w:pPr>
            <w:r>
              <w:rPr>
                <w:rFonts w:ascii="Times New Roman" w:cs="Times New Roman" w:eastAsia="Times New Roman" w:hAnsi="Times New Roman"/>
                <w:sz w:val="20"/>
                <w:szCs w:val="20"/>
                <w:b w:val="1"/>
                <w:bCs w:val="1"/>
                <w:color w:val="auto"/>
              </w:rPr>
              <w:t>Loss from operations</w:t>
            </w: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(276,918)</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(52,181)</w:t>
            </w:r>
          </w:p>
        </w:tc>
      </w:tr>
      <w:tr>
        <w:trPr>
          <w:trHeight w:val="284"/>
        </w:trPr>
        <w:tc>
          <w:tcPr>
            <w:tcW w:w="60" w:type="dxa"/>
            <w:vAlign w:val="bottom"/>
            <w:shd w:val="clear" w:color="auto" w:fill="D2EEF5"/>
          </w:tcPr>
          <w:p>
            <w:pPr>
              <w:spacing w:after="0"/>
              <w:rPr>
                <w:sz w:val="24"/>
                <w:szCs w:val="24"/>
                <w:color w:val="auto"/>
              </w:rPr>
            </w:pPr>
          </w:p>
        </w:tc>
        <w:tc>
          <w:tcPr>
            <w:tcW w:w="6960" w:type="dxa"/>
            <w:vAlign w:val="bottom"/>
            <w:shd w:val="clear" w:color="auto" w:fill="D2EEF5"/>
          </w:tcPr>
          <w:p>
            <w:pPr>
              <w:ind w:left="120"/>
              <w:spacing w:after="0"/>
              <w:rPr>
                <w:sz w:val="20"/>
                <w:szCs w:val="20"/>
                <w:color w:val="auto"/>
              </w:rPr>
            </w:pPr>
            <w:r>
              <w:rPr>
                <w:rFonts w:ascii="Times New Roman" w:cs="Times New Roman" w:eastAsia="Times New Roman" w:hAnsi="Times New Roman"/>
                <w:sz w:val="20"/>
                <w:szCs w:val="20"/>
                <w:color w:val="auto"/>
              </w:rPr>
              <w:t>Interest expense</w:t>
            </w:r>
          </w:p>
        </w:tc>
        <w:tc>
          <w:tcPr>
            <w:tcW w:w="80" w:type="dxa"/>
            <w:vAlign w:val="bottom"/>
            <w:shd w:val="clear" w:color="auto" w:fill="D2EEF5"/>
          </w:tcPr>
          <w:p>
            <w:pPr>
              <w:spacing w:after="0"/>
              <w:rPr>
                <w:sz w:val="24"/>
                <w:szCs w:val="24"/>
                <w:color w:val="auto"/>
              </w:rPr>
            </w:pPr>
          </w:p>
        </w:tc>
        <w:tc>
          <w:tcPr>
            <w:tcW w:w="180" w:type="dxa"/>
            <w:vAlign w:val="bottom"/>
            <w:shd w:val="clear" w:color="auto" w:fill="D2EEF5"/>
          </w:tcPr>
          <w:p>
            <w:pPr>
              <w:spacing w:after="0"/>
              <w:rPr>
                <w:sz w:val="24"/>
                <w:szCs w:val="24"/>
                <w:color w:val="auto"/>
              </w:rPr>
            </w:pPr>
          </w:p>
        </w:tc>
        <w:tc>
          <w:tcPr>
            <w:tcW w:w="11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(13,427)</w:t>
            </w:r>
          </w:p>
        </w:tc>
        <w:tc>
          <w:tcPr>
            <w:tcW w:w="60" w:type="dxa"/>
            <w:vAlign w:val="bottom"/>
            <w:shd w:val="clear" w:color="auto" w:fill="D2EEF5"/>
          </w:tcPr>
          <w:p>
            <w:pPr>
              <w:spacing w:after="0"/>
              <w:rPr>
                <w:sz w:val="24"/>
                <w:szCs w:val="24"/>
                <w:color w:val="auto"/>
              </w:rPr>
            </w:pPr>
          </w:p>
        </w:tc>
        <w:tc>
          <w:tcPr>
            <w:tcW w:w="300" w:type="dxa"/>
            <w:vAlign w:val="bottom"/>
            <w:shd w:val="clear" w:color="auto" w:fill="D2EEF5"/>
          </w:tcPr>
          <w:p>
            <w:pPr>
              <w:spacing w:after="0"/>
              <w:rPr>
                <w:sz w:val="24"/>
                <w:szCs w:val="24"/>
                <w:color w:val="auto"/>
              </w:rPr>
            </w:pP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(15,237)</w:t>
            </w:r>
          </w:p>
        </w:tc>
      </w:tr>
      <w:tr>
        <w:trPr>
          <w:trHeight w:val="285"/>
        </w:trPr>
        <w:tc>
          <w:tcPr>
            <w:tcW w:w="60" w:type="dxa"/>
            <w:vAlign w:val="bottom"/>
          </w:tcPr>
          <w:p>
            <w:pPr>
              <w:spacing w:after="0"/>
              <w:rPr>
                <w:sz w:val="24"/>
                <w:szCs w:val="24"/>
                <w:color w:val="auto"/>
              </w:rPr>
            </w:pPr>
          </w:p>
        </w:tc>
        <w:tc>
          <w:tcPr>
            <w:tcW w:w="7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Other (expense) income, net</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(185)</w:t>
            </w:r>
          </w:p>
        </w:tc>
        <w:tc>
          <w:tcPr>
            <w:tcW w:w="60" w:type="dxa"/>
            <w:vAlign w:val="bottom"/>
            <w:tcBorders>
              <w:bottom w:val="single" w:sz="8" w:color="D2EEF5"/>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1,570</w:t>
            </w:r>
          </w:p>
        </w:tc>
      </w:tr>
      <w:tr>
        <w:trPr>
          <w:trHeight w:val="265"/>
        </w:trPr>
        <w:tc>
          <w:tcPr>
            <w:tcW w:w="60" w:type="dxa"/>
            <w:vAlign w:val="bottom"/>
            <w:shd w:val="clear" w:color="auto" w:fill="D2EEF5"/>
          </w:tcPr>
          <w:p>
            <w:pPr>
              <w:spacing w:after="0"/>
              <w:rPr>
                <w:sz w:val="23"/>
                <w:szCs w:val="23"/>
                <w:color w:val="auto"/>
              </w:rPr>
            </w:pPr>
          </w:p>
        </w:tc>
        <w:tc>
          <w:tcPr>
            <w:tcW w:w="6960" w:type="dxa"/>
            <w:vAlign w:val="bottom"/>
            <w:shd w:val="clear" w:color="auto" w:fill="D2EEF5"/>
          </w:tcPr>
          <w:p>
            <w:pPr>
              <w:ind w:left="360"/>
              <w:spacing w:after="0"/>
              <w:rPr>
                <w:sz w:val="20"/>
                <w:szCs w:val="20"/>
                <w:color w:val="auto"/>
              </w:rPr>
            </w:pPr>
            <w:r>
              <w:rPr>
                <w:rFonts w:ascii="Times New Roman" w:cs="Times New Roman" w:eastAsia="Times New Roman" w:hAnsi="Times New Roman"/>
                <w:sz w:val="20"/>
                <w:szCs w:val="20"/>
                <w:b w:val="1"/>
                <w:bCs w:val="1"/>
                <w:color w:val="auto"/>
              </w:rPr>
              <w:t>Loss before tax</w:t>
            </w:r>
          </w:p>
        </w:tc>
        <w:tc>
          <w:tcPr>
            <w:tcW w:w="80" w:type="dxa"/>
            <w:vAlign w:val="bottom"/>
            <w:shd w:val="clear" w:color="auto" w:fill="D2EEF5"/>
          </w:tcPr>
          <w:p>
            <w:pPr>
              <w:spacing w:after="0"/>
              <w:rPr>
                <w:sz w:val="23"/>
                <w:szCs w:val="23"/>
                <w:color w:val="auto"/>
              </w:rPr>
            </w:pPr>
          </w:p>
        </w:tc>
        <w:tc>
          <w:tcPr>
            <w:tcW w:w="180" w:type="dxa"/>
            <w:vAlign w:val="bottom"/>
            <w:shd w:val="clear" w:color="auto" w:fill="D2EEF5"/>
          </w:tcPr>
          <w:p>
            <w:pPr>
              <w:spacing w:after="0"/>
              <w:rPr>
                <w:sz w:val="23"/>
                <w:szCs w:val="23"/>
                <w:color w:val="auto"/>
              </w:rPr>
            </w:pPr>
          </w:p>
        </w:tc>
        <w:tc>
          <w:tcPr>
            <w:tcW w:w="11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(290,530)</w:t>
            </w:r>
          </w:p>
        </w:tc>
        <w:tc>
          <w:tcPr>
            <w:tcW w:w="60" w:type="dxa"/>
            <w:vAlign w:val="bottom"/>
            <w:shd w:val="clear" w:color="auto" w:fill="D2EEF5"/>
          </w:tcPr>
          <w:p>
            <w:pPr>
              <w:spacing w:after="0"/>
              <w:rPr>
                <w:sz w:val="23"/>
                <w:szCs w:val="23"/>
                <w:color w:val="auto"/>
              </w:rPr>
            </w:pPr>
          </w:p>
        </w:tc>
        <w:tc>
          <w:tcPr>
            <w:tcW w:w="300" w:type="dxa"/>
            <w:vAlign w:val="bottom"/>
            <w:shd w:val="clear" w:color="auto" w:fill="D2EEF5"/>
          </w:tcPr>
          <w:p>
            <w:pPr>
              <w:spacing w:after="0"/>
              <w:rPr>
                <w:sz w:val="23"/>
                <w:szCs w:val="23"/>
                <w:color w:val="auto"/>
              </w:rPr>
            </w:pP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(65,848)</w:t>
            </w:r>
          </w:p>
        </w:tc>
      </w:tr>
      <w:tr>
        <w:trPr>
          <w:trHeight w:val="285"/>
        </w:trPr>
        <w:tc>
          <w:tcPr>
            <w:tcW w:w="60" w:type="dxa"/>
            <w:vAlign w:val="bottom"/>
          </w:tcPr>
          <w:p>
            <w:pPr>
              <w:spacing w:after="0"/>
              <w:rPr>
                <w:sz w:val="24"/>
                <w:szCs w:val="24"/>
                <w:color w:val="auto"/>
              </w:rPr>
            </w:pPr>
          </w:p>
        </w:tc>
        <w:tc>
          <w:tcPr>
            <w:tcW w:w="7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Income tax benefit (expense)</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740</w:t>
            </w:r>
          </w:p>
        </w:tc>
        <w:tc>
          <w:tcPr>
            <w:tcW w:w="60" w:type="dxa"/>
            <w:vAlign w:val="bottom"/>
            <w:tcBorders>
              <w:bottom w:val="single" w:sz="8" w:color="D2EEF5"/>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(869)</w:t>
            </w:r>
          </w:p>
        </w:tc>
      </w:tr>
      <w:tr>
        <w:trPr>
          <w:trHeight w:val="265"/>
        </w:trPr>
        <w:tc>
          <w:tcPr>
            <w:tcW w:w="60" w:type="dxa"/>
            <w:vAlign w:val="bottom"/>
            <w:shd w:val="clear" w:color="auto" w:fill="D2EEF5"/>
          </w:tcPr>
          <w:p>
            <w:pPr>
              <w:spacing w:after="0"/>
              <w:rPr>
                <w:sz w:val="23"/>
                <w:szCs w:val="23"/>
                <w:color w:val="auto"/>
              </w:rPr>
            </w:pPr>
          </w:p>
        </w:tc>
        <w:tc>
          <w:tcPr>
            <w:tcW w:w="6960" w:type="dxa"/>
            <w:vAlign w:val="bottom"/>
            <w:shd w:val="clear" w:color="auto" w:fill="D2EEF5"/>
          </w:tcPr>
          <w:p>
            <w:pPr>
              <w:ind w:left="360"/>
              <w:spacing w:after="0"/>
              <w:rPr>
                <w:sz w:val="20"/>
                <w:szCs w:val="20"/>
                <w:color w:val="auto"/>
              </w:rPr>
            </w:pPr>
            <w:r>
              <w:rPr>
                <w:rFonts w:ascii="Times New Roman" w:cs="Times New Roman" w:eastAsia="Times New Roman" w:hAnsi="Times New Roman"/>
                <w:sz w:val="20"/>
                <w:szCs w:val="20"/>
                <w:b w:val="1"/>
                <w:bCs w:val="1"/>
                <w:color w:val="auto"/>
              </w:rPr>
              <w:t>Net loss</w:t>
            </w:r>
          </w:p>
        </w:tc>
        <w:tc>
          <w:tcPr>
            <w:tcW w:w="80" w:type="dxa"/>
            <w:vAlign w:val="bottom"/>
            <w:shd w:val="clear" w:color="auto" w:fill="D2EEF5"/>
          </w:tcPr>
          <w:p>
            <w:pPr>
              <w:spacing w:after="0"/>
              <w:rPr>
                <w:sz w:val="23"/>
                <w:szCs w:val="23"/>
                <w:color w:val="auto"/>
              </w:rPr>
            </w:pPr>
          </w:p>
        </w:tc>
        <w:tc>
          <w:tcPr>
            <w:tcW w:w="1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(289,790)</w:t>
            </w:r>
          </w:p>
        </w:tc>
        <w:tc>
          <w:tcPr>
            <w:tcW w:w="60" w:type="dxa"/>
            <w:vAlign w:val="bottom"/>
            <w:shd w:val="clear" w:color="auto" w:fill="D2EEF5"/>
          </w:tcPr>
          <w:p>
            <w:pPr>
              <w:spacing w:after="0"/>
              <w:rPr>
                <w:sz w:val="23"/>
                <w:szCs w:val="23"/>
                <w:color w:val="auto"/>
              </w:rPr>
            </w:pPr>
          </w:p>
        </w:tc>
        <w:tc>
          <w:tcPr>
            <w:tcW w:w="300" w:type="dxa"/>
            <w:vAlign w:val="bottom"/>
            <w:tcBorders>
              <w:bottom w:val="single" w:sz="8" w:color="auto"/>
            </w:tcBorders>
            <w:shd w:val="clear" w:color="auto" w:fill="D2EEF5"/>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(66,717)</w:t>
            </w:r>
          </w:p>
        </w:tc>
      </w:tr>
      <w:tr>
        <w:trPr>
          <w:trHeight w:val="20"/>
        </w:trPr>
        <w:tc>
          <w:tcPr>
            <w:tcW w:w="60" w:type="dxa"/>
            <w:vAlign w:val="bottom"/>
          </w:tcPr>
          <w:p>
            <w:pPr>
              <w:spacing w:after="0" w:line="20" w:lineRule="exact"/>
              <w:rPr>
                <w:sz w:val="1"/>
                <w:szCs w:val="1"/>
                <w:color w:val="auto"/>
              </w:rPr>
            </w:pPr>
          </w:p>
        </w:tc>
        <w:tc>
          <w:tcPr>
            <w:tcW w:w="704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6"/>
        </w:trPr>
        <w:tc>
          <w:tcPr>
            <w:tcW w:w="60" w:type="dxa"/>
            <w:vAlign w:val="bottom"/>
          </w:tcPr>
          <w:p>
            <w:pPr>
              <w:spacing w:after="0"/>
              <w:rPr>
                <w:sz w:val="19"/>
                <w:szCs w:val="19"/>
                <w:color w:val="auto"/>
              </w:rPr>
            </w:pPr>
          </w:p>
        </w:tc>
        <w:tc>
          <w:tcPr>
            <w:tcW w:w="704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84"/>
        </w:trPr>
        <w:tc>
          <w:tcPr>
            <w:tcW w:w="60" w:type="dxa"/>
            <w:vAlign w:val="bottom"/>
            <w:shd w:val="clear" w:color="auto" w:fill="D2EEF5"/>
          </w:tcPr>
          <w:p>
            <w:pPr>
              <w:spacing w:after="0"/>
              <w:rPr>
                <w:sz w:val="24"/>
                <w:szCs w:val="24"/>
                <w:color w:val="auto"/>
              </w:rPr>
            </w:pPr>
          </w:p>
        </w:tc>
        <w:tc>
          <w:tcPr>
            <w:tcW w:w="6960" w:type="dxa"/>
            <w:vAlign w:val="bottom"/>
            <w:shd w:val="clear" w:color="auto" w:fill="D2EEF5"/>
          </w:tcPr>
          <w:p>
            <w:pPr>
              <w:ind w:left="120"/>
              <w:spacing w:after="0"/>
              <w:rPr>
                <w:sz w:val="20"/>
                <w:szCs w:val="20"/>
                <w:color w:val="auto"/>
              </w:rPr>
            </w:pPr>
            <w:r>
              <w:rPr>
                <w:rFonts w:ascii="Times New Roman" w:cs="Times New Roman" w:eastAsia="Times New Roman" w:hAnsi="Times New Roman"/>
                <w:sz w:val="20"/>
                <w:szCs w:val="20"/>
                <w:color w:val="auto"/>
              </w:rPr>
              <w:t>Net loss per share:</w:t>
            </w:r>
          </w:p>
        </w:tc>
        <w:tc>
          <w:tcPr>
            <w:tcW w:w="80" w:type="dxa"/>
            <w:vAlign w:val="bottom"/>
            <w:shd w:val="clear" w:color="auto" w:fill="D2EEF5"/>
          </w:tcPr>
          <w:p>
            <w:pPr>
              <w:spacing w:after="0"/>
              <w:rPr>
                <w:sz w:val="24"/>
                <w:szCs w:val="24"/>
                <w:color w:val="auto"/>
              </w:rPr>
            </w:pPr>
          </w:p>
        </w:tc>
        <w:tc>
          <w:tcPr>
            <w:tcW w:w="180" w:type="dxa"/>
            <w:vAlign w:val="bottom"/>
            <w:shd w:val="clear" w:color="auto" w:fill="D2EEF5"/>
          </w:tcPr>
          <w:p>
            <w:pPr>
              <w:spacing w:after="0"/>
              <w:rPr>
                <w:sz w:val="24"/>
                <w:szCs w:val="24"/>
                <w:color w:val="auto"/>
              </w:rPr>
            </w:pPr>
          </w:p>
        </w:tc>
        <w:tc>
          <w:tcPr>
            <w:tcW w:w="1120" w:type="dxa"/>
            <w:vAlign w:val="bottom"/>
            <w:shd w:val="clear" w:color="auto" w:fill="D2EEF5"/>
          </w:tcPr>
          <w:p>
            <w:pPr>
              <w:spacing w:after="0"/>
              <w:rPr>
                <w:sz w:val="24"/>
                <w:szCs w:val="24"/>
                <w:color w:val="auto"/>
              </w:rPr>
            </w:pPr>
          </w:p>
        </w:tc>
        <w:tc>
          <w:tcPr>
            <w:tcW w:w="60" w:type="dxa"/>
            <w:vAlign w:val="bottom"/>
            <w:shd w:val="clear" w:color="auto" w:fill="D2EEF5"/>
          </w:tcPr>
          <w:p>
            <w:pPr>
              <w:spacing w:after="0"/>
              <w:rPr>
                <w:sz w:val="24"/>
                <w:szCs w:val="24"/>
                <w:color w:val="auto"/>
              </w:rPr>
            </w:pPr>
          </w:p>
        </w:tc>
        <w:tc>
          <w:tcPr>
            <w:tcW w:w="300" w:type="dxa"/>
            <w:vAlign w:val="bottom"/>
            <w:shd w:val="clear" w:color="auto" w:fill="D2EEF5"/>
          </w:tcPr>
          <w:p>
            <w:pPr>
              <w:spacing w:after="0"/>
              <w:rPr>
                <w:sz w:val="24"/>
                <w:szCs w:val="24"/>
                <w:color w:val="auto"/>
              </w:rPr>
            </w:pPr>
          </w:p>
        </w:tc>
        <w:tc>
          <w:tcPr>
            <w:tcW w:w="1000" w:type="dxa"/>
            <w:vAlign w:val="bottom"/>
            <w:shd w:val="clear" w:color="auto" w:fill="D2EEF5"/>
          </w:tcPr>
          <w:p>
            <w:pPr>
              <w:spacing w:after="0"/>
              <w:rPr>
                <w:sz w:val="24"/>
                <w:szCs w:val="24"/>
                <w:color w:val="auto"/>
              </w:rPr>
            </w:pPr>
          </w:p>
        </w:tc>
      </w:tr>
      <w:tr>
        <w:trPr>
          <w:trHeight w:val="281"/>
        </w:trPr>
        <w:tc>
          <w:tcPr>
            <w:tcW w:w="60" w:type="dxa"/>
            <w:vAlign w:val="bottom"/>
          </w:tcPr>
          <w:p>
            <w:pPr>
              <w:spacing w:after="0"/>
              <w:rPr>
                <w:sz w:val="24"/>
                <w:szCs w:val="24"/>
                <w:color w:val="auto"/>
              </w:rPr>
            </w:pPr>
          </w:p>
        </w:tc>
        <w:tc>
          <w:tcPr>
            <w:tcW w:w="704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Basic</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(62.35)</w:t>
            </w:r>
          </w:p>
        </w:tc>
        <w:tc>
          <w:tcPr>
            <w:tcW w:w="60" w:type="dxa"/>
            <w:vAlign w:val="bottom"/>
          </w:tcPr>
          <w:p>
            <w:pPr>
              <w:spacing w:after="0"/>
              <w:rPr>
                <w:sz w:val="24"/>
                <w:szCs w:val="24"/>
                <w:color w:val="auto"/>
              </w:rPr>
            </w:pP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(14.51)</w:t>
            </w:r>
          </w:p>
        </w:tc>
      </w:tr>
      <w:tr>
        <w:trPr>
          <w:trHeight w:val="289"/>
        </w:trPr>
        <w:tc>
          <w:tcPr>
            <w:tcW w:w="60" w:type="dxa"/>
            <w:vAlign w:val="bottom"/>
            <w:shd w:val="clear" w:color="auto" w:fill="D2EEF5"/>
          </w:tcPr>
          <w:p>
            <w:pPr>
              <w:spacing w:after="0"/>
              <w:rPr>
                <w:sz w:val="24"/>
                <w:szCs w:val="24"/>
                <w:color w:val="auto"/>
              </w:rPr>
            </w:pPr>
          </w:p>
        </w:tc>
        <w:tc>
          <w:tcPr>
            <w:tcW w:w="6960" w:type="dxa"/>
            <w:vAlign w:val="bottom"/>
            <w:shd w:val="clear" w:color="auto" w:fill="D2EEF5"/>
          </w:tcPr>
          <w:p>
            <w:pPr>
              <w:ind w:left="360"/>
              <w:spacing w:after="0"/>
              <w:rPr>
                <w:sz w:val="20"/>
                <w:szCs w:val="20"/>
                <w:color w:val="auto"/>
              </w:rPr>
            </w:pPr>
            <w:r>
              <w:rPr>
                <w:rFonts w:ascii="Times New Roman" w:cs="Times New Roman" w:eastAsia="Times New Roman" w:hAnsi="Times New Roman"/>
                <w:sz w:val="20"/>
                <w:szCs w:val="20"/>
                <w:color w:val="auto"/>
              </w:rPr>
              <w:t>Diluted</w:t>
            </w:r>
          </w:p>
        </w:tc>
        <w:tc>
          <w:tcPr>
            <w:tcW w:w="80" w:type="dxa"/>
            <w:vAlign w:val="bottom"/>
            <w:shd w:val="clear" w:color="auto" w:fill="D2EEF5"/>
          </w:tcPr>
          <w:p>
            <w:pPr>
              <w:spacing w:after="0"/>
              <w:rPr>
                <w:sz w:val="24"/>
                <w:szCs w:val="24"/>
                <w:color w:val="auto"/>
              </w:rPr>
            </w:pPr>
          </w:p>
        </w:tc>
        <w:tc>
          <w:tcPr>
            <w:tcW w:w="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(62.35)</w:t>
            </w:r>
          </w:p>
        </w:tc>
        <w:tc>
          <w:tcPr>
            <w:tcW w:w="60" w:type="dxa"/>
            <w:vAlign w:val="bottom"/>
            <w:shd w:val="clear" w:color="auto" w:fill="D2EEF5"/>
          </w:tcPr>
          <w:p>
            <w:pPr>
              <w:spacing w:after="0"/>
              <w:rPr>
                <w:sz w:val="24"/>
                <w:szCs w:val="24"/>
                <w:color w:val="auto"/>
              </w:rPr>
            </w:pPr>
          </w:p>
        </w:tc>
        <w:tc>
          <w:tcPr>
            <w:tcW w:w="300" w:type="dxa"/>
            <w:vAlign w:val="bottom"/>
            <w:shd w:val="clear" w:color="auto" w:fill="D2EEF5"/>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(14.51)</w:t>
            </w:r>
          </w:p>
        </w:tc>
      </w:tr>
      <w:tr>
        <w:trPr>
          <w:trHeight w:val="279"/>
        </w:trPr>
        <w:tc>
          <w:tcPr>
            <w:tcW w:w="60" w:type="dxa"/>
            <w:vAlign w:val="bottom"/>
          </w:tcPr>
          <w:p>
            <w:pPr>
              <w:spacing w:after="0"/>
              <w:rPr>
                <w:sz w:val="24"/>
                <w:szCs w:val="24"/>
                <w:color w:val="auto"/>
              </w:rPr>
            </w:pPr>
          </w:p>
        </w:tc>
        <w:tc>
          <w:tcPr>
            <w:tcW w:w="7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Weighted-average shares of common stock outstanding:</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91"/>
        </w:trPr>
        <w:tc>
          <w:tcPr>
            <w:tcW w:w="60" w:type="dxa"/>
            <w:vAlign w:val="bottom"/>
            <w:shd w:val="clear" w:color="auto" w:fill="D2EEF5"/>
          </w:tcPr>
          <w:p>
            <w:pPr>
              <w:spacing w:after="0"/>
              <w:rPr>
                <w:sz w:val="24"/>
                <w:szCs w:val="24"/>
                <w:color w:val="auto"/>
              </w:rPr>
            </w:pPr>
          </w:p>
        </w:tc>
        <w:tc>
          <w:tcPr>
            <w:tcW w:w="6960" w:type="dxa"/>
            <w:vAlign w:val="bottom"/>
            <w:shd w:val="clear" w:color="auto" w:fill="D2EEF5"/>
          </w:tcPr>
          <w:p>
            <w:pPr>
              <w:ind w:left="360"/>
              <w:spacing w:after="0"/>
              <w:rPr>
                <w:sz w:val="20"/>
                <w:szCs w:val="20"/>
                <w:color w:val="auto"/>
              </w:rPr>
            </w:pPr>
            <w:r>
              <w:rPr>
                <w:rFonts w:ascii="Times New Roman" w:cs="Times New Roman" w:eastAsia="Times New Roman" w:hAnsi="Times New Roman"/>
                <w:sz w:val="20"/>
                <w:szCs w:val="20"/>
                <w:color w:val="auto"/>
              </w:rPr>
              <w:t>Basic</w:t>
            </w:r>
          </w:p>
        </w:tc>
        <w:tc>
          <w:tcPr>
            <w:tcW w:w="80" w:type="dxa"/>
            <w:vAlign w:val="bottom"/>
            <w:shd w:val="clear" w:color="auto" w:fill="D2EEF5"/>
          </w:tcPr>
          <w:p>
            <w:pPr>
              <w:spacing w:after="0"/>
              <w:rPr>
                <w:sz w:val="24"/>
                <w:szCs w:val="24"/>
                <w:color w:val="auto"/>
              </w:rPr>
            </w:pPr>
          </w:p>
        </w:tc>
        <w:tc>
          <w:tcPr>
            <w:tcW w:w="180" w:type="dxa"/>
            <w:vAlign w:val="bottom"/>
            <w:shd w:val="clear" w:color="auto" w:fill="D2EEF5"/>
          </w:tcPr>
          <w:p>
            <w:pPr>
              <w:spacing w:after="0"/>
              <w:rPr>
                <w:sz w:val="24"/>
                <w:szCs w:val="24"/>
                <w:color w:val="auto"/>
              </w:rPr>
            </w:pPr>
          </w:p>
        </w:tc>
        <w:tc>
          <w:tcPr>
            <w:tcW w:w="11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4,647,945</w:t>
            </w:r>
          </w:p>
        </w:tc>
        <w:tc>
          <w:tcPr>
            <w:tcW w:w="60" w:type="dxa"/>
            <w:vAlign w:val="bottom"/>
            <w:shd w:val="clear" w:color="auto" w:fill="D2EEF5"/>
          </w:tcPr>
          <w:p>
            <w:pPr>
              <w:spacing w:after="0"/>
              <w:rPr>
                <w:sz w:val="24"/>
                <w:szCs w:val="24"/>
                <w:color w:val="auto"/>
              </w:rPr>
            </w:pPr>
          </w:p>
        </w:tc>
        <w:tc>
          <w:tcPr>
            <w:tcW w:w="300" w:type="dxa"/>
            <w:vAlign w:val="bottom"/>
            <w:shd w:val="clear" w:color="auto" w:fill="D2EEF5"/>
          </w:tcPr>
          <w:p>
            <w:pPr>
              <w:spacing w:after="0"/>
              <w:rPr>
                <w:sz w:val="24"/>
                <w:szCs w:val="24"/>
                <w:color w:val="auto"/>
              </w:rPr>
            </w:pP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4,598,640</w:t>
            </w:r>
          </w:p>
        </w:tc>
      </w:tr>
      <w:tr>
        <w:trPr>
          <w:trHeight w:val="276"/>
        </w:trPr>
        <w:tc>
          <w:tcPr>
            <w:tcW w:w="60" w:type="dxa"/>
            <w:vAlign w:val="bottom"/>
          </w:tcPr>
          <w:p>
            <w:pPr>
              <w:spacing w:after="0"/>
              <w:rPr>
                <w:sz w:val="24"/>
                <w:szCs w:val="24"/>
                <w:color w:val="auto"/>
              </w:rPr>
            </w:pPr>
          </w:p>
        </w:tc>
        <w:tc>
          <w:tcPr>
            <w:tcW w:w="704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Diluted</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4,647,945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4,598,640</w:t>
            </w:r>
          </w:p>
        </w:tc>
      </w:tr>
    </w:tbl>
    <w:p>
      <w:pPr>
        <w:spacing w:after="0" w:line="16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 consolidated financial statements.</w:t>
      </w:r>
    </w:p>
    <w:p>
      <w:pPr>
        <w:sectPr>
          <w:pgSz w:w="12240" w:h="15840" w:orient="portrait"/>
          <w:cols w:equalWidth="0" w:num="1">
            <w:col w:w="10000"/>
          </w:cols>
          <w:pgMar w:left="1000" w:top="430" w:right="12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10000"/>
          </w:cols>
          <w:pgMar w:left="1000" w:top="430" w:right="1240" w:bottom="0" w:gutter="0" w:footer="0" w:header="0"/>
          <w:type w:val="continuous"/>
        </w:sectPr>
      </w:pPr>
    </w:p>
    <w:bookmarkStart w:id="65" w:name="page66"/>
    <w:bookmarkEnd w:id="65"/>
    <w:p>
      <w:pPr>
        <w:ind w:left="60"/>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4"/>
          <w:szCs w:val="24"/>
          <w:b w:val="1"/>
          <w:bCs w:val="1"/>
          <w:color w:val="auto"/>
        </w:rPr>
        <w:t>Hydrofarm Holdings Group, Inc.</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60" w:type="dxa"/>
            <w:vAlign w:val="bottom"/>
          </w:tcPr>
          <w:p>
            <w:pPr>
              <w:spacing w:after="0"/>
              <w:rPr>
                <w:sz w:val="23"/>
                <w:szCs w:val="23"/>
                <w:color w:val="auto"/>
              </w:rPr>
            </w:pPr>
          </w:p>
        </w:tc>
        <w:tc>
          <w:tcPr>
            <w:tcW w:w="8900" w:type="dxa"/>
            <w:vAlign w:val="bottom"/>
            <w:gridSpan w:val="8"/>
          </w:tcPr>
          <w:p>
            <w:pPr>
              <w:ind w:left="2260"/>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LOSS</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300"/>
        </w:trPr>
        <w:tc>
          <w:tcPr>
            <w:tcW w:w="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760" w:type="dxa"/>
            <w:vAlign w:val="bottom"/>
            <w:gridSpan w:val="4"/>
          </w:tcPr>
          <w:p>
            <w:pPr>
              <w:jc w:val="right"/>
              <w:ind w:right="188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4"/>
        </w:trPr>
        <w:tc>
          <w:tcPr>
            <w:tcW w:w="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w w:val="98"/>
              </w:rPr>
              <w:t>Years ended December 31,</w:t>
            </w:r>
          </w:p>
        </w:tc>
      </w:tr>
      <w:tr>
        <w:trPr>
          <w:trHeight w:val="265"/>
        </w:trPr>
        <w:tc>
          <w:tcPr>
            <w:tcW w:w="60" w:type="dxa"/>
            <w:vAlign w:val="bottom"/>
            <w:tcBorders>
              <w:bottom w:val="single" w:sz="8" w:color="D2EEF5"/>
            </w:tcBorders>
          </w:tcPr>
          <w:p>
            <w:pPr>
              <w:spacing w:after="0"/>
              <w:rPr>
                <w:sz w:val="23"/>
                <w:szCs w:val="23"/>
                <w:color w:val="auto"/>
              </w:rPr>
            </w:pPr>
          </w:p>
        </w:tc>
        <w:tc>
          <w:tcPr>
            <w:tcW w:w="3960" w:type="dxa"/>
            <w:vAlign w:val="bottom"/>
            <w:tcBorders>
              <w:bottom w:val="single" w:sz="8" w:color="D2EEF5"/>
            </w:tcBorders>
          </w:tcPr>
          <w:p>
            <w:pPr>
              <w:spacing w:after="0"/>
              <w:rPr>
                <w:sz w:val="23"/>
                <w:szCs w:val="23"/>
                <w:color w:val="auto"/>
              </w:rPr>
            </w:pPr>
          </w:p>
        </w:tc>
        <w:tc>
          <w:tcPr>
            <w:tcW w:w="3500" w:type="dxa"/>
            <w:vAlign w:val="bottom"/>
            <w:tcBorders>
              <w:bottom w:val="single" w:sz="8" w:color="D2EEF5"/>
            </w:tcBorders>
          </w:tcPr>
          <w:p>
            <w:pPr>
              <w:spacing w:after="0"/>
              <w:rPr>
                <w:sz w:val="23"/>
                <w:szCs w:val="23"/>
                <w:color w:val="auto"/>
              </w:rPr>
            </w:pPr>
          </w:p>
        </w:tc>
        <w:tc>
          <w:tcPr>
            <w:tcW w:w="60" w:type="dxa"/>
            <w:vAlign w:val="bottom"/>
            <w:tcBorders>
              <w:bottom w:val="single" w:sz="8" w:color="D2EEF5"/>
            </w:tcBorders>
          </w:tcPr>
          <w:p>
            <w:pPr>
              <w:spacing w:after="0"/>
              <w:rPr>
                <w:sz w:val="23"/>
                <w:szCs w:val="23"/>
                <w:color w:val="auto"/>
              </w:rPr>
            </w:pPr>
          </w:p>
        </w:tc>
        <w:tc>
          <w:tcPr>
            <w:tcW w:w="20" w:type="dxa"/>
            <w:vAlign w:val="bottom"/>
            <w:tcBorders>
              <w:bottom w:val="single" w:sz="8" w:color="D2EEF5"/>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2025</w:t>
            </w:r>
          </w:p>
        </w:tc>
        <w:tc>
          <w:tcPr>
            <w:tcW w:w="40" w:type="dxa"/>
            <w:vAlign w:val="bottom"/>
            <w:tcBorders>
              <w:bottom w:val="single" w:sz="8" w:color="D2EEF5"/>
            </w:tcBorders>
          </w:tcPr>
          <w:p>
            <w:pPr>
              <w:spacing w:after="0"/>
              <w:rPr>
                <w:sz w:val="23"/>
                <w:szCs w:val="23"/>
                <w:color w:val="auto"/>
              </w:rPr>
            </w:pPr>
          </w:p>
        </w:tc>
        <w:tc>
          <w:tcPr>
            <w:tcW w:w="20" w:type="dxa"/>
            <w:vAlign w:val="bottom"/>
            <w:tcBorders>
              <w:bottom w:val="single" w:sz="8" w:color="D2EEF5"/>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66"/>
        </w:trPr>
        <w:tc>
          <w:tcPr>
            <w:tcW w:w="60" w:type="dxa"/>
            <w:vAlign w:val="bottom"/>
            <w:shd w:val="clear" w:color="auto" w:fill="D2EEF5"/>
          </w:tcPr>
          <w:p>
            <w:pPr>
              <w:spacing w:after="0"/>
              <w:rPr>
                <w:sz w:val="23"/>
                <w:szCs w:val="23"/>
                <w:color w:val="auto"/>
              </w:rPr>
            </w:pPr>
          </w:p>
        </w:tc>
        <w:tc>
          <w:tcPr>
            <w:tcW w:w="3960" w:type="dxa"/>
            <w:vAlign w:val="bottom"/>
            <w:shd w:val="clear" w:color="auto" w:fill="D2EEF5"/>
          </w:tcPr>
          <w:p>
            <w:pPr>
              <w:ind w:left="120"/>
              <w:spacing w:after="0"/>
              <w:rPr>
                <w:sz w:val="20"/>
                <w:szCs w:val="20"/>
                <w:color w:val="auto"/>
              </w:rPr>
            </w:pPr>
            <w:r>
              <w:rPr>
                <w:rFonts w:ascii="Times New Roman" w:cs="Times New Roman" w:eastAsia="Times New Roman" w:hAnsi="Times New Roman"/>
                <w:sz w:val="20"/>
                <w:szCs w:val="20"/>
                <w:b w:val="1"/>
                <w:bCs w:val="1"/>
                <w:color w:val="auto"/>
              </w:rPr>
              <w:t>Net loss</w:t>
            </w:r>
          </w:p>
        </w:tc>
        <w:tc>
          <w:tcPr>
            <w:tcW w:w="3500" w:type="dxa"/>
            <w:vAlign w:val="bottom"/>
            <w:shd w:val="clear" w:color="auto" w:fill="D2EEF5"/>
          </w:tcPr>
          <w:p>
            <w:pPr>
              <w:spacing w:after="0"/>
              <w:rPr>
                <w:sz w:val="23"/>
                <w:szCs w:val="23"/>
                <w:color w:val="auto"/>
              </w:rPr>
            </w:pPr>
          </w:p>
        </w:tc>
        <w:tc>
          <w:tcPr>
            <w:tcW w:w="60" w:type="dxa"/>
            <w:vAlign w:val="bottom"/>
            <w:tcBorders>
              <w:bottom w:val="single" w:sz="8" w:color="D2EEF5"/>
            </w:tcBorders>
            <w:shd w:val="clear" w:color="auto" w:fill="D2EEF5"/>
          </w:tcPr>
          <w:p>
            <w:pPr>
              <w:spacing w:after="0"/>
              <w:rPr>
                <w:sz w:val="23"/>
                <w:szCs w:val="23"/>
                <w:color w:val="auto"/>
              </w:rPr>
            </w:pPr>
          </w:p>
        </w:tc>
        <w:tc>
          <w:tcPr>
            <w:tcW w:w="20" w:type="dxa"/>
            <w:vAlign w:val="bottom"/>
            <w:tcBorders>
              <w:bottom w:val="single" w:sz="8" w:color="D2EEF5"/>
            </w:tcBorders>
            <w:shd w:val="clear" w:color="auto" w:fill="D2EEF5"/>
          </w:tcPr>
          <w:p>
            <w:pPr>
              <w:spacing w:after="0"/>
              <w:rPr>
                <w:sz w:val="23"/>
                <w:szCs w:val="23"/>
                <w:color w:val="auto"/>
              </w:rPr>
            </w:pPr>
          </w:p>
        </w:tc>
        <w:tc>
          <w:tcPr>
            <w:tcW w:w="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(289,790)</w:t>
            </w:r>
          </w:p>
        </w:tc>
        <w:tc>
          <w:tcPr>
            <w:tcW w:w="40" w:type="dxa"/>
            <w:vAlign w:val="bottom"/>
            <w:shd w:val="clear" w:color="auto" w:fill="D2EEF5"/>
          </w:tcPr>
          <w:p>
            <w:pPr>
              <w:spacing w:after="0"/>
              <w:rPr>
                <w:sz w:val="23"/>
                <w:szCs w:val="23"/>
                <w:color w:val="auto"/>
              </w:rPr>
            </w:pPr>
          </w:p>
        </w:tc>
        <w:tc>
          <w:tcPr>
            <w:tcW w:w="20" w:type="dxa"/>
            <w:vAlign w:val="bottom"/>
            <w:shd w:val="clear" w:color="auto" w:fill="D2EEF5"/>
          </w:tcPr>
          <w:p>
            <w:pPr>
              <w:spacing w:after="0"/>
              <w:rPr>
                <w:sz w:val="23"/>
                <w:szCs w:val="23"/>
                <w:color w:val="auto"/>
              </w:rPr>
            </w:pPr>
          </w:p>
        </w:tc>
        <w:tc>
          <w:tcPr>
            <w:tcW w:w="300" w:type="dxa"/>
            <w:vAlign w:val="bottom"/>
            <w:shd w:val="clear" w:color="auto" w:fill="D2EEF5"/>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(66,717)</w:t>
            </w:r>
          </w:p>
        </w:tc>
      </w:tr>
      <w:tr>
        <w:trPr>
          <w:trHeight w:val="260"/>
        </w:trPr>
        <w:tc>
          <w:tcPr>
            <w:tcW w:w="60" w:type="dxa"/>
            <w:vAlign w:val="bottom"/>
          </w:tcPr>
          <w:p>
            <w:pPr>
              <w:spacing w:after="0"/>
              <w:rPr>
                <w:sz w:val="22"/>
                <w:szCs w:val="22"/>
                <w:color w:val="auto"/>
              </w:rPr>
            </w:pPr>
          </w:p>
        </w:tc>
        <w:tc>
          <w:tcPr>
            <w:tcW w:w="396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Other comprehensive income (loss):</w:t>
            </w:r>
          </w:p>
        </w:tc>
        <w:tc>
          <w:tcPr>
            <w:tcW w:w="3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306"/>
        </w:trPr>
        <w:tc>
          <w:tcPr>
            <w:tcW w:w="60" w:type="dxa"/>
            <w:vAlign w:val="bottom"/>
            <w:tcBorders>
              <w:bottom w:val="single" w:sz="8" w:color="D2EEF5"/>
            </w:tcBorders>
            <w:shd w:val="clear" w:color="auto" w:fill="D2EEF5"/>
          </w:tcPr>
          <w:p>
            <w:pPr>
              <w:spacing w:after="0"/>
              <w:rPr>
                <w:sz w:val="24"/>
                <w:szCs w:val="24"/>
                <w:color w:val="auto"/>
              </w:rPr>
            </w:pPr>
          </w:p>
        </w:tc>
        <w:tc>
          <w:tcPr>
            <w:tcW w:w="3960" w:type="dxa"/>
            <w:vAlign w:val="bottom"/>
            <w:tcBorders>
              <w:bottom w:val="single" w:sz="8" w:color="D2EEF5"/>
            </w:tcBorders>
            <w:shd w:val="clear" w:color="auto" w:fill="D2EEF5"/>
          </w:tcPr>
          <w:p>
            <w:pPr>
              <w:ind w:left="240"/>
              <w:spacing w:after="0"/>
              <w:rPr>
                <w:sz w:val="20"/>
                <w:szCs w:val="20"/>
                <w:color w:val="auto"/>
              </w:rPr>
            </w:pPr>
            <w:r>
              <w:rPr>
                <w:rFonts w:ascii="Times New Roman" w:cs="Times New Roman" w:eastAsia="Times New Roman" w:hAnsi="Times New Roman"/>
                <w:sz w:val="20"/>
                <w:szCs w:val="20"/>
                <w:color w:val="auto"/>
              </w:rPr>
              <w:t>Foreign currency translation gain (loss)</w:t>
            </w:r>
          </w:p>
        </w:tc>
        <w:tc>
          <w:tcPr>
            <w:tcW w:w="3500" w:type="dxa"/>
            <w:vAlign w:val="bottom"/>
            <w:tcBorders>
              <w:bottom w:val="single" w:sz="8" w:color="D2EEF5"/>
            </w:tcBorders>
            <w:shd w:val="clear" w:color="auto" w:fill="D2EEF5"/>
          </w:tcPr>
          <w:p>
            <w:pPr>
              <w:spacing w:after="0"/>
              <w:rPr>
                <w:sz w:val="24"/>
                <w:szCs w:val="24"/>
                <w:color w:val="auto"/>
              </w:rPr>
            </w:pPr>
          </w:p>
        </w:tc>
        <w:tc>
          <w:tcPr>
            <w:tcW w:w="60" w:type="dxa"/>
            <w:vAlign w:val="bottom"/>
            <w:tcBorders>
              <w:bottom w:val="single" w:sz="8" w:color="D2EEF5"/>
            </w:tcBorders>
            <w:shd w:val="clear" w:color="auto" w:fill="D2EEF5"/>
          </w:tcPr>
          <w:p>
            <w:pPr>
              <w:spacing w:after="0"/>
              <w:rPr>
                <w:sz w:val="24"/>
                <w:szCs w:val="24"/>
                <w:color w:val="auto"/>
              </w:rPr>
            </w:pPr>
          </w:p>
        </w:tc>
        <w:tc>
          <w:tcPr>
            <w:tcW w:w="20" w:type="dxa"/>
            <w:vAlign w:val="bottom"/>
            <w:tcBorders>
              <w:bottom w:val="single" w:sz="8" w:color="D2EEF5"/>
            </w:tcBorders>
            <w:shd w:val="clear" w:color="auto" w:fill="D2EEF5"/>
          </w:tcPr>
          <w:p>
            <w:pPr>
              <w:spacing w:after="0"/>
              <w:rPr>
                <w:sz w:val="24"/>
                <w:szCs w:val="24"/>
                <w:color w:val="auto"/>
              </w:rPr>
            </w:pPr>
          </w:p>
        </w:tc>
        <w:tc>
          <w:tcPr>
            <w:tcW w:w="180" w:type="dxa"/>
            <w:vAlign w:val="bottom"/>
            <w:tcBorders>
              <w:bottom w:val="single" w:sz="8" w:color="auto"/>
            </w:tcBorders>
            <w:shd w:val="clear" w:color="auto" w:fill="D2EEF5"/>
          </w:tcPr>
          <w:p>
            <w:pPr>
              <w:spacing w:after="0"/>
              <w:rPr>
                <w:sz w:val="24"/>
                <w:szCs w:val="24"/>
                <w:color w:val="auto"/>
              </w:rPr>
            </w:pPr>
          </w:p>
        </w:tc>
        <w:tc>
          <w:tcPr>
            <w:tcW w:w="11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1,639</w:t>
            </w:r>
          </w:p>
        </w:tc>
        <w:tc>
          <w:tcPr>
            <w:tcW w:w="40" w:type="dxa"/>
            <w:vAlign w:val="bottom"/>
            <w:tcBorders>
              <w:bottom w:val="single" w:sz="8" w:color="D2EEF5"/>
            </w:tcBorders>
            <w:shd w:val="clear" w:color="auto" w:fill="D2EEF5"/>
          </w:tcPr>
          <w:p>
            <w:pPr>
              <w:spacing w:after="0"/>
              <w:rPr>
                <w:sz w:val="24"/>
                <w:szCs w:val="24"/>
                <w:color w:val="auto"/>
              </w:rPr>
            </w:pPr>
          </w:p>
        </w:tc>
        <w:tc>
          <w:tcPr>
            <w:tcW w:w="20" w:type="dxa"/>
            <w:vAlign w:val="bottom"/>
            <w:tcBorders>
              <w:bottom w:val="single" w:sz="8" w:color="D2EEF5"/>
            </w:tcBorders>
            <w:shd w:val="clear" w:color="auto" w:fill="D2EEF5"/>
          </w:tcPr>
          <w:p>
            <w:pPr>
              <w:spacing w:after="0"/>
              <w:rPr>
                <w:sz w:val="24"/>
                <w:szCs w:val="24"/>
                <w:color w:val="auto"/>
              </w:rPr>
            </w:pPr>
          </w:p>
        </w:tc>
        <w:tc>
          <w:tcPr>
            <w:tcW w:w="300" w:type="dxa"/>
            <w:vAlign w:val="bottom"/>
            <w:tcBorders>
              <w:bottom w:val="single" w:sz="8" w:color="auto"/>
            </w:tcBorders>
            <w:shd w:val="clear" w:color="auto" w:fill="D2EEF5"/>
          </w:tcPr>
          <w:p>
            <w:pPr>
              <w:spacing w:after="0"/>
              <w:rPr>
                <w:sz w:val="24"/>
                <w:szCs w:val="24"/>
                <w:color w:val="auto"/>
              </w:rPr>
            </w:pPr>
          </w:p>
        </w:tc>
        <w:tc>
          <w:tcPr>
            <w:tcW w:w="10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(2,414)</w:t>
            </w:r>
          </w:p>
        </w:tc>
      </w:tr>
      <w:tr>
        <w:trPr>
          <w:trHeight w:val="251"/>
        </w:trPr>
        <w:tc>
          <w:tcPr>
            <w:tcW w:w="60" w:type="dxa"/>
            <w:vAlign w:val="bottom"/>
          </w:tcPr>
          <w:p>
            <w:pPr>
              <w:spacing w:after="0"/>
              <w:rPr>
                <w:sz w:val="21"/>
                <w:szCs w:val="21"/>
                <w:color w:val="auto"/>
              </w:rPr>
            </w:pPr>
          </w:p>
        </w:tc>
        <w:tc>
          <w:tcPr>
            <w:tcW w:w="3960" w:type="dxa"/>
            <w:vAlign w:val="bottom"/>
          </w:tcPr>
          <w:p>
            <w:pPr>
              <w:ind w:left="360"/>
              <w:spacing w:after="0"/>
              <w:rPr>
                <w:sz w:val="20"/>
                <w:szCs w:val="20"/>
                <w:color w:val="auto"/>
              </w:rPr>
            </w:pPr>
            <w:r>
              <w:rPr>
                <w:rFonts w:ascii="Times New Roman" w:cs="Times New Roman" w:eastAsia="Times New Roman" w:hAnsi="Times New Roman"/>
                <w:sz w:val="20"/>
                <w:szCs w:val="20"/>
                <w:b w:val="1"/>
                <w:bCs w:val="1"/>
                <w:color w:val="auto"/>
              </w:rPr>
              <w:t>Total comprehensive loss</w:t>
            </w:r>
          </w:p>
        </w:tc>
        <w:tc>
          <w:tcPr>
            <w:tcW w:w="3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(288,151)</w:t>
            </w:r>
          </w:p>
        </w:tc>
        <w:tc>
          <w:tcPr>
            <w:tcW w:w="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(69,131)</w:t>
            </w:r>
          </w:p>
        </w:tc>
      </w:tr>
      <w:tr>
        <w:trPr>
          <w:trHeight w:val="20"/>
        </w:trPr>
        <w:tc>
          <w:tcPr>
            <w:tcW w:w="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 consolidated financial statements.</w:t>
      </w:r>
    </w:p>
    <w:p>
      <w:pPr>
        <w:sectPr>
          <w:pgSz w:w="12240" w:h="15840" w:orient="portrait"/>
          <w:cols w:equalWidth="0" w:num="1">
            <w:col w:w="10260"/>
          </w:cols>
          <w:pgMar w:left="940" w:top="430"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10260"/>
          </w:cols>
          <w:pgMar w:left="940" w:top="430" w:right="1040" w:bottom="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7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4"/>
          <w:szCs w:val="24"/>
          <w:b w:val="1"/>
          <w:bCs w:val="1"/>
          <w:color w:val="auto"/>
        </w:rPr>
        <w:t>Hydrofarm Holdings Group, Inc.</w:t>
      </w:r>
    </w:p>
    <w:p>
      <w:pPr>
        <w:spacing w:after="0" w:line="20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 STOCKHOLDERS’ EQUITY (DEFICIT)</w:t>
      </w:r>
    </w:p>
    <w:p>
      <w:pPr>
        <w:spacing w:after="0" w:line="7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0"/>
          <w:szCs w:val="20"/>
          <w:b w:val="1"/>
          <w:bCs w:val="1"/>
          <w:color w:val="auto"/>
        </w:rPr>
        <w:t>(In thousands, except for share amounts)</w:t>
      </w:r>
    </w:p>
    <w:p>
      <w:pPr>
        <w:spacing w:after="0" w:line="200" w:lineRule="exact"/>
        <w:rPr>
          <w:sz w:val="20"/>
          <w:szCs w:val="20"/>
          <w:color w:val="auto"/>
        </w:rPr>
      </w:pPr>
    </w:p>
    <w:p>
      <w:pPr>
        <w:spacing w:after="0" w:line="303"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8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06"/>
        </w:trPr>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80" w:type="dxa"/>
            <w:vAlign w:val="bottom"/>
            <w:gridSpan w:val="5"/>
            <w:vMerge w:val="continue"/>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vMerge w:val="restart"/>
          </w:tcPr>
          <w:p>
            <w:pPr>
              <w:jc w:val="right"/>
              <w:ind w:right="70"/>
              <w:spacing w:after="0" w:line="180" w:lineRule="exact"/>
              <w:rPr>
                <w:sz w:val="20"/>
                <w:szCs w:val="20"/>
                <w:color w:val="auto"/>
              </w:rPr>
            </w:pPr>
            <w:r>
              <w:rPr>
                <w:rFonts w:ascii="Times New Roman" w:cs="Times New Roman" w:eastAsia="Times New Roman" w:hAnsi="Times New Roman"/>
                <w:sz w:val="18"/>
                <w:szCs w:val="18"/>
                <w:b w:val="1"/>
                <w:bCs w:val="1"/>
                <w:color w:val="auto"/>
                <w:w w:val="97"/>
              </w:rPr>
              <w:t>Additional</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vMerge w:val="restart"/>
          </w:tcPr>
          <w:p>
            <w:pPr>
              <w:jc w:val="center"/>
              <w:ind w:right="2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restart"/>
          </w:tcPr>
          <w:p>
            <w:pPr>
              <w:ind w:left="60"/>
              <w:spacing w:after="0" w:line="180"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74"/>
        </w:trPr>
        <w:tc>
          <w:tcPr>
            <w:tcW w:w="2860" w:type="dxa"/>
            <w:vAlign w:val="bottom"/>
          </w:tcPr>
          <w:p>
            <w:pPr>
              <w:spacing w:after="0"/>
              <w:rPr>
                <w:sz w:val="6"/>
                <w:szCs w:val="6"/>
                <w:color w:val="auto"/>
              </w:rPr>
            </w:pPr>
          </w:p>
        </w:tc>
        <w:tc>
          <w:tcPr>
            <w:tcW w:w="20" w:type="dxa"/>
            <w:vAlign w:val="bottom"/>
          </w:tcPr>
          <w:p>
            <w:pPr>
              <w:spacing w:after="0"/>
              <w:rPr>
                <w:sz w:val="6"/>
                <w:szCs w:val="6"/>
                <w:color w:val="auto"/>
              </w:rPr>
            </w:pPr>
          </w:p>
        </w:tc>
        <w:tc>
          <w:tcPr>
            <w:tcW w:w="188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Stock</w:t>
            </w: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2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80" w:type="dxa"/>
            <w:vAlign w:val="bottom"/>
            <w:tcBorders>
              <w:bottom w:val="single" w:sz="8" w:color="auto"/>
            </w:tcBorders>
            <w:gridSpan w:val="5"/>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ind w:right="190"/>
              <w:spacing w:after="0" w:line="174" w:lineRule="exact"/>
              <w:rPr>
                <w:sz w:val="20"/>
                <w:szCs w:val="20"/>
                <w:color w:val="auto"/>
              </w:rPr>
            </w:pPr>
            <w:r>
              <w:rPr>
                <w:rFonts w:ascii="Times New Roman" w:cs="Times New Roman" w:eastAsia="Times New Roman" w:hAnsi="Times New Roman"/>
                <w:sz w:val="18"/>
                <w:szCs w:val="18"/>
                <w:b w:val="1"/>
                <w:bCs w:val="1"/>
                <w:color w:val="auto"/>
              </w:rPr>
              <w:t>Paid-In</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gridSpan w:val="2"/>
          </w:tcPr>
          <w:p>
            <w:pPr>
              <w:ind w:left="60"/>
              <w:spacing w:after="0" w:line="174"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2"/>
          </w:tcPr>
          <w:p>
            <w:pPr>
              <w:jc w:val="right"/>
              <w:ind w:right="30"/>
              <w:spacing w:after="0" w:line="174"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center"/>
              <w:ind w:right="150"/>
              <w:spacing w:after="0" w:line="174" w:lineRule="exact"/>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34"/>
        </w:trPr>
        <w:tc>
          <w:tcPr>
            <w:tcW w:w="2860" w:type="dxa"/>
            <w:vAlign w:val="bottom"/>
            <w:tcBorders>
              <w:bottom w:val="single" w:sz="8" w:color="D2EEF5"/>
            </w:tcBorders>
          </w:tcPr>
          <w:p>
            <w:pPr>
              <w:spacing w:after="0"/>
              <w:rPr>
                <w:sz w:val="20"/>
                <w:szCs w:val="20"/>
                <w:color w:val="auto"/>
              </w:rPr>
            </w:pPr>
          </w:p>
        </w:tc>
        <w:tc>
          <w:tcPr>
            <w:tcW w:w="20" w:type="dxa"/>
            <w:vAlign w:val="bottom"/>
            <w:tcBorders>
              <w:bottom w:val="single" w:sz="8" w:color="D2EEF5"/>
            </w:tcBorders>
          </w:tcPr>
          <w:p>
            <w:pPr>
              <w:spacing w:after="0"/>
              <w:rPr>
                <w:sz w:val="20"/>
                <w:szCs w:val="20"/>
                <w:color w:val="auto"/>
              </w:rPr>
            </w:pPr>
          </w:p>
        </w:tc>
        <w:tc>
          <w:tcPr>
            <w:tcW w:w="9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0" w:type="dxa"/>
            <w:vAlign w:val="bottom"/>
            <w:tcBorders>
              <w:bottom w:val="single" w:sz="8" w:color="D2EEF5"/>
            </w:tcBorders>
          </w:tcPr>
          <w:p>
            <w:pPr>
              <w:spacing w:after="0"/>
              <w:rPr>
                <w:sz w:val="20"/>
                <w:szCs w:val="20"/>
                <w:color w:val="auto"/>
              </w:rPr>
            </w:pPr>
          </w:p>
        </w:tc>
        <w:tc>
          <w:tcPr>
            <w:tcW w:w="20" w:type="dxa"/>
            <w:vAlign w:val="bottom"/>
            <w:tcBorders>
              <w:bottom w:val="single" w:sz="8" w:color="D2EEF5"/>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0" w:type="dxa"/>
            <w:vAlign w:val="bottom"/>
            <w:tcBorders>
              <w:bottom w:val="single" w:sz="8" w:color="D2EEF5"/>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40" w:type="dxa"/>
            <w:vAlign w:val="bottom"/>
            <w:tcBorders>
              <w:bottom w:val="single" w:sz="8" w:color="D2EEF5"/>
            </w:tcBorders>
          </w:tcPr>
          <w:p>
            <w:pPr>
              <w:spacing w:after="0"/>
              <w:rPr>
                <w:sz w:val="20"/>
                <w:szCs w:val="20"/>
                <w:color w:val="auto"/>
              </w:rPr>
            </w:pPr>
          </w:p>
        </w:tc>
        <w:tc>
          <w:tcPr>
            <w:tcW w:w="20" w:type="dxa"/>
            <w:vAlign w:val="bottom"/>
            <w:tcBorders>
              <w:bottom w:val="single" w:sz="8" w:color="D2EEF5"/>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40" w:type="dxa"/>
            <w:vAlign w:val="bottom"/>
            <w:tcBorders>
              <w:bottom w:val="single" w:sz="8" w:color="D2EEF5"/>
            </w:tcBorders>
          </w:tcPr>
          <w:p>
            <w:pPr>
              <w:spacing w:after="0"/>
              <w:rPr>
                <w:sz w:val="20"/>
                <w:szCs w:val="20"/>
                <w:color w:val="auto"/>
              </w:rPr>
            </w:pPr>
          </w:p>
        </w:tc>
        <w:tc>
          <w:tcPr>
            <w:tcW w:w="20" w:type="dxa"/>
            <w:vAlign w:val="bottom"/>
            <w:tcBorders>
              <w:bottom w:val="single" w:sz="8" w:color="D2EEF5"/>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40" w:type="dxa"/>
            <w:vAlign w:val="bottom"/>
            <w:tcBorders>
              <w:bottom w:val="single" w:sz="8" w:color="D2EEF5"/>
            </w:tcBorders>
          </w:tcPr>
          <w:p>
            <w:pPr>
              <w:spacing w:after="0"/>
              <w:rPr>
                <w:sz w:val="20"/>
                <w:szCs w:val="20"/>
                <w:color w:val="auto"/>
              </w:rPr>
            </w:pPr>
          </w:p>
        </w:tc>
        <w:tc>
          <w:tcPr>
            <w:tcW w:w="20" w:type="dxa"/>
            <w:vAlign w:val="bottom"/>
            <w:tcBorders>
              <w:bottom w:val="single" w:sz="8" w:color="D2EEF5"/>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(Deficit)</w:t>
            </w:r>
          </w:p>
        </w:tc>
        <w:tc>
          <w:tcPr>
            <w:tcW w:w="0" w:type="dxa"/>
            <w:vAlign w:val="bottom"/>
          </w:tcPr>
          <w:p>
            <w:pPr>
              <w:spacing w:after="0"/>
              <w:rPr>
                <w:sz w:val="1"/>
                <w:szCs w:val="1"/>
                <w:color w:val="auto"/>
              </w:rPr>
            </w:pPr>
          </w:p>
        </w:tc>
      </w:tr>
      <w:tr>
        <w:trPr>
          <w:trHeight w:val="236"/>
        </w:trPr>
        <w:tc>
          <w:tcPr>
            <w:tcW w:w="2880" w:type="dxa"/>
            <w:vAlign w:val="bottom"/>
            <w:gridSpan w:val="2"/>
            <w:shd w:val="clear" w:color="auto" w:fill="D2EEF5"/>
          </w:tcPr>
          <w:p>
            <w:pPr>
              <w:ind w:left="60"/>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4,578,841</w:t>
            </w:r>
          </w:p>
        </w:tc>
        <w:tc>
          <w:tcPr>
            <w:tcW w:w="200" w:type="dxa"/>
            <w:vAlign w:val="bottom"/>
            <w:gridSpan w:val="3"/>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D2EEF5"/>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D2EEF5"/>
          </w:tcPr>
          <w:p>
            <w:pPr>
              <w:spacing w:after="0"/>
              <w:rPr>
                <w:sz w:val="20"/>
                <w:szCs w:val="20"/>
                <w:color w:val="auto"/>
              </w:rPr>
            </w:pPr>
          </w:p>
        </w:tc>
        <w:tc>
          <w:tcPr>
            <w:tcW w:w="1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787,851</w:t>
            </w:r>
          </w:p>
        </w:tc>
        <w:tc>
          <w:tcPr>
            <w:tcW w:w="360" w:type="dxa"/>
            <w:vAlign w:val="bottom"/>
            <w:gridSpan w:val="3"/>
            <w:shd w:val="clear" w:color="auto" w:fill="D2EEF5"/>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(6,497)</w:t>
            </w:r>
          </w:p>
        </w:tc>
        <w:tc>
          <w:tcPr>
            <w:tcW w:w="320" w:type="dxa"/>
            <w:vAlign w:val="bottom"/>
            <w:gridSpan w:val="3"/>
            <w:shd w:val="clear" w:color="auto" w:fill="D2EEF5"/>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(490,744)</w:t>
            </w:r>
          </w:p>
        </w:tc>
        <w:tc>
          <w:tcPr>
            <w:tcW w:w="280" w:type="dxa"/>
            <w:vAlign w:val="bottom"/>
            <w:gridSpan w:val="3"/>
            <w:shd w:val="clear" w:color="auto" w:fill="D2EEF5"/>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290,610</w:t>
            </w:r>
          </w:p>
        </w:tc>
        <w:tc>
          <w:tcPr>
            <w:tcW w:w="0" w:type="dxa"/>
            <w:vAlign w:val="bottom"/>
          </w:tcPr>
          <w:p>
            <w:pPr>
              <w:spacing w:after="0"/>
              <w:rPr>
                <w:sz w:val="1"/>
                <w:szCs w:val="1"/>
                <w:color w:val="auto"/>
              </w:rPr>
            </w:pPr>
          </w:p>
        </w:tc>
      </w:tr>
      <w:tr>
        <w:trPr>
          <w:trHeight w:val="194"/>
        </w:trPr>
        <w:tc>
          <w:tcPr>
            <w:tcW w:w="2880" w:type="dxa"/>
            <w:vAlign w:val="bottom"/>
            <w:gridSpan w:val="2"/>
          </w:tcPr>
          <w:p>
            <w:pPr>
              <w:ind w:left="180"/>
              <w:spacing w:after="0" w:line="195" w:lineRule="exact"/>
              <w:rPr>
                <w:sz w:val="20"/>
                <w:szCs w:val="20"/>
                <w:color w:val="auto"/>
              </w:rPr>
            </w:pPr>
            <w:r>
              <w:rPr>
                <w:rFonts w:ascii="Times New Roman" w:cs="Times New Roman" w:eastAsia="Times New Roman" w:hAnsi="Times New Roman"/>
                <w:sz w:val="18"/>
                <w:szCs w:val="18"/>
                <w:color w:val="auto"/>
              </w:rPr>
              <w:t>Issuance of common stock for</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53,464</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0"/>
        </w:trPr>
        <w:tc>
          <w:tcPr>
            <w:tcW w:w="2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vesting of stock awards</w:t>
            </w:r>
          </w:p>
        </w:tc>
        <w:tc>
          <w:tcPr>
            <w:tcW w:w="92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880" w:type="dxa"/>
            <w:vAlign w:val="bottom"/>
            <w:gridSpan w:val="2"/>
            <w:shd w:val="clear" w:color="auto" w:fill="D2EEF5"/>
          </w:tcPr>
          <w:p>
            <w:pPr>
              <w:ind w:left="180"/>
              <w:spacing w:after="0" w:line="195" w:lineRule="exact"/>
              <w:rPr>
                <w:sz w:val="20"/>
                <w:szCs w:val="20"/>
                <w:color w:val="auto"/>
              </w:rPr>
            </w:pPr>
            <w:r>
              <w:rPr>
                <w:rFonts w:ascii="Times New Roman" w:cs="Times New Roman" w:eastAsia="Times New Roman" w:hAnsi="Times New Roman"/>
                <w:sz w:val="18"/>
                <w:szCs w:val="18"/>
                <w:color w:val="auto"/>
              </w:rPr>
              <w:t>Shares repurchased for withholding</w:t>
            </w:r>
          </w:p>
        </w:tc>
        <w:tc>
          <w:tcPr>
            <w:tcW w:w="920" w:type="dxa"/>
            <w:vAlign w:val="bottom"/>
            <w:vMerge w:val="restart"/>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(18,026)</w:t>
            </w:r>
          </w:p>
        </w:tc>
        <w:tc>
          <w:tcPr>
            <w:tcW w:w="40" w:type="dxa"/>
            <w:vAlign w:val="bottom"/>
            <w:shd w:val="clear" w:color="auto" w:fill="D2EEF5"/>
          </w:tcPr>
          <w:p>
            <w:pPr>
              <w:spacing w:after="0"/>
              <w:rPr>
                <w:sz w:val="16"/>
                <w:szCs w:val="16"/>
                <w:color w:val="auto"/>
              </w:rPr>
            </w:pPr>
          </w:p>
        </w:tc>
        <w:tc>
          <w:tcPr>
            <w:tcW w:w="20" w:type="dxa"/>
            <w:vAlign w:val="bottom"/>
            <w:shd w:val="clear" w:color="auto" w:fill="D2EEF5"/>
          </w:tcPr>
          <w:p>
            <w:pPr>
              <w:spacing w:after="0"/>
              <w:rPr>
                <w:sz w:val="16"/>
                <w:szCs w:val="16"/>
                <w:color w:val="auto"/>
              </w:rPr>
            </w:pPr>
          </w:p>
        </w:tc>
        <w:tc>
          <w:tcPr>
            <w:tcW w:w="140" w:type="dxa"/>
            <w:vAlign w:val="bottom"/>
            <w:shd w:val="clear" w:color="auto" w:fill="D2EEF5"/>
          </w:tcPr>
          <w:p>
            <w:pPr>
              <w:spacing w:after="0"/>
              <w:rPr>
                <w:sz w:val="16"/>
                <w:szCs w:val="16"/>
                <w:color w:val="auto"/>
              </w:rPr>
            </w:pPr>
          </w:p>
        </w:tc>
        <w:tc>
          <w:tcPr>
            <w:tcW w:w="760" w:type="dxa"/>
            <w:vAlign w:val="bottom"/>
            <w:vMerge w:val="restart"/>
            <w:shd w:val="clear" w:color="auto" w:fill="D2EEF5"/>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D2EEF5"/>
          </w:tcPr>
          <w:p>
            <w:pPr>
              <w:spacing w:after="0"/>
              <w:rPr>
                <w:sz w:val="16"/>
                <w:szCs w:val="16"/>
                <w:color w:val="auto"/>
              </w:rPr>
            </w:pPr>
          </w:p>
        </w:tc>
        <w:tc>
          <w:tcPr>
            <w:tcW w:w="160" w:type="dxa"/>
            <w:vAlign w:val="bottom"/>
            <w:shd w:val="clear" w:color="auto" w:fill="D2EEF5"/>
          </w:tcPr>
          <w:p>
            <w:pPr>
              <w:spacing w:after="0"/>
              <w:rPr>
                <w:sz w:val="16"/>
                <w:szCs w:val="16"/>
                <w:color w:val="auto"/>
              </w:rPr>
            </w:pPr>
          </w:p>
        </w:tc>
        <w:tc>
          <w:tcPr>
            <w:tcW w:w="980" w:type="dxa"/>
            <w:vAlign w:val="bottom"/>
            <w:vMerge w:val="restart"/>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(142)</w:t>
            </w:r>
          </w:p>
        </w:tc>
        <w:tc>
          <w:tcPr>
            <w:tcW w:w="40" w:type="dxa"/>
            <w:vAlign w:val="bottom"/>
            <w:shd w:val="clear" w:color="auto" w:fill="D2EEF5"/>
          </w:tcPr>
          <w:p>
            <w:pPr>
              <w:spacing w:after="0"/>
              <w:rPr>
                <w:sz w:val="16"/>
                <w:szCs w:val="16"/>
                <w:color w:val="auto"/>
              </w:rPr>
            </w:pPr>
          </w:p>
        </w:tc>
        <w:tc>
          <w:tcPr>
            <w:tcW w:w="20" w:type="dxa"/>
            <w:vAlign w:val="bottom"/>
            <w:shd w:val="clear" w:color="auto" w:fill="D2EEF5"/>
          </w:tcPr>
          <w:p>
            <w:pPr>
              <w:spacing w:after="0"/>
              <w:rPr>
                <w:sz w:val="16"/>
                <w:szCs w:val="16"/>
                <w:color w:val="auto"/>
              </w:rPr>
            </w:pPr>
          </w:p>
        </w:tc>
        <w:tc>
          <w:tcPr>
            <w:tcW w:w="300" w:type="dxa"/>
            <w:vAlign w:val="bottom"/>
            <w:shd w:val="clear" w:color="auto" w:fill="D2EEF5"/>
          </w:tcPr>
          <w:p>
            <w:pPr>
              <w:spacing w:after="0"/>
              <w:rPr>
                <w:sz w:val="16"/>
                <w:szCs w:val="16"/>
                <w:color w:val="auto"/>
              </w:rPr>
            </w:pPr>
          </w:p>
        </w:tc>
        <w:tc>
          <w:tcPr>
            <w:tcW w:w="1020" w:type="dxa"/>
            <w:vAlign w:val="bottom"/>
            <w:vMerge w:val="restart"/>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D2EEF5"/>
          </w:tcPr>
          <w:p>
            <w:pPr>
              <w:spacing w:after="0"/>
              <w:rPr>
                <w:sz w:val="16"/>
                <w:szCs w:val="16"/>
                <w:color w:val="auto"/>
              </w:rPr>
            </w:pPr>
          </w:p>
        </w:tc>
        <w:tc>
          <w:tcPr>
            <w:tcW w:w="20" w:type="dxa"/>
            <w:vAlign w:val="bottom"/>
            <w:shd w:val="clear" w:color="auto" w:fill="D2EEF5"/>
          </w:tcPr>
          <w:p>
            <w:pPr>
              <w:spacing w:after="0"/>
              <w:rPr>
                <w:sz w:val="16"/>
                <w:szCs w:val="16"/>
                <w:color w:val="auto"/>
              </w:rPr>
            </w:pPr>
          </w:p>
        </w:tc>
        <w:tc>
          <w:tcPr>
            <w:tcW w:w="260" w:type="dxa"/>
            <w:vAlign w:val="bottom"/>
            <w:shd w:val="clear" w:color="auto" w:fill="D2EEF5"/>
          </w:tcPr>
          <w:p>
            <w:pPr>
              <w:spacing w:after="0"/>
              <w:rPr>
                <w:sz w:val="16"/>
                <w:szCs w:val="16"/>
                <w:color w:val="auto"/>
              </w:rPr>
            </w:pPr>
          </w:p>
        </w:tc>
        <w:tc>
          <w:tcPr>
            <w:tcW w:w="980" w:type="dxa"/>
            <w:vAlign w:val="bottom"/>
            <w:vMerge w:val="restart"/>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D2EEF5"/>
          </w:tcPr>
          <w:p>
            <w:pPr>
              <w:spacing w:after="0"/>
              <w:rPr>
                <w:sz w:val="16"/>
                <w:szCs w:val="16"/>
                <w:color w:val="auto"/>
              </w:rPr>
            </w:pPr>
          </w:p>
        </w:tc>
        <w:tc>
          <w:tcPr>
            <w:tcW w:w="20" w:type="dxa"/>
            <w:vAlign w:val="bottom"/>
            <w:shd w:val="clear" w:color="auto" w:fill="D2EEF5"/>
          </w:tcPr>
          <w:p>
            <w:pPr>
              <w:spacing w:after="0"/>
              <w:rPr>
                <w:sz w:val="16"/>
                <w:szCs w:val="16"/>
                <w:color w:val="auto"/>
              </w:rPr>
            </w:pPr>
          </w:p>
        </w:tc>
        <w:tc>
          <w:tcPr>
            <w:tcW w:w="220" w:type="dxa"/>
            <w:vAlign w:val="bottom"/>
            <w:shd w:val="clear" w:color="auto" w:fill="D2EEF5"/>
          </w:tcPr>
          <w:p>
            <w:pPr>
              <w:spacing w:after="0"/>
              <w:rPr>
                <w:sz w:val="16"/>
                <w:szCs w:val="16"/>
                <w:color w:val="auto"/>
              </w:rPr>
            </w:pPr>
          </w:p>
        </w:tc>
        <w:tc>
          <w:tcPr>
            <w:tcW w:w="960" w:type="dxa"/>
            <w:vAlign w:val="bottom"/>
            <w:vMerge w:val="restart"/>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(142)</w:t>
            </w:r>
          </w:p>
        </w:tc>
        <w:tc>
          <w:tcPr>
            <w:tcW w:w="0" w:type="dxa"/>
            <w:vAlign w:val="bottom"/>
          </w:tcPr>
          <w:p>
            <w:pPr>
              <w:spacing w:after="0"/>
              <w:rPr>
                <w:sz w:val="1"/>
                <w:szCs w:val="1"/>
                <w:color w:val="auto"/>
              </w:rPr>
            </w:pPr>
          </w:p>
        </w:tc>
      </w:tr>
      <w:tr>
        <w:trPr>
          <w:trHeight w:val="241"/>
        </w:trPr>
        <w:tc>
          <w:tcPr>
            <w:tcW w:w="2880" w:type="dxa"/>
            <w:vAlign w:val="bottom"/>
            <w:gridSpan w:val="2"/>
            <w:shd w:val="clear" w:color="auto" w:fill="D2EEF5"/>
          </w:tcPr>
          <w:p>
            <w:pPr>
              <w:ind w:left="180"/>
              <w:spacing w:after="0"/>
              <w:rPr>
                <w:sz w:val="20"/>
                <w:szCs w:val="20"/>
                <w:color w:val="auto"/>
              </w:rPr>
            </w:pPr>
            <w:r>
              <w:rPr>
                <w:rFonts w:ascii="Times New Roman" w:cs="Times New Roman" w:eastAsia="Times New Roman" w:hAnsi="Times New Roman"/>
                <w:sz w:val="18"/>
                <w:szCs w:val="18"/>
                <w:color w:val="auto"/>
              </w:rPr>
              <w:t>tax on stock awards</w:t>
            </w:r>
          </w:p>
        </w:tc>
        <w:tc>
          <w:tcPr>
            <w:tcW w:w="920" w:type="dxa"/>
            <w:vAlign w:val="bottom"/>
            <w:vMerge w:val="continue"/>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40" w:type="dxa"/>
            <w:vAlign w:val="bottom"/>
            <w:shd w:val="clear" w:color="auto" w:fill="D2EEF5"/>
          </w:tcPr>
          <w:p>
            <w:pPr>
              <w:spacing w:after="0"/>
              <w:rPr>
                <w:sz w:val="20"/>
                <w:szCs w:val="20"/>
                <w:color w:val="auto"/>
              </w:rPr>
            </w:pPr>
          </w:p>
        </w:tc>
        <w:tc>
          <w:tcPr>
            <w:tcW w:w="760" w:type="dxa"/>
            <w:vAlign w:val="bottom"/>
            <w:vMerge w:val="continue"/>
            <w:shd w:val="clear" w:color="auto" w:fill="D2EEF5"/>
          </w:tcPr>
          <w:p>
            <w:pPr>
              <w:spacing w:after="0"/>
              <w:rPr>
                <w:sz w:val="20"/>
                <w:szCs w:val="20"/>
                <w:color w:val="auto"/>
              </w:rPr>
            </w:pPr>
          </w:p>
        </w:tc>
        <w:tc>
          <w:tcPr>
            <w:tcW w:w="60" w:type="dxa"/>
            <w:vAlign w:val="bottom"/>
            <w:shd w:val="clear" w:color="auto" w:fill="D2EEF5"/>
          </w:tcPr>
          <w:p>
            <w:pPr>
              <w:spacing w:after="0"/>
              <w:rPr>
                <w:sz w:val="20"/>
                <w:szCs w:val="20"/>
                <w:color w:val="auto"/>
              </w:rPr>
            </w:pPr>
          </w:p>
        </w:tc>
        <w:tc>
          <w:tcPr>
            <w:tcW w:w="160" w:type="dxa"/>
            <w:vAlign w:val="bottom"/>
            <w:shd w:val="clear" w:color="auto" w:fill="D2EEF5"/>
          </w:tcPr>
          <w:p>
            <w:pPr>
              <w:spacing w:after="0"/>
              <w:rPr>
                <w:sz w:val="20"/>
                <w:szCs w:val="20"/>
                <w:color w:val="auto"/>
              </w:rPr>
            </w:pPr>
          </w:p>
        </w:tc>
        <w:tc>
          <w:tcPr>
            <w:tcW w:w="980" w:type="dxa"/>
            <w:vAlign w:val="bottom"/>
            <w:vMerge w:val="continue"/>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300" w:type="dxa"/>
            <w:vAlign w:val="bottom"/>
            <w:shd w:val="clear" w:color="auto" w:fill="D2EEF5"/>
          </w:tcPr>
          <w:p>
            <w:pPr>
              <w:spacing w:after="0"/>
              <w:rPr>
                <w:sz w:val="20"/>
                <w:szCs w:val="20"/>
                <w:color w:val="auto"/>
              </w:rPr>
            </w:pPr>
          </w:p>
        </w:tc>
        <w:tc>
          <w:tcPr>
            <w:tcW w:w="1020" w:type="dxa"/>
            <w:vAlign w:val="bottom"/>
            <w:vMerge w:val="continue"/>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260" w:type="dxa"/>
            <w:vAlign w:val="bottom"/>
            <w:shd w:val="clear" w:color="auto" w:fill="D2EEF5"/>
          </w:tcPr>
          <w:p>
            <w:pPr>
              <w:spacing w:after="0"/>
              <w:rPr>
                <w:sz w:val="20"/>
                <w:szCs w:val="20"/>
                <w:color w:val="auto"/>
              </w:rPr>
            </w:pPr>
          </w:p>
        </w:tc>
        <w:tc>
          <w:tcPr>
            <w:tcW w:w="980" w:type="dxa"/>
            <w:vAlign w:val="bottom"/>
            <w:vMerge w:val="continue"/>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220" w:type="dxa"/>
            <w:vAlign w:val="bottom"/>
            <w:shd w:val="clear" w:color="auto" w:fill="D2EEF5"/>
          </w:tcPr>
          <w:p>
            <w:pPr>
              <w:spacing w:after="0"/>
              <w:rPr>
                <w:sz w:val="20"/>
                <w:szCs w:val="20"/>
                <w:color w:val="auto"/>
              </w:rPr>
            </w:pPr>
          </w:p>
        </w:tc>
        <w:tc>
          <w:tcPr>
            <w:tcW w:w="960" w:type="dxa"/>
            <w:vAlign w:val="bottom"/>
            <w:vMerge w:val="continue"/>
            <w:shd w:val="clear" w:color="auto" w:fill="D2EEF5"/>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2,385</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2,385</w:t>
            </w:r>
          </w:p>
        </w:tc>
        <w:tc>
          <w:tcPr>
            <w:tcW w:w="0" w:type="dxa"/>
            <w:vAlign w:val="bottom"/>
          </w:tcPr>
          <w:p>
            <w:pPr>
              <w:spacing w:after="0"/>
              <w:rPr>
                <w:sz w:val="1"/>
                <w:szCs w:val="1"/>
                <w:color w:val="auto"/>
              </w:rPr>
            </w:pPr>
          </w:p>
        </w:tc>
      </w:tr>
      <w:tr>
        <w:trPr>
          <w:trHeight w:val="257"/>
        </w:trPr>
        <w:tc>
          <w:tcPr>
            <w:tcW w:w="2880" w:type="dxa"/>
            <w:vAlign w:val="bottom"/>
            <w:gridSpan w:val="2"/>
            <w:shd w:val="clear" w:color="auto" w:fill="D2EEF5"/>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D2EEF5"/>
          </w:tcPr>
          <w:p>
            <w:pPr>
              <w:spacing w:after="0"/>
              <w:rPr>
                <w:sz w:val="22"/>
                <w:szCs w:val="22"/>
                <w:color w:val="auto"/>
              </w:rPr>
            </w:pPr>
          </w:p>
        </w:tc>
        <w:tc>
          <w:tcPr>
            <w:tcW w:w="20" w:type="dxa"/>
            <w:vAlign w:val="bottom"/>
            <w:shd w:val="clear" w:color="auto" w:fill="D2EEF5"/>
          </w:tcPr>
          <w:p>
            <w:pPr>
              <w:spacing w:after="0"/>
              <w:rPr>
                <w:sz w:val="22"/>
                <w:szCs w:val="22"/>
                <w:color w:val="auto"/>
              </w:rPr>
            </w:pPr>
          </w:p>
        </w:tc>
        <w:tc>
          <w:tcPr>
            <w:tcW w:w="140" w:type="dxa"/>
            <w:vAlign w:val="bottom"/>
            <w:shd w:val="clear" w:color="auto" w:fill="D2EEF5"/>
          </w:tcPr>
          <w:p>
            <w:pPr>
              <w:spacing w:after="0"/>
              <w:rPr>
                <w:sz w:val="22"/>
                <w:szCs w:val="22"/>
                <w:color w:val="auto"/>
              </w:rPr>
            </w:pPr>
          </w:p>
        </w:tc>
        <w:tc>
          <w:tcPr>
            <w:tcW w:w="760" w:type="dxa"/>
            <w:vAlign w:val="bottom"/>
            <w:shd w:val="clear" w:color="auto" w:fill="D2EEF5"/>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D2EEF5"/>
          </w:tcPr>
          <w:p>
            <w:pPr>
              <w:spacing w:after="0"/>
              <w:rPr>
                <w:sz w:val="22"/>
                <w:szCs w:val="22"/>
                <w:color w:val="auto"/>
              </w:rPr>
            </w:pPr>
          </w:p>
        </w:tc>
        <w:tc>
          <w:tcPr>
            <w:tcW w:w="160" w:type="dxa"/>
            <w:vAlign w:val="bottom"/>
            <w:shd w:val="clear" w:color="auto" w:fill="D2EEF5"/>
          </w:tcPr>
          <w:p>
            <w:pPr>
              <w:spacing w:after="0"/>
              <w:rPr>
                <w:sz w:val="22"/>
                <w:szCs w:val="22"/>
                <w:color w:val="auto"/>
              </w:rPr>
            </w:pPr>
          </w:p>
        </w:tc>
        <w:tc>
          <w:tcPr>
            <w:tcW w:w="9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D2EEF5"/>
          </w:tcPr>
          <w:p>
            <w:pPr>
              <w:spacing w:after="0"/>
              <w:rPr>
                <w:sz w:val="22"/>
                <w:szCs w:val="22"/>
                <w:color w:val="auto"/>
              </w:rPr>
            </w:pPr>
          </w:p>
        </w:tc>
        <w:tc>
          <w:tcPr>
            <w:tcW w:w="20" w:type="dxa"/>
            <w:vAlign w:val="bottom"/>
            <w:shd w:val="clear" w:color="auto" w:fill="D2EEF5"/>
          </w:tcPr>
          <w:p>
            <w:pPr>
              <w:spacing w:after="0"/>
              <w:rPr>
                <w:sz w:val="22"/>
                <w:szCs w:val="22"/>
                <w:color w:val="auto"/>
              </w:rPr>
            </w:pPr>
          </w:p>
        </w:tc>
        <w:tc>
          <w:tcPr>
            <w:tcW w:w="300" w:type="dxa"/>
            <w:vAlign w:val="bottom"/>
            <w:shd w:val="clear" w:color="auto" w:fill="D2EEF5"/>
          </w:tcPr>
          <w:p>
            <w:pPr>
              <w:spacing w:after="0"/>
              <w:rPr>
                <w:sz w:val="22"/>
                <w:szCs w:val="22"/>
                <w:color w:val="auto"/>
              </w:rPr>
            </w:pPr>
          </w:p>
        </w:tc>
        <w:tc>
          <w:tcPr>
            <w:tcW w:w="10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D2EEF5"/>
          </w:tcPr>
          <w:p>
            <w:pPr>
              <w:spacing w:after="0"/>
              <w:rPr>
                <w:sz w:val="22"/>
                <w:szCs w:val="22"/>
                <w:color w:val="auto"/>
              </w:rPr>
            </w:pPr>
          </w:p>
        </w:tc>
        <w:tc>
          <w:tcPr>
            <w:tcW w:w="20" w:type="dxa"/>
            <w:vAlign w:val="bottom"/>
            <w:shd w:val="clear" w:color="auto" w:fill="D2EEF5"/>
          </w:tcPr>
          <w:p>
            <w:pPr>
              <w:spacing w:after="0"/>
              <w:rPr>
                <w:sz w:val="22"/>
                <w:szCs w:val="22"/>
                <w:color w:val="auto"/>
              </w:rPr>
            </w:pPr>
          </w:p>
        </w:tc>
        <w:tc>
          <w:tcPr>
            <w:tcW w:w="260" w:type="dxa"/>
            <w:vAlign w:val="bottom"/>
            <w:shd w:val="clear" w:color="auto" w:fill="D2EEF5"/>
          </w:tcPr>
          <w:p>
            <w:pPr>
              <w:spacing w:after="0"/>
              <w:rPr>
                <w:sz w:val="22"/>
                <w:szCs w:val="22"/>
                <w:color w:val="auto"/>
              </w:rPr>
            </w:pPr>
          </w:p>
        </w:tc>
        <w:tc>
          <w:tcPr>
            <w:tcW w:w="9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(66,717)</w:t>
            </w:r>
          </w:p>
        </w:tc>
        <w:tc>
          <w:tcPr>
            <w:tcW w:w="40" w:type="dxa"/>
            <w:vAlign w:val="bottom"/>
            <w:shd w:val="clear" w:color="auto" w:fill="D2EEF5"/>
          </w:tcPr>
          <w:p>
            <w:pPr>
              <w:spacing w:after="0"/>
              <w:rPr>
                <w:sz w:val="22"/>
                <w:szCs w:val="22"/>
                <w:color w:val="auto"/>
              </w:rPr>
            </w:pPr>
          </w:p>
        </w:tc>
        <w:tc>
          <w:tcPr>
            <w:tcW w:w="20" w:type="dxa"/>
            <w:vAlign w:val="bottom"/>
            <w:shd w:val="clear" w:color="auto" w:fill="D2EEF5"/>
          </w:tcPr>
          <w:p>
            <w:pPr>
              <w:spacing w:after="0"/>
              <w:rPr>
                <w:sz w:val="22"/>
                <w:szCs w:val="22"/>
                <w:color w:val="auto"/>
              </w:rPr>
            </w:pPr>
          </w:p>
        </w:tc>
        <w:tc>
          <w:tcPr>
            <w:tcW w:w="220" w:type="dxa"/>
            <w:vAlign w:val="bottom"/>
            <w:shd w:val="clear" w:color="auto" w:fill="D2EEF5"/>
          </w:tcPr>
          <w:p>
            <w:pPr>
              <w:spacing w:after="0"/>
              <w:rPr>
                <w:sz w:val="22"/>
                <w:szCs w:val="22"/>
                <w:color w:val="auto"/>
              </w:rPr>
            </w:pP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(66,717)</w:t>
            </w:r>
          </w:p>
        </w:tc>
        <w:tc>
          <w:tcPr>
            <w:tcW w:w="0" w:type="dxa"/>
            <w:vAlign w:val="bottom"/>
          </w:tcPr>
          <w:p>
            <w:pPr>
              <w:spacing w:after="0"/>
              <w:rPr>
                <w:sz w:val="1"/>
                <w:szCs w:val="1"/>
                <w:color w:val="auto"/>
              </w:rPr>
            </w:pPr>
          </w:p>
        </w:tc>
      </w:tr>
      <w:tr>
        <w:trPr>
          <w:trHeight w:val="254"/>
        </w:trPr>
        <w:tc>
          <w:tcPr>
            <w:tcW w:w="2880" w:type="dxa"/>
            <w:vAlign w:val="bottom"/>
            <w:tcBorders>
              <w:bottom w:val="single" w:sz="8" w:color="D2EEF5"/>
            </w:tcBorders>
            <w:gridSpan w:val="2"/>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D2EEF5"/>
            </w:tcBorders>
          </w:tcPr>
          <w:p>
            <w:pPr>
              <w:spacing w:after="0"/>
              <w:rPr>
                <w:sz w:val="22"/>
                <w:szCs w:val="22"/>
                <w:color w:val="auto"/>
              </w:rPr>
            </w:pPr>
          </w:p>
        </w:tc>
        <w:tc>
          <w:tcPr>
            <w:tcW w:w="20" w:type="dxa"/>
            <w:vAlign w:val="bottom"/>
            <w:tcBorders>
              <w:bottom w:val="single" w:sz="8" w:color="D2EEF5"/>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bottom w:val="single" w:sz="8" w:color="D2EEF5"/>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D2EEF5"/>
            </w:tcBorders>
          </w:tcPr>
          <w:p>
            <w:pPr>
              <w:spacing w:after="0"/>
              <w:rPr>
                <w:sz w:val="22"/>
                <w:szCs w:val="22"/>
                <w:color w:val="auto"/>
              </w:rPr>
            </w:pPr>
          </w:p>
        </w:tc>
        <w:tc>
          <w:tcPr>
            <w:tcW w:w="20" w:type="dxa"/>
            <w:vAlign w:val="bottom"/>
            <w:tcBorders>
              <w:bottom w:val="single" w:sz="8" w:color="D2EEF5"/>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(2,414)</w:t>
            </w:r>
          </w:p>
        </w:tc>
        <w:tc>
          <w:tcPr>
            <w:tcW w:w="40" w:type="dxa"/>
            <w:vAlign w:val="bottom"/>
            <w:tcBorders>
              <w:bottom w:val="single" w:sz="8" w:color="D2EEF5"/>
            </w:tcBorders>
          </w:tcPr>
          <w:p>
            <w:pPr>
              <w:spacing w:after="0"/>
              <w:rPr>
                <w:sz w:val="22"/>
                <w:szCs w:val="22"/>
                <w:color w:val="auto"/>
              </w:rPr>
            </w:pPr>
          </w:p>
        </w:tc>
        <w:tc>
          <w:tcPr>
            <w:tcW w:w="20" w:type="dxa"/>
            <w:vAlign w:val="bottom"/>
            <w:tcBorders>
              <w:bottom w:val="single" w:sz="8" w:color="D2EEF5"/>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D2EEF5"/>
            </w:tcBorders>
          </w:tcPr>
          <w:p>
            <w:pPr>
              <w:spacing w:after="0"/>
              <w:rPr>
                <w:sz w:val="22"/>
                <w:szCs w:val="22"/>
                <w:color w:val="auto"/>
              </w:rPr>
            </w:pPr>
          </w:p>
        </w:tc>
        <w:tc>
          <w:tcPr>
            <w:tcW w:w="20" w:type="dxa"/>
            <w:vAlign w:val="bottom"/>
            <w:tcBorders>
              <w:bottom w:val="single" w:sz="8" w:color="D2EEF5"/>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(2,414)</w:t>
            </w:r>
          </w:p>
        </w:tc>
        <w:tc>
          <w:tcPr>
            <w:tcW w:w="0" w:type="dxa"/>
            <w:vAlign w:val="bottom"/>
          </w:tcPr>
          <w:p>
            <w:pPr>
              <w:spacing w:after="0"/>
              <w:rPr>
                <w:sz w:val="1"/>
                <w:szCs w:val="1"/>
                <w:color w:val="auto"/>
              </w:rPr>
            </w:pPr>
          </w:p>
        </w:tc>
      </w:tr>
      <w:tr>
        <w:trPr>
          <w:trHeight w:val="236"/>
        </w:trPr>
        <w:tc>
          <w:tcPr>
            <w:tcW w:w="2880" w:type="dxa"/>
            <w:vAlign w:val="bottom"/>
            <w:gridSpan w:val="2"/>
            <w:shd w:val="clear" w:color="auto" w:fill="D2EEF5"/>
          </w:tcPr>
          <w:p>
            <w:pPr>
              <w:ind w:left="6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4,614,279</w:t>
            </w:r>
          </w:p>
        </w:tc>
        <w:tc>
          <w:tcPr>
            <w:tcW w:w="200" w:type="dxa"/>
            <w:vAlign w:val="bottom"/>
            <w:gridSpan w:val="3"/>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D2EEF5"/>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D2EEF5"/>
          </w:tcPr>
          <w:p>
            <w:pPr>
              <w:spacing w:after="0"/>
              <w:rPr>
                <w:sz w:val="20"/>
                <w:szCs w:val="20"/>
                <w:color w:val="auto"/>
              </w:rPr>
            </w:pPr>
          </w:p>
        </w:tc>
        <w:tc>
          <w:tcPr>
            <w:tcW w:w="1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790,094</w:t>
            </w:r>
          </w:p>
        </w:tc>
        <w:tc>
          <w:tcPr>
            <w:tcW w:w="360" w:type="dxa"/>
            <w:vAlign w:val="bottom"/>
            <w:gridSpan w:val="3"/>
            <w:shd w:val="clear" w:color="auto" w:fill="D2EEF5"/>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(8,911)</w:t>
            </w:r>
          </w:p>
        </w:tc>
        <w:tc>
          <w:tcPr>
            <w:tcW w:w="320" w:type="dxa"/>
            <w:vAlign w:val="bottom"/>
            <w:gridSpan w:val="3"/>
            <w:shd w:val="clear" w:color="auto" w:fill="D2EEF5"/>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(557,461)</w:t>
            </w:r>
          </w:p>
        </w:tc>
        <w:tc>
          <w:tcPr>
            <w:tcW w:w="280" w:type="dxa"/>
            <w:vAlign w:val="bottom"/>
            <w:gridSpan w:val="3"/>
            <w:shd w:val="clear" w:color="auto" w:fill="D2EEF5"/>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223,722</w:t>
            </w:r>
          </w:p>
        </w:tc>
        <w:tc>
          <w:tcPr>
            <w:tcW w:w="0" w:type="dxa"/>
            <w:vAlign w:val="bottom"/>
          </w:tcPr>
          <w:p>
            <w:pPr>
              <w:spacing w:after="0"/>
              <w:rPr>
                <w:sz w:val="1"/>
                <w:szCs w:val="1"/>
                <w:color w:val="auto"/>
              </w:rPr>
            </w:pPr>
          </w:p>
        </w:tc>
      </w:tr>
      <w:tr>
        <w:trPr>
          <w:trHeight w:val="194"/>
        </w:trPr>
        <w:tc>
          <w:tcPr>
            <w:tcW w:w="2880" w:type="dxa"/>
            <w:vAlign w:val="bottom"/>
            <w:gridSpan w:val="2"/>
          </w:tcPr>
          <w:p>
            <w:pPr>
              <w:ind w:left="180"/>
              <w:spacing w:after="0" w:line="195" w:lineRule="exact"/>
              <w:rPr>
                <w:sz w:val="20"/>
                <w:szCs w:val="20"/>
                <w:color w:val="auto"/>
              </w:rPr>
            </w:pPr>
            <w:r>
              <w:rPr>
                <w:rFonts w:ascii="Times New Roman" w:cs="Times New Roman" w:eastAsia="Times New Roman" w:hAnsi="Times New Roman"/>
                <w:sz w:val="18"/>
                <w:szCs w:val="18"/>
                <w:color w:val="auto"/>
              </w:rPr>
              <w:t>Issuance of common stock for</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71,194</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0"/>
        </w:trPr>
        <w:tc>
          <w:tcPr>
            <w:tcW w:w="2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vesting of stock awards</w:t>
            </w:r>
          </w:p>
        </w:tc>
        <w:tc>
          <w:tcPr>
            <w:tcW w:w="92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880" w:type="dxa"/>
            <w:vAlign w:val="bottom"/>
            <w:gridSpan w:val="2"/>
            <w:shd w:val="clear" w:color="auto" w:fill="D2EEF5"/>
          </w:tcPr>
          <w:p>
            <w:pPr>
              <w:ind w:left="180"/>
              <w:spacing w:after="0" w:line="195" w:lineRule="exact"/>
              <w:rPr>
                <w:sz w:val="20"/>
                <w:szCs w:val="20"/>
                <w:color w:val="auto"/>
              </w:rPr>
            </w:pPr>
            <w:r>
              <w:rPr>
                <w:rFonts w:ascii="Times New Roman" w:cs="Times New Roman" w:eastAsia="Times New Roman" w:hAnsi="Times New Roman"/>
                <w:sz w:val="18"/>
                <w:szCs w:val="18"/>
                <w:color w:val="auto"/>
              </w:rPr>
              <w:t>Shares repurchased for withholding</w:t>
            </w:r>
          </w:p>
        </w:tc>
        <w:tc>
          <w:tcPr>
            <w:tcW w:w="920" w:type="dxa"/>
            <w:vAlign w:val="bottom"/>
            <w:vMerge w:val="restart"/>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(18,469)</w:t>
            </w:r>
          </w:p>
        </w:tc>
        <w:tc>
          <w:tcPr>
            <w:tcW w:w="40" w:type="dxa"/>
            <w:vAlign w:val="bottom"/>
            <w:shd w:val="clear" w:color="auto" w:fill="D2EEF5"/>
          </w:tcPr>
          <w:p>
            <w:pPr>
              <w:spacing w:after="0"/>
              <w:rPr>
                <w:sz w:val="16"/>
                <w:szCs w:val="16"/>
                <w:color w:val="auto"/>
              </w:rPr>
            </w:pPr>
          </w:p>
        </w:tc>
        <w:tc>
          <w:tcPr>
            <w:tcW w:w="20" w:type="dxa"/>
            <w:vAlign w:val="bottom"/>
            <w:shd w:val="clear" w:color="auto" w:fill="D2EEF5"/>
          </w:tcPr>
          <w:p>
            <w:pPr>
              <w:spacing w:after="0"/>
              <w:rPr>
                <w:sz w:val="16"/>
                <w:szCs w:val="16"/>
                <w:color w:val="auto"/>
              </w:rPr>
            </w:pPr>
          </w:p>
        </w:tc>
        <w:tc>
          <w:tcPr>
            <w:tcW w:w="140" w:type="dxa"/>
            <w:vAlign w:val="bottom"/>
            <w:shd w:val="clear" w:color="auto" w:fill="D2EEF5"/>
          </w:tcPr>
          <w:p>
            <w:pPr>
              <w:spacing w:after="0"/>
              <w:rPr>
                <w:sz w:val="16"/>
                <w:szCs w:val="16"/>
                <w:color w:val="auto"/>
              </w:rPr>
            </w:pPr>
          </w:p>
        </w:tc>
        <w:tc>
          <w:tcPr>
            <w:tcW w:w="760" w:type="dxa"/>
            <w:vAlign w:val="bottom"/>
            <w:vMerge w:val="restart"/>
            <w:shd w:val="clear" w:color="auto" w:fill="D2EEF5"/>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D2EEF5"/>
          </w:tcPr>
          <w:p>
            <w:pPr>
              <w:spacing w:after="0"/>
              <w:rPr>
                <w:sz w:val="16"/>
                <w:szCs w:val="16"/>
                <w:color w:val="auto"/>
              </w:rPr>
            </w:pPr>
          </w:p>
        </w:tc>
        <w:tc>
          <w:tcPr>
            <w:tcW w:w="160" w:type="dxa"/>
            <w:vAlign w:val="bottom"/>
            <w:shd w:val="clear" w:color="auto" w:fill="D2EEF5"/>
          </w:tcPr>
          <w:p>
            <w:pPr>
              <w:spacing w:after="0"/>
              <w:rPr>
                <w:sz w:val="16"/>
                <w:szCs w:val="16"/>
                <w:color w:val="auto"/>
              </w:rPr>
            </w:pPr>
          </w:p>
        </w:tc>
        <w:tc>
          <w:tcPr>
            <w:tcW w:w="980" w:type="dxa"/>
            <w:vAlign w:val="bottom"/>
            <w:vMerge w:val="restart"/>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40" w:type="dxa"/>
            <w:vAlign w:val="bottom"/>
            <w:shd w:val="clear" w:color="auto" w:fill="D2EEF5"/>
          </w:tcPr>
          <w:p>
            <w:pPr>
              <w:spacing w:after="0"/>
              <w:rPr>
                <w:sz w:val="16"/>
                <w:szCs w:val="16"/>
                <w:color w:val="auto"/>
              </w:rPr>
            </w:pPr>
          </w:p>
        </w:tc>
        <w:tc>
          <w:tcPr>
            <w:tcW w:w="20" w:type="dxa"/>
            <w:vAlign w:val="bottom"/>
            <w:shd w:val="clear" w:color="auto" w:fill="D2EEF5"/>
          </w:tcPr>
          <w:p>
            <w:pPr>
              <w:spacing w:after="0"/>
              <w:rPr>
                <w:sz w:val="16"/>
                <w:szCs w:val="16"/>
                <w:color w:val="auto"/>
              </w:rPr>
            </w:pPr>
          </w:p>
        </w:tc>
        <w:tc>
          <w:tcPr>
            <w:tcW w:w="300" w:type="dxa"/>
            <w:vAlign w:val="bottom"/>
            <w:shd w:val="clear" w:color="auto" w:fill="D2EEF5"/>
          </w:tcPr>
          <w:p>
            <w:pPr>
              <w:spacing w:after="0"/>
              <w:rPr>
                <w:sz w:val="16"/>
                <w:szCs w:val="16"/>
                <w:color w:val="auto"/>
              </w:rPr>
            </w:pPr>
          </w:p>
        </w:tc>
        <w:tc>
          <w:tcPr>
            <w:tcW w:w="1020" w:type="dxa"/>
            <w:vAlign w:val="bottom"/>
            <w:vMerge w:val="restart"/>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D2EEF5"/>
          </w:tcPr>
          <w:p>
            <w:pPr>
              <w:spacing w:after="0"/>
              <w:rPr>
                <w:sz w:val="16"/>
                <w:szCs w:val="16"/>
                <w:color w:val="auto"/>
              </w:rPr>
            </w:pPr>
          </w:p>
        </w:tc>
        <w:tc>
          <w:tcPr>
            <w:tcW w:w="20" w:type="dxa"/>
            <w:vAlign w:val="bottom"/>
            <w:shd w:val="clear" w:color="auto" w:fill="D2EEF5"/>
          </w:tcPr>
          <w:p>
            <w:pPr>
              <w:spacing w:after="0"/>
              <w:rPr>
                <w:sz w:val="16"/>
                <w:szCs w:val="16"/>
                <w:color w:val="auto"/>
              </w:rPr>
            </w:pPr>
          </w:p>
        </w:tc>
        <w:tc>
          <w:tcPr>
            <w:tcW w:w="260" w:type="dxa"/>
            <w:vAlign w:val="bottom"/>
            <w:shd w:val="clear" w:color="auto" w:fill="D2EEF5"/>
          </w:tcPr>
          <w:p>
            <w:pPr>
              <w:spacing w:after="0"/>
              <w:rPr>
                <w:sz w:val="16"/>
                <w:szCs w:val="16"/>
                <w:color w:val="auto"/>
              </w:rPr>
            </w:pPr>
          </w:p>
        </w:tc>
        <w:tc>
          <w:tcPr>
            <w:tcW w:w="980" w:type="dxa"/>
            <w:vAlign w:val="bottom"/>
            <w:vMerge w:val="restart"/>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D2EEF5"/>
          </w:tcPr>
          <w:p>
            <w:pPr>
              <w:spacing w:after="0"/>
              <w:rPr>
                <w:sz w:val="16"/>
                <w:szCs w:val="16"/>
                <w:color w:val="auto"/>
              </w:rPr>
            </w:pPr>
          </w:p>
        </w:tc>
        <w:tc>
          <w:tcPr>
            <w:tcW w:w="20" w:type="dxa"/>
            <w:vAlign w:val="bottom"/>
            <w:shd w:val="clear" w:color="auto" w:fill="D2EEF5"/>
          </w:tcPr>
          <w:p>
            <w:pPr>
              <w:spacing w:after="0"/>
              <w:rPr>
                <w:sz w:val="16"/>
                <w:szCs w:val="16"/>
                <w:color w:val="auto"/>
              </w:rPr>
            </w:pPr>
          </w:p>
        </w:tc>
        <w:tc>
          <w:tcPr>
            <w:tcW w:w="220" w:type="dxa"/>
            <w:vAlign w:val="bottom"/>
            <w:shd w:val="clear" w:color="auto" w:fill="D2EEF5"/>
          </w:tcPr>
          <w:p>
            <w:pPr>
              <w:spacing w:after="0"/>
              <w:rPr>
                <w:sz w:val="16"/>
                <w:szCs w:val="16"/>
                <w:color w:val="auto"/>
              </w:rPr>
            </w:pPr>
          </w:p>
        </w:tc>
        <w:tc>
          <w:tcPr>
            <w:tcW w:w="960" w:type="dxa"/>
            <w:vAlign w:val="bottom"/>
            <w:vMerge w:val="restart"/>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0" w:type="dxa"/>
            <w:vAlign w:val="bottom"/>
          </w:tcPr>
          <w:p>
            <w:pPr>
              <w:spacing w:after="0"/>
              <w:rPr>
                <w:sz w:val="1"/>
                <w:szCs w:val="1"/>
                <w:color w:val="auto"/>
              </w:rPr>
            </w:pPr>
          </w:p>
        </w:tc>
      </w:tr>
      <w:tr>
        <w:trPr>
          <w:trHeight w:val="241"/>
        </w:trPr>
        <w:tc>
          <w:tcPr>
            <w:tcW w:w="2880" w:type="dxa"/>
            <w:vAlign w:val="bottom"/>
            <w:gridSpan w:val="2"/>
            <w:shd w:val="clear" w:color="auto" w:fill="D2EEF5"/>
          </w:tcPr>
          <w:p>
            <w:pPr>
              <w:ind w:left="180"/>
              <w:spacing w:after="0"/>
              <w:rPr>
                <w:sz w:val="20"/>
                <w:szCs w:val="20"/>
                <w:color w:val="auto"/>
              </w:rPr>
            </w:pPr>
            <w:r>
              <w:rPr>
                <w:rFonts w:ascii="Times New Roman" w:cs="Times New Roman" w:eastAsia="Times New Roman" w:hAnsi="Times New Roman"/>
                <w:sz w:val="18"/>
                <w:szCs w:val="18"/>
                <w:color w:val="auto"/>
              </w:rPr>
              <w:t>tax on stock awards</w:t>
            </w:r>
          </w:p>
        </w:tc>
        <w:tc>
          <w:tcPr>
            <w:tcW w:w="920" w:type="dxa"/>
            <w:vAlign w:val="bottom"/>
            <w:vMerge w:val="continue"/>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140" w:type="dxa"/>
            <w:vAlign w:val="bottom"/>
            <w:shd w:val="clear" w:color="auto" w:fill="D2EEF5"/>
          </w:tcPr>
          <w:p>
            <w:pPr>
              <w:spacing w:after="0"/>
              <w:rPr>
                <w:sz w:val="20"/>
                <w:szCs w:val="20"/>
                <w:color w:val="auto"/>
              </w:rPr>
            </w:pPr>
          </w:p>
        </w:tc>
        <w:tc>
          <w:tcPr>
            <w:tcW w:w="760" w:type="dxa"/>
            <w:vAlign w:val="bottom"/>
            <w:vMerge w:val="continue"/>
            <w:shd w:val="clear" w:color="auto" w:fill="D2EEF5"/>
          </w:tcPr>
          <w:p>
            <w:pPr>
              <w:spacing w:after="0"/>
              <w:rPr>
                <w:sz w:val="20"/>
                <w:szCs w:val="20"/>
                <w:color w:val="auto"/>
              </w:rPr>
            </w:pPr>
          </w:p>
        </w:tc>
        <w:tc>
          <w:tcPr>
            <w:tcW w:w="60" w:type="dxa"/>
            <w:vAlign w:val="bottom"/>
            <w:shd w:val="clear" w:color="auto" w:fill="D2EEF5"/>
          </w:tcPr>
          <w:p>
            <w:pPr>
              <w:spacing w:after="0"/>
              <w:rPr>
                <w:sz w:val="20"/>
                <w:szCs w:val="20"/>
                <w:color w:val="auto"/>
              </w:rPr>
            </w:pPr>
          </w:p>
        </w:tc>
        <w:tc>
          <w:tcPr>
            <w:tcW w:w="160" w:type="dxa"/>
            <w:vAlign w:val="bottom"/>
            <w:shd w:val="clear" w:color="auto" w:fill="D2EEF5"/>
          </w:tcPr>
          <w:p>
            <w:pPr>
              <w:spacing w:after="0"/>
              <w:rPr>
                <w:sz w:val="20"/>
                <w:szCs w:val="20"/>
                <w:color w:val="auto"/>
              </w:rPr>
            </w:pPr>
          </w:p>
        </w:tc>
        <w:tc>
          <w:tcPr>
            <w:tcW w:w="980" w:type="dxa"/>
            <w:vAlign w:val="bottom"/>
            <w:vMerge w:val="continue"/>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300" w:type="dxa"/>
            <w:vAlign w:val="bottom"/>
            <w:shd w:val="clear" w:color="auto" w:fill="D2EEF5"/>
          </w:tcPr>
          <w:p>
            <w:pPr>
              <w:spacing w:after="0"/>
              <w:rPr>
                <w:sz w:val="20"/>
                <w:szCs w:val="20"/>
                <w:color w:val="auto"/>
              </w:rPr>
            </w:pPr>
          </w:p>
        </w:tc>
        <w:tc>
          <w:tcPr>
            <w:tcW w:w="1020" w:type="dxa"/>
            <w:vAlign w:val="bottom"/>
            <w:vMerge w:val="continue"/>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260" w:type="dxa"/>
            <w:vAlign w:val="bottom"/>
            <w:shd w:val="clear" w:color="auto" w:fill="D2EEF5"/>
          </w:tcPr>
          <w:p>
            <w:pPr>
              <w:spacing w:after="0"/>
              <w:rPr>
                <w:sz w:val="20"/>
                <w:szCs w:val="20"/>
                <w:color w:val="auto"/>
              </w:rPr>
            </w:pPr>
          </w:p>
        </w:tc>
        <w:tc>
          <w:tcPr>
            <w:tcW w:w="980" w:type="dxa"/>
            <w:vAlign w:val="bottom"/>
            <w:vMerge w:val="continue"/>
            <w:shd w:val="clear" w:color="auto" w:fill="D2EEF5"/>
          </w:tcPr>
          <w:p>
            <w:pPr>
              <w:spacing w:after="0"/>
              <w:rPr>
                <w:sz w:val="20"/>
                <w:szCs w:val="20"/>
                <w:color w:val="auto"/>
              </w:rPr>
            </w:pPr>
          </w:p>
        </w:tc>
        <w:tc>
          <w:tcPr>
            <w:tcW w:w="4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220" w:type="dxa"/>
            <w:vAlign w:val="bottom"/>
            <w:shd w:val="clear" w:color="auto" w:fill="D2EEF5"/>
          </w:tcPr>
          <w:p>
            <w:pPr>
              <w:spacing w:after="0"/>
              <w:rPr>
                <w:sz w:val="20"/>
                <w:szCs w:val="20"/>
                <w:color w:val="auto"/>
              </w:rPr>
            </w:pPr>
          </w:p>
        </w:tc>
        <w:tc>
          <w:tcPr>
            <w:tcW w:w="960" w:type="dxa"/>
            <w:vAlign w:val="bottom"/>
            <w:vMerge w:val="continue"/>
            <w:shd w:val="clear" w:color="auto" w:fill="D2EEF5"/>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1,179</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1,179</w:t>
            </w:r>
          </w:p>
        </w:tc>
        <w:tc>
          <w:tcPr>
            <w:tcW w:w="0" w:type="dxa"/>
            <w:vAlign w:val="bottom"/>
          </w:tcPr>
          <w:p>
            <w:pPr>
              <w:spacing w:after="0"/>
              <w:rPr>
                <w:sz w:val="1"/>
                <w:szCs w:val="1"/>
                <w:color w:val="auto"/>
              </w:rPr>
            </w:pPr>
          </w:p>
        </w:tc>
      </w:tr>
      <w:tr>
        <w:trPr>
          <w:trHeight w:val="257"/>
        </w:trPr>
        <w:tc>
          <w:tcPr>
            <w:tcW w:w="2880" w:type="dxa"/>
            <w:vAlign w:val="bottom"/>
            <w:gridSpan w:val="2"/>
            <w:shd w:val="clear" w:color="auto" w:fill="D2EEF5"/>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D2EEF5"/>
          </w:tcPr>
          <w:p>
            <w:pPr>
              <w:spacing w:after="0"/>
              <w:rPr>
                <w:sz w:val="22"/>
                <w:szCs w:val="22"/>
                <w:color w:val="auto"/>
              </w:rPr>
            </w:pPr>
          </w:p>
        </w:tc>
        <w:tc>
          <w:tcPr>
            <w:tcW w:w="20" w:type="dxa"/>
            <w:vAlign w:val="bottom"/>
            <w:shd w:val="clear" w:color="auto" w:fill="D2EEF5"/>
          </w:tcPr>
          <w:p>
            <w:pPr>
              <w:spacing w:after="0"/>
              <w:rPr>
                <w:sz w:val="22"/>
                <w:szCs w:val="22"/>
                <w:color w:val="auto"/>
              </w:rPr>
            </w:pPr>
          </w:p>
        </w:tc>
        <w:tc>
          <w:tcPr>
            <w:tcW w:w="140" w:type="dxa"/>
            <w:vAlign w:val="bottom"/>
            <w:shd w:val="clear" w:color="auto" w:fill="D2EEF5"/>
          </w:tcPr>
          <w:p>
            <w:pPr>
              <w:spacing w:after="0"/>
              <w:rPr>
                <w:sz w:val="22"/>
                <w:szCs w:val="22"/>
                <w:color w:val="auto"/>
              </w:rPr>
            </w:pPr>
          </w:p>
        </w:tc>
        <w:tc>
          <w:tcPr>
            <w:tcW w:w="760" w:type="dxa"/>
            <w:vAlign w:val="bottom"/>
            <w:shd w:val="clear" w:color="auto" w:fill="D2EEF5"/>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D2EEF5"/>
          </w:tcPr>
          <w:p>
            <w:pPr>
              <w:spacing w:after="0"/>
              <w:rPr>
                <w:sz w:val="22"/>
                <w:szCs w:val="22"/>
                <w:color w:val="auto"/>
              </w:rPr>
            </w:pPr>
          </w:p>
        </w:tc>
        <w:tc>
          <w:tcPr>
            <w:tcW w:w="160" w:type="dxa"/>
            <w:vAlign w:val="bottom"/>
            <w:shd w:val="clear" w:color="auto" w:fill="D2EEF5"/>
          </w:tcPr>
          <w:p>
            <w:pPr>
              <w:spacing w:after="0"/>
              <w:rPr>
                <w:sz w:val="22"/>
                <w:szCs w:val="22"/>
                <w:color w:val="auto"/>
              </w:rPr>
            </w:pPr>
          </w:p>
        </w:tc>
        <w:tc>
          <w:tcPr>
            <w:tcW w:w="9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D2EEF5"/>
          </w:tcPr>
          <w:p>
            <w:pPr>
              <w:spacing w:after="0"/>
              <w:rPr>
                <w:sz w:val="22"/>
                <w:szCs w:val="22"/>
                <w:color w:val="auto"/>
              </w:rPr>
            </w:pPr>
          </w:p>
        </w:tc>
        <w:tc>
          <w:tcPr>
            <w:tcW w:w="20" w:type="dxa"/>
            <w:vAlign w:val="bottom"/>
            <w:shd w:val="clear" w:color="auto" w:fill="D2EEF5"/>
          </w:tcPr>
          <w:p>
            <w:pPr>
              <w:spacing w:after="0"/>
              <w:rPr>
                <w:sz w:val="22"/>
                <w:szCs w:val="22"/>
                <w:color w:val="auto"/>
              </w:rPr>
            </w:pPr>
          </w:p>
        </w:tc>
        <w:tc>
          <w:tcPr>
            <w:tcW w:w="300" w:type="dxa"/>
            <w:vAlign w:val="bottom"/>
            <w:shd w:val="clear" w:color="auto" w:fill="D2EEF5"/>
          </w:tcPr>
          <w:p>
            <w:pPr>
              <w:spacing w:after="0"/>
              <w:rPr>
                <w:sz w:val="22"/>
                <w:szCs w:val="22"/>
                <w:color w:val="auto"/>
              </w:rPr>
            </w:pPr>
          </w:p>
        </w:tc>
        <w:tc>
          <w:tcPr>
            <w:tcW w:w="10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D2EEF5"/>
          </w:tcPr>
          <w:p>
            <w:pPr>
              <w:spacing w:after="0"/>
              <w:rPr>
                <w:sz w:val="22"/>
                <w:szCs w:val="22"/>
                <w:color w:val="auto"/>
              </w:rPr>
            </w:pPr>
          </w:p>
        </w:tc>
        <w:tc>
          <w:tcPr>
            <w:tcW w:w="20" w:type="dxa"/>
            <w:vAlign w:val="bottom"/>
            <w:shd w:val="clear" w:color="auto" w:fill="D2EEF5"/>
          </w:tcPr>
          <w:p>
            <w:pPr>
              <w:spacing w:after="0"/>
              <w:rPr>
                <w:sz w:val="22"/>
                <w:szCs w:val="22"/>
                <w:color w:val="auto"/>
              </w:rPr>
            </w:pPr>
          </w:p>
        </w:tc>
        <w:tc>
          <w:tcPr>
            <w:tcW w:w="260" w:type="dxa"/>
            <w:vAlign w:val="bottom"/>
            <w:shd w:val="clear" w:color="auto" w:fill="D2EEF5"/>
          </w:tcPr>
          <w:p>
            <w:pPr>
              <w:spacing w:after="0"/>
              <w:rPr>
                <w:sz w:val="22"/>
                <w:szCs w:val="22"/>
                <w:color w:val="auto"/>
              </w:rPr>
            </w:pPr>
          </w:p>
        </w:tc>
        <w:tc>
          <w:tcPr>
            <w:tcW w:w="9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(289,790)</w:t>
            </w:r>
          </w:p>
        </w:tc>
        <w:tc>
          <w:tcPr>
            <w:tcW w:w="40" w:type="dxa"/>
            <w:vAlign w:val="bottom"/>
            <w:shd w:val="clear" w:color="auto" w:fill="D2EEF5"/>
          </w:tcPr>
          <w:p>
            <w:pPr>
              <w:spacing w:after="0"/>
              <w:rPr>
                <w:sz w:val="22"/>
                <w:szCs w:val="22"/>
                <w:color w:val="auto"/>
              </w:rPr>
            </w:pPr>
          </w:p>
        </w:tc>
        <w:tc>
          <w:tcPr>
            <w:tcW w:w="20" w:type="dxa"/>
            <w:vAlign w:val="bottom"/>
            <w:shd w:val="clear" w:color="auto" w:fill="D2EEF5"/>
          </w:tcPr>
          <w:p>
            <w:pPr>
              <w:spacing w:after="0"/>
              <w:rPr>
                <w:sz w:val="22"/>
                <w:szCs w:val="22"/>
                <w:color w:val="auto"/>
              </w:rPr>
            </w:pPr>
          </w:p>
        </w:tc>
        <w:tc>
          <w:tcPr>
            <w:tcW w:w="220" w:type="dxa"/>
            <w:vAlign w:val="bottom"/>
            <w:shd w:val="clear" w:color="auto" w:fill="D2EEF5"/>
          </w:tcPr>
          <w:p>
            <w:pPr>
              <w:spacing w:after="0"/>
              <w:rPr>
                <w:sz w:val="22"/>
                <w:szCs w:val="22"/>
                <w:color w:val="auto"/>
              </w:rPr>
            </w:pP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(289,790)</w:t>
            </w:r>
          </w:p>
        </w:tc>
        <w:tc>
          <w:tcPr>
            <w:tcW w:w="0" w:type="dxa"/>
            <w:vAlign w:val="bottom"/>
          </w:tcPr>
          <w:p>
            <w:pPr>
              <w:spacing w:after="0"/>
              <w:rPr>
                <w:sz w:val="1"/>
                <w:szCs w:val="1"/>
                <w:color w:val="auto"/>
              </w:rPr>
            </w:pPr>
          </w:p>
        </w:tc>
      </w:tr>
      <w:tr>
        <w:trPr>
          <w:trHeight w:val="254"/>
        </w:trPr>
        <w:tc>
          <w:tcPr>
            <w:tcW w:w="2880" w:type="dxa"/>
            <w:vAlign w:val="bottom"/>
            <w:tcBorders>
              <w:bottom w:val="single" w:sz="8" w:color="D2EEF5"/>
            </w:tcBorders>
            <w:gridSpan w:val="2"/>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gain</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D2EEF5"/>
            </w:tcBorders>
          </w:tcPr>
          <w:p>
            <w:pPr>
              <w:spacing w:after="0"/>
              <w:rPr>
                <w:sz w:val="22"/>
                <w:szCs w:val="22"/>
                <w:color w:val="auto"/>
              </w:rPr>
            </w:pPr>
          </w:p>
        </w:tc>
        <w:tc>
          <w:tcPr>
            <w:tcW w:w="20" w:type="dxa"/>
            <w:vAlign w:val="bottom"/>
            <w:tcBorders>
              <w:bottom w:val="single" w:sz="8" w:color="D2EEF5"/>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bottom w:val="single" w:sz="8" w:color="D2EEF5"/>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D2EEF5"/>
            </w:tcBorders>
          </w:tcPr>
          <w:p>
            <w:pPr>
              <w:spacing w:after="0"/>
              <w:rPr>
                <w:sz w:val="22"/>
                <w:szCs w:val="22"/>
                <w:color w:val="auto"/>
              </w:rPr>
            </w:pPr>
          </w:p>
        </w:tc>
        <w:tc>
          <w:tcPr>
            <w:tcW w:w="20" w:type="dxa"/>
            <w:vAlign w:val="bottom"/>
            <w:tcBorders>
              <w:bottom w:val="single" w:sz="8" w:color="D2EEF5"/>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1,639</w:t>
            </w:r>
          </w:p>
        </w:tc>
        <w:tc>
          <w:tcPr>
            <w:tcW w:w="40" w:type="dxa"/>
            <w:vAlign w:val="bottom"/>
            <w:tcBorders>
              <w:bottom w:val="single" w:sz="8" w:color="D2EEF5"/>
            </w:tcBorders>
          </w:tcPr>
          <w:p>
            <w:pPr>
              <w:spacing w:after="0"/>
              <w:rPr>
                <w:sz w:val="22"/>
                <w:szCs w:val="22"/>
                <w:color w:val="auto"/>
              </w:rPr>
            </w:pPr>
          </w:p>
        </w:tc>
        <w:tc>
          <w:tcPr>
            <w:tcW w:w="20" w:type="dxa"/>
            <w:vAlign w:val="bottom"/>
            <w:tcBorders>
              <w:bottom w:val="single" w:sz="8" w:color="D2EEF5"/>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D2EEF5"/>
            </w:tcBorders>
          </w:tcPr>
          <w:p>
            <w:pPr>
              <w:spacing w:after="0"/>
              <w:rPr>
                <w:sz w:val="22"/>
                <w:szCs w:val="22"/>
                <w:color w:val="auto"/>
              </w:rPr>
            </w:pPr>
          </w:p>
        </w:tc>
        <w:tc>
          <w:tcPr>
            <w:tcW w:w="20" w:type="dxa"/>
            <w:vAlign w:val="bottom"/>
            <w:tcBorders>
              <w:bottom w:val="single" w:sz="8" w:color="D2EEF5"/>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1,639</w:t>
            </w:r>
          </w:p>
        </w:tc>
        <w:tc>
          <w:tcPr>
            <w:tcW w:w="0" w:type="dxa"/>
            <w:vAlign w:val="bottom"/>
          </w:tcPr>
          <w:p>
            <w:pPr>
              <w:spacing w:after="0"/>
              <w:rPr>
                <w:sz w:val="1"/>
                <w:szCs w:val="1"/>
                <w:color w:val="auto"/>
              </w:rPr>
            </w:pPr>
          </w:p>
        </w:tc>
      </w:tr>
      <w:tr>
        <w:trPr>
          <w:trHeight w:val="238"/>
        </w:trPr>
        <w:tc>
          <w:tcPr>
            <w:tcW w:w="2880" w:type="dxa"/>
            <w:vAlign w:val="bottom"/>
            <w:gridSpan w:val="2"/>
            <w:shd w:val="clear" w:color="auto" w:fill="D2EEF5"/>
          </w:tcPr>
          <w:p>
            <w:pPr>
              <w:ind w:left="60"/>
              <w:spacing w:after="0"/>
              <w:rPr>
                <w:sz w:val="20"/>
                <w:szCs w:val="20"/>
                <w:color w:val="auto"/>
              </w:rPr>
            </w:pPr>
            <w:r>
              <w:rPr>
                <w:rFonts w:ascii="Times New Roman" w:cs="Times New Roman" w:eastAsia="Times New Roman" w:hAnsi="Times New Roman"/>
                <w:sz w:val="18"/>
                <w:szCs w:val="18"/>
                <w:b w:val="1"/>
                <w:bCs w:val="1"/>
                <w:color w:val="auto"/>
              </w:rPr>
              <w:t>Balance, December 31, 2025</w:t>
            </w: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4,667,004</w:t>
            </w:r>
          </w:p>
        </w:tc>
        <w:tc>
          <w:tcPr>
            <w:tcW w:w="200" w:type="dxa"/>
            <w:vAlign w:val="bottom"/>
            <w:gridSpan w:val="3"/>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D2EEF5"/>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D2EEF5"/>
          </w:tcPr>
          <w:p>
            <w:pPr>
              <w:spacing w:after="0"/>
              <w:rPr>
                <w:sz w:val="20"/>
                <w:szCs w:val="20"/>
                <w:color w:val="auto"/>
              </w:rPr>
            </w:pPr>
          </w:p>
        </w:tc>
        <w:tc>
          <w:tcPr>
            <w:tcW w:w="1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791,227</w:t>
            </w:r>
          </w:p>
        </w:tc>
        <w:tc>
          <w:tcPr>
            <w:tcW w:w="360" w:type="dxa"/>
            <w:vAlign w:val="bottom"/>
            <w:gridSpan w:val="3"/>
            <w:shd w:val="clear" w:color="auto" w:fill="D2EEF5"/>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(7,272)</w:t>
            </w:r>
          </w:p>
        </w:tc>
        <w:tc>
          <w:tcPr>
            <w:tcW w:w="320" w:type="dxa"/>
            <w:vAlign w:val="bottom"/>
            <w:gridSpan w:val="3"/>
            <w:shd w:val="clear" w:color="auto" w:fill="D2EEF5"/>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(847,251)</w:t>
            </w:r>
          </w:p>
        </w:tc>
        <w:tc>
          <w:tcPr>
            <w:tcW w:w="280" w:type="dxa"/>
            <w:vAlign w:val="bottom"/>
            <w:gridSpan w:val="3"/>
            <w:shd w:val="clear" w:color="auto" w:fill="D2EEF5"/>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(63,296)</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 consolidated financial statements.</w:t>
      </w:r>
    </w:p>
    <w:p>
      <w:pPr>
        <w:sectPr>
          <w:pgSz w:w="12240" w:h="15840" w:orient="portrait"/>
          <w:cols w:equalWidth="0" w:num="1">
            <w:col w:w="10340"/>
          </w:cols>
          <w:pgMar w:left="720" w:top="430"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10340"/>
          </w:cols>
          <w:pgMar w:left="720" w:top="430" w:right="1180" w:bottom="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7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4"/>
          <w:szCs w:val="24"/>
          <w:b w:val="1"/>
          <w:bCs w:val="1"/>
          <w:color w:val="auto"/>
        </w:rPr>
        <w:t>Hydrofarm Holdings Group, Inc.</w:t>
      </w:r>
    </w:p>
    <w:p>
      <w:pPr>
        <w:spacing w:after="0" w:line="20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7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155" w:lineRule="exact"/>
        <w:rPr>
          <w:sz w:val="20"/>
          <w:szCs w:val="20"/>
          <w:color w:val="auto"/>
        </w:rPr>
      </w:pPr>
    </w:p>
    <w:tbl>
      <w:tblPr>
        <w:tblLayout w:type="fixed"/>
        <w:tblInd w:w="180" w:type="dxa"/>
        <w:tblCellMar>
          <w:top w:w="0" w:type="dxa"/>
          <w:left w:w="0" w:type="dxa"/>
          <w:bottom w:w="0" w:type="dxa"/>
          <w:right w:w="0" w:type="dxa"/>
        </w:tblCellMar>
      </w:tblPr>
      <w:tr>
        <w:trPr>
          <w:trHeight w:val="263"/>
        </w:trPr>
        <w:tc>
          <w:tcPr>
            <w:tcW w:w="7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0" w:type="dxa"/>
            <w:vAlign w:val="bottom"/>
          </w:tcPr>
          <w:p>
            <w:pPr>
              <w:spacing w:after="0"/>
              <w:rPr>
                <w:sz w:val="1"/>
                <w:szCs w:val="1"/>
                <w:color w:val="auto"/>
              </w:rPr>
            </w:pPr>
          </w:p>
        </w:tc>
      </w:tr>
      <w:tr>
        <w:trPr>
          <w:trHeight w:val="236"/>
        </w:trPr>
        <w:tc>
          <w:tcPr>
            <w:tcW w:w="7200" w:type="dxa"/>
            <w:vAlign w:val="bottom"/>
            <w:tcBorders>
              <w:bottom w:val="single" w:sz="8" w:color="D2EEF5"/>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Borders>
              <w:bottom w:val="single" w:sz="8" w:color="D2EEF5"/>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34"/>
        </w:trPr>
        <w:tc>
          <w:tcPr>
            <w:tcW w:w="720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(289,790)</w:t>
            </w:r>
          </w:p>
        </w:tc>
        <w:tc>
          <w:tcPr>
            <w:tcW w:w="60" w:type="dxa"/>
            <w:vAlign w:val="bottom"/>
            <w:shd w:val="clear" w:color="auto" w:fill="D2EEF5"/>
          </w:tcPr>
          <w:p>
            <w:pPr>
              <w:spacing w:after="0"/>
              <w:rPr>
                <w:sz w:val="20"/>
                <w:szCs w:val="20"/>
                <w:color w:val="auto"/>
              </w:rPr>
            </w:pPr>
          </w:p>
        </w:tc>
        <w:tc>
          <w:tcPr>
            <w:tcW w:w="300" w:type="dxa"/>
            <w:vAlign w:val="bottom"/>
            <w:shd w:val="clear" w:color="auto" w:fill="D2EEF5"/>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(66,717)</w:t>
            </w:r>
          </w:p>
        </w:tc>
        <w:tc>
          <w:tcPr>
            <w:tcW w:w="0" w:type="dxa"/>
            <w:vAlign w:val="bottom"/>
          </w:tcPr>
          <w:p>
            <w:pPr>
              <w:spacing w:after="0"/>
              <w:rPr>
                <w:sz w:val="1"/>
                <w:szCs w:val="1"/>
                <w:color w:val="auto"/>
              </w:rPr>
            </w:pPr>
          </w:p>
        </w:tc>
      </w:tr>
      <w:tr>
        <w:trPr>
          <w:trHeight w:val="252"/>
        </w:trPr>
        <w:tc>
          <w:tcPr>
            <w:tcW w:w="7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7200" w:type="dxa"/>
            <w:vAlign w:val="bottom"/>
            <w:shd w:val="clear" w:color="auto" w:fill="D2EEF5"/>
          </w:tcPr>
          <w:p>
            <w:pPr>
              <w:ind w:left="30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240" w:type="dxa"/>
            <w:vAlign w:val="bottom"/>
            <w:shd w:val="clear" w:color="auto" w:fill="D2EEF5"/>
          </w:tcPr>
          <w:p>
            <w:pPr>
              <w:spacing w:after="0"/>
              <w:rPr>
                <w:sz w:val="22"/>
                <w:szCs w:val="22"/>
                <w:color w:val="auto"/>
              </w:rPr>
            </w:pPr>
          </w:p>
        </w:tc>
        <w:tc>
          <w:tcPr>
            <w:tcW w:w="10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23,142</w:t>
            </w:r>
          </w:p>
        </w:tc>
        <w:tc>
          <w:tcPr>
            <w:tcW w:w="60" w:type="dxa"/>
            <w:vAlign w:val="bottom"/>
            <w:shd w:val="clear" w:color="auto" w:fill="D2EEF5"/>
          </w:tcPr>
          <w:p>
            <w:pPr>
              <w:spacing w:after="0"/>
              <w:rPr>
                <w:sz w:val="22"/>
                <w:szCs w:val="22"/>
                <w:color w:val="auto"/>
              </w:rPr>
            </w:pPr>
          </w:p>
        </w:tc>
        <w:tc>
          <w:tcPr>
            <w:tcW w:w="300" w:type="dxa"/>
            <w:vAlign w:val="bottom"/>
            <w:shd w:val="clear" w:color="auto" w:fill="D2EEF5"/>
          </w:tcPr>
          <w:p>
            <w:pPr>
              <w:spacing w:after="0"/>
              <w:rPr>
                <w:sz w:val="22"/>
                <w:szCs w:val="22"/>
                <w:color w:val="auto"/>
              </w:rPr>
            </w:pP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30,691</w:t>
            </w:r>
          </w:p>
        </w:tc>
        <w:tc>
          <w:tcPr>
            <w:tcW w:w="0" w:type="dxa"/>
            <w:vAlign w:val="bottom"/>
          </w:tcPr>
          <w:p>
            <w:pPr>
              <w:spacing w:after="0"/>
              <w:rPr>
                <w:sz w:val="1"/>
                <w:szCs w:val="1"/>
                <w:color w:val="auto"/>
              </w:rPr>
            </w:pPr>
          </w:p>
        </w:tc>
      </w:tr>
      <w:tr>
        <w:trPr>
          <w:trHeight w:val="254"/>
        </w:trPr>
        <w:tc>
          <w:tcPr>
            <w:tcW w:w="7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838</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314</w:t>
            </w:r>
          </w:p>
        </w:tc>
        <w:tc>
          <w:tcPr>
            <w:tcW w:w="0" w:type="dxa"/>
            <w:vAlign w:val="bottom"/>
          </w:tcPr>
          <w:p>
            <w:pPr>
              <w:spacing w:after="0"/>
              <w:rPr>
                <w:sz w:val="1"/>
                <w:szCs w:val="1"/>
                <w:color w:val="auto"/>
              </w:rPr>
            </w:pPr>
          </w:p>
        </w:tc>
      </w:tr>
      <w:tr>
        <w:trPr>
          <w:trHeight w:val="256"/>
        </w:trPr>
        <w:tc>
          <w:tcPr>
            <w:tcW w:w="7200" w:type="dxa"/>
            <w:vAlign w:val="bottom"/>
            <w:shd w:val="clear" w:color="auto" w:fill="D2EEF5"/>
          </w:tcPr>
          <w:p>
            <w:pPr>
              <w:ind w:left="300"/>
              <w:spacing w:after="0"/>
              <w:rPr>
                <w:sz w:val="20"/>
                <w:szCs w:val="20"/>
                <w:color w:val="auto"/>
              </w:rPr>
            </w:pPr>
            <w:r>
              <w:rPr>
                <w:rFonts w:ascii="Times New Roman" w:cs="Times New Roman" w:eastAsia="Times New Roman" w:hAnsi="Times New Roman"/>
                <w:sz w:val="18"/>
                <w:szCs w:val="18"/>
                <w:color w:val="auto"/>
              </w:rPr>
              <w:t>Provision for inventory obsolescence</w:t>
            </w:r>
          </w:p>
        </w:tc>
        <w:tc>
          <w:tcPr>
            <w:tcW w:w="240" w:type="dxa"/>
            <w:vAlign w:val="bottom"/>
            <w:shd w:val="clear" w:color="auto" w:fill="D2EEF5"/>
          </w:tcPr>
          <w:p>
            <w:pPr>
              <w:spacing w:after="0"/>
              <w:rPr>
                <w:sz w:val="22"/>
                <w:szCs w:val="22"/>
                <w:color w:val="auto"/>
              </w:rPr>
            </w:pPr>
          </w:p>
        </w:tc>
        <w:tc>
          <w:tcPr>
            <w:tcW w:w="10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1,398</w:t>
            </w:r>
          </w:p>
        </w:tc>
        <w:tc>
          <w:tcPr>
            <w:tcW w:w="60" w:type="dxa"/>
            <w:vAlign w:val="bottom"/>
            <w:shd w:val="clear" w:color="auto" w:fill="D2EEF5"/>
          </w:tcPr>
          <w:p>
            <w:pPr>
              <w:spacing w:after="0"/>
              <w:rPr>
                <w:sz w:val="22"/>
                <w:szCs w:val="22"/>
                <w:color w:val="auto"/>
              </w:rPr>
            </w:pPr>
          </w:p>
        </w:tc>
        <w:tc>
          <w:tcPr>
            <w:tcW w:w="300" w:type="dxa"/>
            <w:vAlign w:val="bottom"/>
            <w:shd w:val="clear" w:color="auto" w:fill="D2EEF5"/>
          </w:tcPr>
          <w:p>
            <w:pPr>
              <w:spacing w:after="0"/>
              <w:rPr>
                <w:sz w:val="22"/>
                <w:szCs w:val="22"/>
                <w:color w:val="auto"/>
              </w:rPr>
            </w:pP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2,002</w:t>
            </w:r>
          </w:p>
        </w:tc>
        <w:tc>
          <w:tcPr>
            <w:tcW w:w="0" w:type="dxa"/>
            <w:vAlign w:val="bottom"/>
          </w:tcPr>
          <w:p>
            <w:pPr>
              <w:spacing w:after="0"/>
              <w:rPr>
                <w:sz w:val="1"/>
                <w:szCs w:val="1"/>
                <w:color w:val="auto"/>
              </w:rPr>
            </w:pPr>
          </w:p>
        </w:tc>
      </w:tr>
      <w:tr>
        <w:trPr>
          <w:trHeight w:val="254"/>
        </w:trPr>
        <w:tc>
          <w:tcPr>
            <w:tcW w:w="7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Restructuring expenses</w:t>
            </w: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4,386</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806</w:t>
            </w:r>
          </w:p>
        </w:tc>
        <w:tc>
          <w:tcPr>
            <w:tcW w:w="0" w:type="dxa"/>
            <w:vAlign w:val="bottom"/>
          </w:tcPr>
          <w:p>
            <w:pPr>
              <w:spacing w:after="0"/>
              <w:rPr>
                <w:sz w:val="1"/>
                <w:szCs w:val="1"/>
                <w:color w:val="auto"/>
              </w:rPr>
            </w:pPr>
          </w:p>
        </w:tc>
      </w:tr>
      <w:tr>
        <w:trPr>
          <w:trHeight w:val="256"/>
        </w:trPr>
        <w:tc>
          <w:tcPr>
            <w:tcW w:w="7200" w:type="dxa"/>
            <w:vAlign w:val="bottom"/>
            <w:shd w:val="clear" w:color="auto" w:fill="D2EEF5"/>
          </w:tcPr>
          <w:p>
            <w:pPr>
              <w:ind w:left="3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shd w:val="clear" w:color="auto" w:fill="D2EEF5"/>
          </w:tcPr>
          <w:p>
            <w:pPr>
              <w:spacing w:after="0"/>
              <w:rPr>
                <w:sz w:val="22"/>
                <w:szCs w:val="22"/>
                <w:color w:val="auto"/>
              </w:rPr>
            </w:pPr>
          </w:p>
        </w:tc>
        <w:tc>
          <w:tcPr>
            <w:tcW w:w="10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1,179</w:t>
            </w:r>
          </w:p>
        </w:tc>
        <w:tc>
          <w:tcPr>
            <w:tcW w:w="60" w:type="dxa"/>
            <w:vAlign w:val="bottom"/>
            <w:shd w:val="clear" w:color="auto" w:fill="D2EEF5"/>
          </w:tcPr>
          <w:p>
            <w:pPr>
              <w:spacing w:after="0"/>
              <w:rPr>
                <w:sz w:val="22"/>
                <w:szCs w:val="22"/>
                <w:color w:val="auto"/>
              </w:rPr>
            </w:pPr>
          </w:p>
        </w:tc>
        <w:tc>
          <w:tcPr>
            <w:tcW w:w="300" w:type="dxa"/>
            <w:vAlign w:val="bottom"/>
            <w:shd w:val="clear" w:color="auto" w:fill="D2EEF5"/>
          </w:tcPr>
          <w:p>
            <w:pPr>
              <w:spacing w:after="0"/>
              <w:rPr>
                <w:sz w:val="22"/>
                <w:szCs w:val="22"/>
                <w:color w:val="auto"/>
              </w:rPr>
            </w:pP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2,385</w:t>
            </w:r>
          </w:p>
        </w:tc>
        <w:tc>
          <w:tcPr>
            <w:tcW w:w="0" w:type="dxa"/>
            <w:vAlign w:val="bottom"/>
          </w:tcPr>
          <w:p>
            <w:pPr>
              <w:spacing w:after="0"/>
              <w:rPr>
                <w:sz w:val="1"/>
                <w:szCs w:val="1"/>
                <w:color w:val="auto"/>
              </w:rPr>
            </w:pPr>
          </w:p>
        </w:tc>
      </w:tr>
      <w:tr>
        <w:trPr>
          <w:trHeight w:val="254"/>
        </w:trPr>
        <w:tc>
          <w:tcPr>
            <w:tcW w:w="7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Non-cash operating lease expense</w:t>
            </w: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7,933</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8,248</w:t>
            </w:r>
          </w:p>
        </w:tc>
        <w:tc>
          <w:tcPr>
            <w:tcW w:w="0" w:type="dxa"/>
            <w:vAlign w:val="bottom"/>
          </w:tcPr>
          <w:p>
            <w:pPr>
              <w:spacing w:after="0"/>
              <w:rPr>
                <w:sz w:val="1"/>
                <w:szCs w:val="1"/>
                <w:color w:val="auto"/>
              </w:rPr>
            </w:pPr>
          </w:p>
        </w:tc>
      </w:tr>
      <w:tr>
        <w:trPr>
          <w:trHeight w:val="256"/>
        </w:trPr>
        <w:tc>
          <w:tcPr>
            <w:tcW w:w="7200" w:type="dxa"/>
            <w:vAlign w:val="bottom"/>
            <w:shd w:val="clear" w:color="auto" w:fill="D2EEF5"/>
          </w:tcPr>
          <w:p>
            <w:pPr>
              <w:ind w:left="300"/>
              <w:spacing w:after="0"/>
              <w:rPr>
                <w:sz w:val="20"/>
                <w:szCs w:val="20"/>
                <w:color w:val="auto"/>
              </w:rPr>
            </w:pPr>
            <w:r>
              <w:rPr>
                <w:rFonts w:ascii="Times New Roman" w:cs="Times New Roman" w:eastAsia="Times New Roman" w:hAnsi="Times New Roman"/>
                <w:sz w:val="18"/>
                <w:szCs w:val="18"/>
                <w:color w:val="auto"/>
              </w:rPr>
              <w:t>Impairments</w:t>
            </w:r>
          </w:p>
        </w:tc>
        <w:tc>
          <w:tcPr>
            <w:tcW w:w="240" w:type="dxa"/>
            <w:vAlign w:val="bottom"/>
            <w:shd w:val="clear" w:color="auto" w:fill="D2EEF5"/>
          </w:tcPr>
          <w:p>
            <w:pPr>
              <w:spacing w:after="0"/>
              <w:rPr>
                <w:sz w:val="22"/>
                <w:szCs w:val="22"/>
                <w:color w:val="auto"/>
              </w:rPr>
            </w:pPr>
          </w:p>
        </w:tc>
        <w:tc>
          <w:tcPr>
            <w:tcW w:w="10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232,179</w:t>
            </w:r>
          </w:p>
        </w:tc>
        <w:tc>
          <w:tcPr>
            <w:tcW w:w="60" w:type="dxa"/>
            <w:vAlign w:val="bottom"/>
            <w:shd w:val="clear" w:color="auto" w:fill="D2EEF5"/>
          </w:tcPr>
          <w:p>
            <w:pPr>
              <w:spacing w:after="0"/>
              <w:rPr>
                <w:sz w:val="22"/>
                <w:szCs w:val="22"/>
                <w:color w:val="auto"/>
              </w:rPr>
            </w:pPr>
          </w:p>
        </w:tc>
        <w:tc>
          <w:tcPr>
            <w:tcW w:w="300" w:type="dxa"/>
            <w:vAlign w:val="bottom"/>
            <w:shd w:val="clear" w:color="auto" w:fill="D2EEF5"/>
          </w:tcPr>
          <w:p>
            <w:pPr>
              <w:spacing w:after="0"/>
              <w:rPr>
                <w:sz w:val="22"/>
                <w:szCs w:val="22"/>
                <w:color w:val="auto"/>
              </w:rPr>
            </w:pP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4"/>
        </w:trPr>
        <w:tc>
          <w:tcPr>
            <w:tcW w:w="7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Non-cash loss from asset disposition</w:t>
            </w: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11,103</w:t>
            </w:r>
          </w:p>
        </w:tc>
        <w:tc>
          <w:tcPr>
            <w:tcW w:w="0" w:type="dxa"/>
            <w:vAlign w:val="bottom"/>
          </w:tcPr>
          <w:p>
            <w:pPr>
              <w:spacing w:after="0"/>
              <w:rPr>
                <w:sz w:val="1"/>
                <w:szCs w:val="1"/>
                <w:color w:val="auto"/>
              </w:rPr>
            </w:pPr>
          </w:p>
        </w:tc>
      </w:tr>
      <w:tr>
        <w:trPr>
          <w:trHeight w:val="256"/>
        </w:trPr>
        <w:tc>
          <w:tcPr>
            <w:tcW w:w="7200" w:type="dxa"/>
            <w:vAlign w:val="bottom"/>
            <w:shd w:val="clear" w:color="auto" w:fill="D2EEF5"/>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D2EEF5"/>
          </w:tcPr>
          <w:p>
            <w:pPr>
              <w:spacing w:after="0"/>
              <w:rPr>
                <w:sz w:val="22"/>
                <w:szCs w:val="22"/>
                <w:color w:val="auto"/>
              </w:rPr>
            </w:pPr>
          </w:p>
        </w:tc>
        <w:tc>
          <w:tcPr>
            <w:tcW w:w="10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126</w:t>
            </w:r>
          </w:p>
        </w:tc>
        <w:tc>
          <w:tcPr>
            <w:tcW w:w="60" w:type="dxa"/>
            <w:vAlign w:val="bottom"/>
            <w:shd w:val="clear" w:color="auto" w:fill="D2EEF5"/>
          </w:tcPr>
          <w:p>
            <w:pPr>
              <w:spacing w:after="0"/>
              <w:rPr>
                <w:sz w:val="22"/>
                <w:szCs w:val="22"/>
                <w:color w:val="auto"/>
              </w:rPr>
            </w:pPr>
          </w:p>
        </w:tc>
        <w:tc>
          <w:tcPr>
            <w:tcW w:w="300" w:type="dxa"/>
            <w:vAlign w:val="bottom"/>
            <w:shd w:val="clear" w:color="auto" w:fill="D2EEF5"/>
          </w:tcPr>
          <w:p>
            <w:pPr>
              <w:spacing w:after="0"/>
              <w:rPr>
                <w:sz w:val="22"/>
                <w:szCs w:val="22"/>
                <w:color w:val="auto"/>
              </w:rPr>
            </w:pP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1,118</w:t>
            </w:r>
          </w:p>
        </w:tc>
        <w:tc>
          <w:tcPr>
            <w:tcW w:w="0" w:type="dxa"/>
            <w:vAlign w:val="bottom"/>
          </w:tcPr>
          <w:p>
            <w:pPr>
              <w:spacing w:after="0"/>
              <w:rPr>
                <w:sz w:val="1"/>
                <w:szCs w:val="1"/>
                <w:color w:val="auto"/>
              </w:rPr>
            </w:pPr>
          </w:p>
        </w:tc>
      </w:tr>
      <w:tr>
        <w:trPr>
          <w:trHeight w:val="252"/>
        </w:trPr>
        <w:tc>
          <w:tcPr>
            <w:tcW w:w="7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7200" w:type="dxa"/>
            <w:vAlign w:val="bottom"/>
            <w:shd w:val="clear" w:color="auto" w:fill="D2EEF5"/>
          </w:tcPr>
          <w:p>
            <w:pPr>
              <w:ind w:left="30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D2EEF5"/>
          </w:tcPr>
          <w:p>
            <w:pPr>
              <w:spacing w:after="0"/>
              <w:rPr>
                <w:sz w:val="22"/>
                <w:szCs w:val="22"/>
                <w:color w:val="auto"/>
              </w:rPr>
            </w:pPr>
          </w:p>
        </w:tc>
        <w:tc>
          <w:tcPr>
            <w:tcW w:w="1080" w:type="dxa"/>
            <w:vAlign w:val="bottom"/>
            <w:shd w:val="clear" w:color="auto" w:fill="D2EEF5"/>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5,711</w:t>
            </w:r>
          </w:p>
        </w:tc>
        <w:tc>
          <w:tcPr>
            <w:tcW w:w="60" w:type="dxa"/>
            <w:vAlign w:val="bottom"/>
            <w:shd w:val="clear" w:color="auto" w:fill="D2EEF5"/>
          </w:tcPr>
          <w:p>
            <w:pPr>
              <w:spacing w:after="0"/>
              <w:rPr>
                <w:sz w:val="22"/>
                <w:szCs w:val="22"/>
                <w:color w:val="auto"/>
              </w:rPr>
            </w:pPr>
          </w:p>
        </w:tc>
        <w:tc>
          <w:tcPr>
            <w:tcW w:w="300" w:type="dxa"/>
            <w:vAlign w:val="bottom"/>
            <w:shd w:val="clear" w:color="auto" w:fill="D2EEF5"/>
          </w:tcPr>
          <w:p>
            <w:pPr>
              <w:spacing w:after="0"/>
              <w:rPr>
                <w:sz w:val="22"/>
                <w:szCs w:val="22"/>
                <w:color w:val="auto"/>
              </w:rPr>
            </w:pP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1,616</w:t>
            </w:r>
          </w:p>
        </w:tc>
        <w:tc>
          <w:tcPr>
            <w:tcW w:w="0" w:type="dxa"/>
            <w:vAlign w:val="bottom"/>
          </w:tcPr>
          <w:p>
            <w:pPr>
              <w:spacing w:after="0"/>
              <w:rPr>
                <w:sz w:val="1"/>
                <w:szCs w:val="1"/>
                <w:color w:val="auto"/>
              </w:rPr>
            </w:pPr>
          </w:p>
        </w:tc>
      </w:tr>
      <w:tr>
        <w:trPr>
          <w:trHeight w:val="254"/>
        </w:trPr>
        <w:tc>
          <w:tcPr>
            <w:tcW w:w="7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12,121</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14,415</w:t>
            </w:r>
          </w:p>
        </w:tc>
        <w:tc>
          <w:tcPr>
            <w:tcW w:w="0" w:type="dxa"/>
            <w:vAlign w:val="bottom"/>
          </w:tcPr>
          <w:p>
            <w:pPr>
              <w:spacing w:after="0"/>
              <w:rPr>
                <w:sz w:val="1"/>
                <w:szCs w:val="1"/>
                <w:color w:val="auto"/>
              </w:rPr>
            </w:pPr>
          </w:p>
        </w:tc>
      </w:tr>
      <w:tr>
        <w:trPr>
          <w:trHeight w:val="256"/>
        </w:trPr>
        <w:tc>
          <w:tcPr>
            <w:tcW w:w="7200" w:type="dxa"/>
            <w:vAlign w:val="bottom"/>
            <w:shd w:val="clear" w:color="auto" w:fill="D2EEF5"/>
          </w:tcPr>
          <w:p>
            <w:pPr>
              <w:ind w:left="3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shd w:val="clear" w:color="auto" w:fill="D2EEF5"/>
          </w:tcPr>
          <w:p>
            <w:pPr>
              <w:spacing w:after="0"/>
              <w:rPr>
                <w:sz w:val="22"/>
                <w:szCs w:val="22"/>
                <w:color w:val="auto"/>
              </w:rPr>
            </w:pPr>
          </w:p>
        </w:tc>
        <w:tc>
          <w:tcPr>
            <w:tcW w:w="10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c>
          <w:tcPr>
            <w:tcW w:w="60" w:type="dxa"/>
            <w:vAlign w:val="bottom"/>
            <w:shd w:val="clear" w:color="auto" w:fill="D2EEF5"/>
          </w:tcPr>
          <w:p>
            <w:pPr>
              <w:spacing w:after="0"/>
              <w:rPr>
                <w:sz w:val="22"/>
                <w:szCs w:val="22"/>
                <w:color w:val="auto"/>
              </w:rPr>
            </w:pPr>
          </w:p>
        </w:tc>
        <w:tc>
          <w:tcPr>
            <w:tcW w:w="300" w:type="dxa"/>
            <w:vAlign w:val="bottom"/>
            <w:shd w:val="clear" w:color="auto" w:fill="D2EEF5"/>
          </w:tcPr>
          <w:p>
            <w:pPr>
              <w:spacing w:after="0"/>
              <w:rPr>
                <w:sz w:val="22"/>
                <w:szCs w:val="22"/>
                <w:color w:val="auto"/>
              </w:rPr>
            </w:pP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1,568</w:t>
            </w:r>
          </w:p>
        </w:tc>
        <w:tc>
          <w:tcPr>
            <w:tcW w:w="0" w:type="dxa"/>
            <w:vAlign w:val="bottom"/>
          </w:tcPr>
          <w:p>
            <w:pPr>
              <w:spacing w:after="0"/>
              <w:rPr>
                <w:sz w:val="1"/>
                <w:szCs w:val="1"/>
                <w:color w:val="auto"/>
              </w:rPr>
            </w:pPr>
          </w:p>
        </w:tc>
      </w:tr>
      <w:tr>
        <w:trPr>
          <w:trHeight w:val="254"/>
        </w:trPr>
        <w:tc>
          <w:tcPr>
            <w:tcW w:w="7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0" w:type="dxa"/>
            <w:vAlign w:val="bottom"/>
          </w:tcPr>
          <w:p>
            <w:pPr>
              <w:spacing w:after="0"/>
              <w:rPr>
                <w:sz w:val="1"/>
                <w:szCs w:val="1"/>
                <w:color w:val="auto"/>
              </w:rPr>
            </w:pPr>
          </w:p>
        </w:tc>
      </w:tr>
      <w:tr>
        <w:trPr>
          <w:trHeight w:val="256"/>
        </w:trPr>
        <w:tc>
          <w:tcPr>
            <w:tcW w:w="7200" w:type="dxa"/>
            <w:vAlign w:val="bottom"/>
            <w:shd w:val="clear" w:color="auto" w:fill="D2EEF5"/>
          </w:tcPr>
          <w:p>
            <w:pPr>
              <w:ind w:left="3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D2EEF5"/>
          </w:tcPr>
          <w:p>
            <w:pPr>
              <w:spacing w:after="0"/>
              <w:rPr>
                <w:sz w:val="22"/>
                <w:szCs w:val="22"/>
                <w:color w:val="auto"/>
              </w:rPr>
            </w:pPr>
          </w:p>
        </w:tc>
        <w:tc>
          <w:tcPr>
            <w:tcW w:w="10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(2,661)</w:t>
            </w:r>
          </w:p>
        </w:tc>
        <w:tc>
          <w:tcPr>
            <w:tcW w:w="60" w:type="dxa"/>
            <w:vAlign w:val="bottom"/>
            <w:shd w:val="clear" w:color="auto" w:fill="D2EEF5"/>
          </w:tcPr>
          <w:p>
            <w:pPr>
              <w:spacing w:after="0"/>
              <w:rPr>
                <w:sz w:val="22"/>
                <w:szCs w:val="22"/>
                <w:color w:val="auto"/>
              </w:rPr>
            </w:pPr>
          </w:p>
        </w:tc>
        <w:tc>
          <w:tcPr>
            <w:tcW w:w="300" w:type="dxa"/>
            <w:vAlign w:val="bottom"/>
            <w:shd w:val="clear" w:color="auto" w:fill="D2EEF5"/>
          </w:tcPr>
          <w:p>
            <w:pPr>
              <w:spacing w:after="0"/>
              <w:rPr>
                <w:sz w:val="22"/>
                <w:szCs w:val="22"/>
                <w:color w:val="auto"/>
              </w:rPr>
            </w:pP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0" w:type="dxa"/>
            <w:vAlign w:val="bottom"/>
          </w:tcPr>
          <w:p>
            <w:pPr>
              <w:spacing w:after="0"/>
              <w:rPr>
                <w:sz w:val="1"/>
                <w:szCs w:val="1"/>
                <w:color w:val="auto"/>
              </w:rPr>
            </w:pPr>
          </w:p>
        </w:tc>
      </w:tr>
      <w:tr>
        <w:trPr>
          <w:trHeight w:val="254"/>
        </w:trPr>
        <w:tc>
          <w:tcPr>
            <w:tcW w:w="7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(3,043)</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1,648</w:t>
            </w:r>
          </w:p>
        </w:tc>
        <w:tc>
          <w:tcPr>
            <w:tcW w:w="0" w:type="dxa"/>
            <w:vAlign w:val="bottom"/>
          </w:tcPr>
          <w:p>
            <w:pPr>
              <w:spacing w:after="0"/>
              <w:rPr>
                <w:sz w:val="1"/>
                <w:szCs w:val="1"/>
                <w:color w:val="auto"/>
              </w:rPr>
            </w:pPr>
          </w:p>
        </w:tc>
      </w:tr>
      <w:tr>
        <w:trPr>
          <w:trHeight w:val="256"/>
        </w:trPr>
        <w:tc>
          <w:tcPr>
            <w:tcW w:w="7200" w:type="dxa"/>
            <w:vAlign w:val="bottom"/>
            <w:shd w:val="clear" w:color="auto" w:fill="D2EEF5"/>
          </w:tcPr>
          <w:p>
            <w:pPr>
              <w:ind w:left="30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D2EEF5"/>
          </w:tcPr>
          <w:p>
            <w:pPr>
              <w:spacing w:after="0"/>
              <w:rPr>
                <w:sz w:val="22"/>
                <w:szCs w:val="22"/>
                <w:color w:val="auto"/>
              </w:rPr>
            </w:pPr>
          </w:p>
        </w:tc>
        <w:tc>
          <w:tcPr>
            <w:tcW w:w="1080" w:type="dxa"/>
            <w:vAlign w:val="bottom"/>
            <w:shd w:val="clear" w:color="auto" w:fill="D2EEF5"/>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117</w:t>
            </w:r>
          </w:p>
        </w:tc>
        <w:tc>
          <w:tcPr>
            <w:tcW w:w="60" w:type="dxa"/>
            <w:vAlign w:val="bottom"/>
            <w:shd w:val="clear" w:color="auto" w:fill="D2EEF5"/>
          </w:tcPr>
          <w:p>
            <w:pPr>
              <w:spacing w:after="0"/>
              <w:rPr>
                <w:sz w:val="22"/>
                <w:szCs w:val="22"/>
                <w:color w:val="auto"/>
              </w:rPr>
            </w:pPr>
          </w:p>
        </w:tc>
        <w:tc>
          <w:tcPr>
            <w:tcW w:w="300" w:type="dxa"/>
            <w:vAlign w:val="bottom"/>
            <w:shd w:val="clear" w:color="auto" w:fill="D2EEF5"/>
          </w:tcPr>
          <w:p>
            <w:pPr>
              <w:spacing w:after="0"/>
              <w:rPr>
                <w:sz w:val="22"/>
                <w:szCs w:val="22"/>
                <w:color w:val="auto"/>
              </w:rPr>
            </w:pP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(601)</w:t>
            </w:r>
          </w:p>
        </w:tc>
        <w:tc>
          <w:tcPr>
            <w:tcW w:w="0" w:type="dxa"/>
            <w:vAlign w:val="bottom"/>
          </w:tcPr>
          <w:p>
            <w:pPr>
              <w:spacing w:after="0"/>
              <w:rPr>
                <w:sz w:val="1"/>
                <w:szCs w:val="1"/>
                <w:color w:val="auto"/>
              </w:rPr>
            </w:pPr>
          </w:p>
        </w:tc>
      </w:tr>
      <w:tr>
        <w:trPr>
          <w:trHeight w:val="254"/>
        </w:trPr>
        <w:tc>
          <w:tcPr>
            <w:tcW w:w="7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 liabilities</w:t>
            </w: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(7,784)</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(8,932)</w:t>
            </w:r>
          </w:p>
        </w:tc>
        <w:tc>
          <w:tcPr>
            <w:tcW w:w="0" w:type="dxa"/>
            <w:vAlign w:val="bottom"/>
          </w:tcPr>
          <w:p>
            <w:pPr>
              <w:spacing w:after="0"/>
              <w:rPr>
                <w:sz w:val="1"/>
                <w:szCs w:val="1"/>
                <w:color w:val="auto"/>
              </w:rPr>
            </w:pPr>
          </w:p>
        </w:tc>
      </w:tr>
      <w:tr>
        <w:trPr>
          <w:trHeight w:val="256"/>
        </w:trPr>
        <w:tc>
          <w:tcPr>
            <w:tcW w:w="7200" w:type="dxa"/>
            <w:vAlign w:val="bottom"/>
            <w:shd w:val="clear" w:color="auto" w:fill="D2EEF5"/>
          </w:tcPr>
          <w:p>
            <w:pPr>
              <w:ind w:left="3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auto"/>
            </w:tcBorders>
            <w:shd w:val="clear" w:color="auto" w:fill="D2EEF5"/>
          </w:tcPr>
          <w:p>
            <w:pPr>
              <w:spacing w:after="0"/>
              <w:rPr>
                <w:sz w:val="22"/>
                <w:szCs w:val="22"/>
                <w:color w:val="auto"/>
              </w:rPr>
            </w:pPr>
          </w:p>
        </w:tc>
        <w:tc>
          <w:tcPr>
            <w:tcW w:w="10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60" w:type="dxa"/>
            <w:vAlign w:val="bottom"/>
            <w:shd w:val="clear" w:color="auto" w:fill="D2EEF5"/>
          </w:tcPr>
          <w:p>
            <w:pPr>
              <w:spacing w:after="0"/>
              <w:rPr>
                <w:sz w:val="22"/>
                <w:szCs w:val="22"/>
                <w:color w:val="auto"/>
              </w:rPr>
            </w:pPr>
          </w:p>
        </w:tc>
        <w:tc>
          <w:tcPr>
            <w:tcW w:w="300" w:type="dxa"/>
            <w:vAlign w:val="bottom"/>
            <w:tcBorders>
              <w:bottom w:val="single" w:sz="8" w:color="auto"/>
            </w:tcBorders>
            <w:shd w:val="clear" w:color="auto" w:fill="D2EEF5"/>
          </w:tcPr>
          <w:p>
            <w:pPr>
              <w:spacing w:after="0"/>
              <w:rPr>
                <w:sz w:val="22"/>
                <w:szCs w:val="22"/>
                <w:color w:val="auto"/>
              </w:rPr>
            </w:pPr>
          </w:p>
        </w:tc>
        <w:tc>
          <w:tcPr>
            <w:tcW w:w="10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0" w:type="dxa"/>
            <w:vAlign w:val="bottom"/>
          </w:tcPr>
          <w:p>
            <w:pPr>
              <w:spacing w:after="0"/>
              <w:rPr>
                <w:sz w:val="1"/>
                <w:szCs w:val="1"/>
                <w:color w:val="auto"/>
              </w:rPr>
            </w:pPr>
          </w:p>
        </w:tc>
      </w:tr>
      <w:tr>
        <w:trPr>
          <w:trHeight w:val="236"/>
        </w:trPr>
        <w:tc>
          <w:tcPr>
            <w:tcW w:w="7200" w:type="dxa"/>
            <w:vAlign w:val="bottom"/>
            <w:tcBorders>
              <w:bottom w:val="single" w:sz="8" w:color="D2EEF5"/>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(14,059)</w:t>
            </w:r>
          </w:p>
        </w:tc>
        <w:tc>
          <w:tcPr>
            <w:tcW w:w="60" w:type="dxa"/>
            <w:vAlign w:val="bottom"/>
            <w:tcBorders>
              <w:bottom w:val="single" w:sz="8" w:color="D2EEF5"/>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(324)</w:t>
            </w:r>
          </w:p>
        </w:tc>
        <w:tc>
          <w:tcPr>
            <w:tcW w:w="0" w:type="dxa"/>
            <w:vAlign w:val="bottom"/>
          </w:tcPr>
          <w:p>
            <w:pPr>
              <w:spacing w:after="0"/>
              <w:rPr>
                <w:sz w:val="1"/>
                <w:szCs w:val="1"/>
                <w:color w:val="auto"/>
              </w:rPr>
            </w:pPr>
          </w:p>
        </w:tc>
      </w:tr>
      <w:tr>
        <w:trPr>
          <w:trHeight w:val="234"/>
        </w:trPr>
        <w:tc>
          <w:tcPr>
            <w:tcW w:w="7200" w:type="dxa"/>
            <w:vAlign w:val="bottom"/>
            <w:shd w:val="clear" w:color="auto" w:fill="D2EEF5"/>
          </w:tcPr>
          <w:p>
            <w:pPr>
              <w:ind w:left="8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40" w:type="dxa"/>
            <w:vAlign w:val="bottom"/>
            <w:shd w:val="clear" w:color="auto" w:fill="D2EEF5"/>
          </w:tcPr>
          <w:p>
            <w:pPr>
              <w:spacing w:after="0"/>
              <w:rPr>
                <w:sz w:val="20"/>
                <w:szCs w:val="20"/>
                <w:color w:val="auto"/>
              </w:rPr>
            </w:pPr>
          </w:p>
        </w:tc>
        <w:tc>
          <w:tcPr>
            <w:tcW w:w="1080" w:type="dxa"/>
            <w:vAlign w:val="bottom"/>
            <w:shd w:val="clear" w:color="auto" w:fill="D2EEF5"/>
          </w:tcPr>
          <w:p>
            <w:pPr>
              <w:spacing w:after="0"/>
              <w:rPr>
                <w:sz w:val="20"/>
                <w:szCs w:val="20"/>
                <w:color w:val="auto"/>
              </w:rPr>
            </w:pPr>
          </w:p>
        </w:tc>
        <w:tc>
          <w:tcPr>
            <w:tcW w:w="60" w:type="dxa"/>
            <w:vAlign w:val="bottom"/>
            <w:shd w:val="clear" w:color="auto" w:fill="D2EEF5"/>
          </w:tcPr>
          <w:p>
            <w:pPr>
              <w:spacing w:after="0"/>
              <w:rPr>
                <w:sz w:val="20"/>
                <w:szCs w:val="20"/>
                <w:color w:val="auto"/>
              </w:rPr>
            </w:pPr>
          </w:p>
        </w:tc>
        <w:tc>
          <w:tcPr>
            <w:tcW w:w="300" w:type="dxa"/>
            <w:vAlign w:val="bottom"/>
            <w:shd w:val="clear" w:color="auto" w:fill="D2EEF5"/>
          </w:tcPr>
          <w:p>
            <w:pPr>
              <w:spacing w:after="0"/>
              <w:rPr>
                <w:sz w:val="20"/>
                <w:szCs w:val="20"/>
                <w:color w:val="auto"/>
              </w:rPr>
            </w:pPr>
          </w:p>
        </w:tc>
        <w:tc>
          <w:tcPr>
            <w:tcW w:w="1000" w:type="dxa"/>
            <w:vAlign w:val="bottom"/>
            <w:shd w:val="clear" w:color="auto" w:fill="D2EEF5"/>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7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Capital expenditures of property, plant and equipment</w:t>
            </w: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(1,024)</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(2,892)</w:t>
            </w:r>
          </w:p>
        </w:tc>
        <w:tc>
          <w:tcPr>
            <w:tcW w:w="0" w:type="dxa"/>
            <w:vAlign w:val="bottom"/>
          </w:tcPr>
          <w:p>
            <w:pPr>
              <w:spacing w:after="0"/>
              <w:rPr>
                <w:sz w:val="1"/>
                <w:szCs w:val="1"/>
                <w:color w:val="auto"/>
              </w:rPr>
            </w:pPr>
          </w:p>
        </w:tc>
      </w:tr>
      <w:tr>
        <w:trPr>
          <w:trHeight w:val="256"/>
        </w:trPr>
        <w:tc>
          <w:tcPr>
            <w:tcW w:w="7200" w:type="dxa"/>
            <w:vAlign w:val="bottom"/>
            <w:shd w:val="clear" w:color="auto" w:fill="D2EEF5"/>
          </w:tcPr>
          <w:p>
            <w:pPr>
              <w:ind w:left="30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240" w:type="dxa"/>
            <w:vAlign w:val="bottom"/>
            <w:shd w:val="clear" w:color="auto" w:fill="D2EEF5"/>
          </w:tcPr>
          <w:p>
            <w:pPr>
              <w:spacing w:after="0"/>
              <w:rPr>
                <w:sz w:val="22"/>
                <w:szCs w:val="22"/>
                <w:color w:val="auto"/>
              </w:rPr>
            </w:pPr>
          </w:p>
        </w:tc>
        <w:tc>
          <w:tcPr>
            <w:tcW w:w="10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183</w:t>
            </w:r>
          </w:p>
        </w:tc>
        <w:tc>
          <w:tcPr>
            <w:tcW w:w="60" w:type="dxa"/>
            <w:vAlign w:val="bottom"/>
            <w:shd w:val="clear" w:color="auto" w:fill="D2EEF5"/>
          </w:tcPr>
          <w:p>
            <w:pPr>
              <w:spacing w:after="0"/>
              <w:rPr>
                <w:sz w:val="22"/>
                <w:szCs w:val="22"/>
                <w:color w:val="auto"/>
              </w:rPr>
            </w:pPr>
          </w:p>
        </w:tc>
        <w:tc>
          <w:tcPr>
            <w:tcW w:w="300" w:type="dxa"/>
            <w:vAlign w:val="bottom"/>
            <w:shd w:val="clear" w:color="auto" w:fill="D2EEF5"/>
          </w:tcPr>
          <w:p>
            <w:pPr>
              <w:spacing w:after="0"/>
              <w:rPr>
                <w:sz w:val="22"/>
                <w:szCs w:val="22"/>
                <w:color w:val="auto"/>
              </w:rPr>
            </w:pP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861</w:t>
            </w:r>
          </w:p>
        </w:tc>
        <w:tc>
          <w:tcPr>
            <w:tcW w:w="0" w:type="dxa"/>
            <w:vAlign w:val="bottom"/>
          </w:tcPr>
          <w:p>
            <w:pPr>
              <w:spacing w:after="0"/>
              <w:rPr>
                <w:sz w:val="1"/>
                <w:szCs w:val="1"/>
                <w:color w:val="auto"/>
              </w:rPr>
            </w:pPr>
          </w:p>
        </w:tc>
      </w:tr>
      <w:tr>
        <w:trPr>
          <w:trHeight w:val="255"/>
        </w:trPr>
        <w:tc>
          <w:tcPr>
            <w:tcW w:w="7200" w:type="dxa"/>
            <w:vAlign w:val="bottom"/>
            <w:tcBorders>
              <w:bottom w:val="single" w:sz="8" w:color="D2EEF5"/>
            </w:tcBorders>
          </w:tcPr>
          <w:p>
            <w:pPr>
              <w:ind w:left="300"/>
              <w:spacing w:after="0"/>
              <w:rPr>
                <w:sz w:val="20"/>
                <w:szCs w:val="20"/>
                <w:color w:val="auto"/>
              </w:rPr>
            </w:pPr>
            <w:r>
              <w:rPr>
                <w:rFonts w:ascii="Times New Roman" w:cs="Times New Roman" w:eastAsia="Times New Roman" w:hAnsi="Times New Roman"/>
                <w:sz w:val="18"/>
                <w:szCs w:val="18"/>
                <w:color w:val="auto"/>
              </w:rPr>
              <w:t>Cash proceeds from IGE Asset Sale for property, plant and equipment</w:t>
            </w: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bottom w:val="single" w:sz="8" w:color="D2EEF5"/>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3,700</w:t>
            </w:r>
          </w:p>
        </w:tc>
        <w:tc>
          <w:tcPr>
            <w:tcW w:w="0" w:type="dxa"/>
            <w:vAlign w:val="bottom"/>
          </w:tcPr>
          <w:p>
            <w:pPr>
              <w:spacing w:after="0"/>
              <w:rPr>
                <w:sz w:val="1"/>
                <w:szCs w:val="1"/>
                <w:color w:val="auto"/>
              </w:rPr>
            </w:pPr>
          </w:p>
        </w:tc>
      </w:tr>
      <w:tr>
        <w:trPr>
          <w:trHeight w:val="235"/>
        </w:trPr>
        <w:tc>
          <w:tcPr>
            <w:tcW w:w="7200" w:type="dxa"/>
            <w:vAlign w:val="bottom"/>
            <w:shd w:val="clear" w:color="auto" w:fill="D2EEF5"/>
          </w:tcPr>
          <w:p>
            <w:pPr>
              <w:ind w:left="560"/>
              <w:spacing w:after="0"/>
              <w:rPr>
                <w:sz w:val="20"/>
                <w:szCs w:val="20"/>
                <w:color w:val="auto"/>
              </w:rPr>
            </w:pPr>
            <w:r>
              <w:rPr>
                <w:rFonts w:ascii="Times New Roman" w:cs="Times New Roman" w:eastAsia="Times New Roman" w:hAnsi="Times New Roman"/>
                <w:sz w:val="18"/>
                <w:szCs w:val="18"/>
                <w:b w:val="1"/>
                <w:bCs w:val="1"/>
                <w:color w:val="auto"/>
              </w:rPr>
              <w:t>Net cash (used in) from investing activities</w:t>
            </w:r>
          </w:p>
        </w:tc>
        <w:tc>
          <w:tcPr>
            <w:tcW w:w="240" w:type="dxa"/>
            <w:vAlign w:val="bottom"/>
            <w:tcBorders>
              <w:bottom w:val="single" w:sz="8" w:color="auto"/>
            </w:tcBorders>
            <w:shd w:val="clear" w:color="auto" w:fill="D2EEF5"/>
          </w:tcPr>
          <w:p>
            <w:pPr>
              <w:spacing w:after="0"/>
              <w:rPr>
                <w:sz w:val="20"/>
                <w:szCs w:val="20"/>
                <w:color w:val="auto"/>
              </w:rPr>
            </w:pPr>
          </w:p>
        </w:tc>
        <w:tc>
          <w:tcPr>
            <w:tcW w:w="10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(841)</w:t>
            </w:r>
          </w:p>
        </w:tc>
        <w:tc>
          <w:tcPr>
            <w:tcW w:w="60" w:type="dxa"/>
            <w:vAlign w:val="bottom"/>
            <w:shd w:val="clear" w:color="auto" w:fill="D2EEF5"/>
          </w:tcPr>
          <w:p>
            <w:pPr>
              <w:spacing w:after="0"/>
              <w:rPr>
                <w:sz w:val="20"/>
                <w:szCs w:val="20"/>
                <w:color w:val="auto"/>
              </w:rPr>
            </w:pPr>
          </w:p>
        </w:tc>
        <w:tc>
          <w:tcPr>
            <w:tcW w:w="300" w:type="dxa"/>
            <w:vAlign w:val="bottom"/>
            <w:tcBorders>
              <w:bottom w:val="single" w:sz="8" w:color="auto"/>
            </w:tcBorders>
            <w:shd w:val="clear" w:color="auto" w:fill="D2EEF5"/>
          </w:tcPr>
          <w:p>
            <w:pPr>
              <w:spacing w:after="0"/>
              <w:rPr>
                <w:sz w:val="20"/>
                <w:szCs w:val="20"/>
                <w:color w:val="auto"/>
              </w:rPr>
            </w:pPr>
          </w:p>
        </w:tc>
        <w:tc>
          <w:tcPr>
            <w:tcW w:w="10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1,669</w:t>
            </w:r>
          </w:p>
        </w:tc>
        <w:tc>
          <w:tcPr>
            <w:tcW w:w="0" w:type="dxa"/>
            <w:vAlign w:val="bottom"/>
          </w:tcPr>
          <w:p>
            <w:pPr>
              <w:spacing w:after="0"/>
              <w:rPr>
                <w:sz w:val="1"/>
                <w:szCs w:val="1"/>
                <w:color w:val="auto"/>
              </w:rPr>
            </w:pPr>
          </w:p>
        </w:tc>
      </w:tr>
      <w:tr>
        <w:trPr>
          <w:trHeight w:val="234"/>
        </w:trPr>
        <w:tc>
          <w:tcPr>
            <w:tcW w:w="72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200" w:type="dxa"/>
            <w:vAlign w:val="bottom"/>
            <w:shd w:val="clear" w:color="auto" w:fill="D2EEF5"/>
          </w:tcPr>
          <w:p>
            <w:pPr>
              <w:ind w:left="300"/>
              <w:spacing w:after="0"/>
              <w:rPr>
                <w:sz w:val="20"/>
                <w:szCs w:val="20"/>
                <w:color w:val="auto"/>
              </w:rPr>
            </w:pPr>
            <w:r>
              <w:rPr>
                <w:rFonts w:ascii="Times New Roman" w:cs="Times New Roman" w:eastAsia="Times New Roman" w:hAnsi="Times New Roman"/>
                <w:sz w:val="18"/>
                <w:szCs w:val="18"/>
                <w:color w:val="auto"/>
              </w:rPr>
              <w:t>Payment of withholding tax related to stock awards</w:t>
            </w:r>
          </w:p>
        </w:tc>
        <w:tc>
          <w:tcPr>
            <w:tcW w:w="240" w:type="dxa"/>
            <w:vAlign w:val="bottom"/>
            <w:shd w:val="clear" w:color="auto" w:fill="D2EEF5"/>
          </w:tcPr>
          <w:p>
            <w:pPr>
              <w:spacing w:after="0"/>
              <w:rPr>
                <w:sz w:val="22"/>
                <w:szCs w:val="22"/>
                <w:color w:val="auto"/>
              </w:rPr>
            </w:pPr>
          </w:p>
        </w:tc>
        <w:tc>
          <w:tcPr>
            <w:tcW w:w="10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60" w:type="dxa"/>
            <w:vAlign w:val="bottom"/>
            <w:shd w:val="clear" w:color="auto" w:fill="D2EEF5"/>
          </w:tcPr>
          <w:p>
            <w:pPr>
              <w:spacing w:after="0"/>
              <w:rPr>
                <w:sz w:val="22"/>
                <w:szCs w:val="22"/>
                <w:color w:val="auto"/>
              </w:rPr>
            </w:pPr>
          </w:p>
        </w:tc>
        <w:tc>
          <w:tcPr>
            <w:tcW w:w="300" w:type="dxa"/>
            <w:vAlign w:val="bottom"/>
            <w:shd w:val="clear" w:color="auto" w:fill="D2EEF5"/>
          </w:tcPr>
          <w:p>
            <w:pPr>
              <w:spacing w:after="0"/>
              <w:rPr>
                <w:sz w:val="22"/>
                <w:szCs w:val="22"/>
                <w:color w:val="auto"/>
              </w:rPr>
            </w:pP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(142)</w:t>
            </w:r>
          </w:p>
        </w:tc>
        <w:tc>
          <w:tcPr>
            <w:tcW w:w="0" w:type="dxa"/>
            <w:vAlign w:val="bottom"/>
          </w:tcPr>
          <w:p>
            <w:pPr>
              <w:spacing w:after="0"/>
              <w:rPr>
                <w:sz w:val="1"/>
                <w:szCs w:val="1"/>
                <w:color w:val="auto"/>
              </w:rPr>
            </w:pPr>
          </w:p>
        </w:tc>
      </w:tr>
      <w:tr>
        <w:trPr>
          <w:trHeight w:val="254"/>
        </w:trPr>
        <w:tc>
          <w:tcPr>
            <w:tcW w:w="7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Borrowings under foreign revolving credit facilities</w:t>
            </w: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351</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378</w:t>
            </w:r>
          </w:p>
        </w:tc>
        <w:tc>
          <w:tcPr>
            <w:tcW w:w="0" w:type="dxa"/>
            <w:vAlign w:val="bottom"/>
          </w:tcPr>
          <w:p>
            <w:pPr>
              <w:spacing w:after="0"/>
              <w:rPr>
                <w:sz w:val="1"/>
                <w:szCs w:val="1"/>
                <w:color w:val="auto"/>
              </w:rPr>
            </w:pPr>
          </w:p>
        </w:tc>
      </w:tr>
      <w:tr>
        <w:trPr>
          <w:trHeight w:val="256"/>
        </w:trPr>
        <w:tc>
          <w:tcPr>
            <w:tcW w:w="7200" w:type="dxa"/>
            <w:vAlign w:val="bottom"/>
            <w:shd w:val="clear" w:color="auto" w:fill="D2EEF5"/>
          </w:tcPr>
          <w:p>
            <w:pPr>
              <w:ind w:left="300"/>
              <w:spacing w:after="0"/>
              <w:rPr>
                <w:sz w:val="20"/>
                <w:szCs w:val="20"/>
                <w:color w:val="auto"/>
              </w:rPr>
            </w:pPr>
            <w:r>
              <w:rPr>
                <w:rFonts w:ascii="Times New Roman" w:cs="Times New Roman" w:eastAsia="Times New Roman" w:hAnsi="Times New Roman"/>
                <w:sz w:val="18"/>
                <w:szCs w:val="18"/>
                <w:color w:val="auto"/>
              </w:rPr>
              <w:t>Repayments of foreign revolving credit facilities</w:t>
            </w:r>
          </w:p>
        </w:tc>
        <w:tc>
          <w:tcPr>
            <w:tcW w:w="240" w:type="dxa"/>
            <w:vAlign w:val="bottom"/>
            <w:shd w:val="clear" w:color="auto" w:fill="D2EEF5"/>
          </w:tcPr>
          <w:p>
            <w:pPr>
              <w:spacing w:after="0"/>
              <w:rPr>
                <w:sz w:val="22"/>
                <w:szCs w:val="22"/>
                <w:color w:val="auto"/>
              </w:rPr>
            </w:pPr>
          </w:p>
        </w:tc>
        <w:tc>
          <w:tcPr>
            <w:tcW w:w="10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(371)</w:t>
            </w:r>
          </w:p>
        </w:tc>
        <w:tc>
          <w:tcPr>
            <w:tcW w:w="60" w:type="dxa"/>
            <w:vAlign w:val="bottom"/>
            <w:shd w:val="clear" w:color="auto" w:fill="D2EEF5"/>
          </w:tcPr>
          <w:p>
            <w:pPr>
              <w:spacing w:after="0"/>
              <w:rPr>
                <w:sz w:val="22"/>
                <w:szCs w:val="22"/>
                <w:color w:val="auto"/>
              </w:rPr>
            </w:pPr>
          </w:p>
        </w:tc>
        <w:tc>
          <w:tcPr>
            <w:tcW w:w="300" w:type="dxa"/>
            <w:vAlign w:val="bottom"/>
            <w:shd w:val="clear" w:color="auto" w:fill="D2EEF5"/>
          </w:tcPr>
          <w:p>
            <w:pPr>
              <w:spacing w:after="0"/>
              <w:rPr>
                <w:sz w:val="22"/>
                <w:szCs w:val="22"/>
                <w:color w:val="auto"/>
              </w:rPr>
            </w:pP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(453)</w:t>
            </w:r>
          </w:p>
        </w:tc>
        <w:tc>
          <w:tcPr>
            <w:tcW w:w="0" w:type="dxa"/>
            <w:vAlign w:val="bottom"/>
          </w:tcPr>
          <w:p>
            <w:pPr>
              <w:spacing w:after="0"/>
              <w:rPr>
                <w:sz w:val="1"/>
                <w:szCs w:val="1"/>
                <w:color w:val="auto"/>
              </w:rPr>
            </w:pPr>
          </w:p>
        </w:tc>
      </w:tr>
      <w:tr>
        <w:trPr>
          <w:trHeight w:val="254"/>
        </w:trPr>
        <w:tc>
          <w:tcPr>
            <w:tcW w:w="7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Repayments of Term Loan</w:t>
            </w: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(4,909)</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(3,197)</w:t>
            </w:r>
          </w:p>
        </w:tc>
        <w:tc>
          <w:tcPr>
            <w:tcW w:w="0" w:type="dxa"/>
            <w:vAlign w:val="bottom"/>
          </w:tcPr>
          <w:p>
            <w:pPr>
              <w:spacing w:after="0"/>
              <w:rPr>
                <w:sz w:val="1"/>
                <w:szCs w:val="1"/>
                <w:color w:val="auto"/>
              </w:rPr>
            </w:pPr>
          </w:p>
        </w:tc>
      </w:tr>
      <w:tr>
        <w:trPr>
          <w:trHeight w:val="256"/>
        </w:trPr>
        <w:tc>
          <w:tcPr>
            <w:tcW w:w="7200" w:type="dxa"/>
            <w:vAlign w:val="bottom"/>
            <w:shd w:val="clear" w:color="auto" w:fill="D2EEF5"/>
          </w:tcPr>
          <w:p>
            <w:pPr>
              <w:ind w:left="300"/>
              <w:spacing w:after="0"/>
              <w:rPr>
                <w:sz w:val="20"/>
                <w:szCs w:val="20"/>
                <w:color w:val="auto"/>
              </w:rPr>
            </w:pPr>
            <w:r>
              <w:rPr>
                <w:rFonts w:ascii="Times New Roman" w:cs="Times New Roman" w:eastAsia="Times New Roman" w:hAnsi="Times New Roman"/>
                <w:sz w:val="18"/>
                <w:szCs w:val="18"/>
                <w:color w:val="auto"/>
              </w:rPr>
              <w:t>Finance lease principal payments</w:t>
            </w:r>
          </w:p>
        </w:tc>
        <w:tc>
          <w:tcPr>
            <w:tcW w:w="240" w:type="dxa"/>
            <w:vAlign w:val="bottom"/>
            <w:tcBorders>
              <w:bottom w:val="single" w:sz="8" w:color="auto"/>
            </w:tcBorders>
            <w:shd w:val="clear" w:color="auto" w:fill="D2EEF5"/>
          </w:tcPr>
          <w:p>
            <w:pPr>
              <w:spacing w:after="0"/>
              <w:rPr>
                <w:sz w:val="22"/>
                <w:szCs w:val="22"/>
                <w:color w:val="auto"/>
              </w:rPr>
            </w:pPr>
          </w:p>
        </w:tc>
        <w:tc>
          <w:tcPr>
            <w:tcW w:w="10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(463)</w:t>
            </w:r>
          </w:p>
        </w:tc>
        <w:tc>
          <w:tcPr>
            <w:tcW w:w="60" w:type="dxa"/>
            <w:vAlign w:val="bottom"/>
            <w:shd w:val="clear" w:color="auto" w:fill="D2EEF5"/>
          </w:tcPr>
          <w:p>
            <w:pPr>
              <w:spacing w:after="0"/>
              <w:rPr>
                <w:sz w:val="22"/>
                <w:szCs w:val="22"/>
                <w:color w:val="auto"/>
              </w:rPr>
            </w:pPr>
          </w:p>
        </w:tc>
        <w:tc>
          <w:tcPr>
            <w:tcW w:w="300" w:type="dxa"/>
            <w:vAlign w:val="bottom"/>
            <w:tcBorders>
              <w:bottom w:val="single" w:sz="8" w:color="auto"/>
            </w:tcBorders>
            <w:shd w:val="clear" w:color="auto" w:fill="D2EEF5"/>
          </w:tcPr>
          <w:p>
            <w:pPr>
              <w:spacing w:after="0"/>
              <w:rPr>
                <w:sz w:val="22"/>
                <w:szCs w:val="22"/>
                <w:color w:val="auto"/>
              </w:rPr>
            </w:pPr>
          </w:p>
        </w:tc>
        <w:tc>
          <w:tcPr>
            <w:tcW w:w="10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(1,362)</w:t>
            </w:r>
          </w:p>
        </w:tc>
        <w:tc>
          <w:tcPr>
            <w:tcW w:w="0" w:type="dxa"/>
            <w:vAlign w:val="bottom"/>
          </w:tcPr>
          <w:p>
            <w:pPr>
              <w:spacing w:after="0"/>
              <w:rPr>
                <w:sz w:val="1"/>
                <w:szCs w:val="1"/>
                <w:color w:val="auto"/>
              </w:rPr>
            </w:pPr>
          </w:p>
        </w:tc>
      </w:tr>
      <w:tr>
        <w:trPr>
          <w:trHeight w:val="236"/>
        </w:trPr>
        <w:tc>
          <w:tcPr>
            <w:tcW w:w="7200" w:type="dxa"/>
            <w:vAlign w:val="bottom"/>
            <w:tcBorders>
              <w:bottom w:val="single" w:sz="8" w:color="D2EEF5"/>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(5,438)</w:t>
            </w:r>
          </w:p>
        </w:tc>
        <w:tc>
          <w:tcPr>
            <w:tcW w:w="60" w:type="dxa"/>
            <w:vAlign w:val="bottom"/>
            <w:tcBorders>
              <w:bottom w:val="single" w:sz="8" w:color="D2EEF5"/>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(4,776)</w:t>
            </w:r>
          </w:p>
        </w:tc>
        <w:tc>
          <w:tcPr>
            <w:tcW w:w="0" w:type="dxa"/>
            <w:vAlign w:val="bottom"/>
          </w:tcPr>
          <w:p>
            <w:pPr>
              <w:spacing w:after="0"/>
              <w:rPr>
                <w:sz w:val="1"/>
                <w:szCs w:val="1"/>
                <w:color w:val="auto"/>
              </w:rPr>
            </w:pPr>
          </w:p>
        </w:tc>
      </w:tr>
      <w:tr>
        <w:trPr>
          <w:trHeight w:val="234"/>
        </w:trPr>
        <w:tc>
          <w:tcPr>
            <w:tcW w:w="7200" w:type="dxa"/>
            <w:vAlign w:val="bottom"/>
            <w:shd w:val="clear" w:color="auto" w:fill="D2EEF5"/>
          </w:tcPr>
          <w:p>
            <w:pPr>
              <w:ind w:left="8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40" w:type="dxa"/>
            <w:vAlign w:val="bottom"/>
            <w:tcBorders>
              <w:bottom w:val="single" w:sz="8" w:color="auto"/>
            </w:tcBorders>
            <w:shd w:val="clear" w:color="auto" w:fill="D2EEF5"/>
          </w:tcPr>
          <w:p>
            <w:pPr>
              <w:spacing w:after="0"/>
              <w:rPr>
                <w:sz w:val="20"/>
                <w:szCs w:val="20"/>
                <w:color w:val="auto"/>
              </w:rPr>
            </w:pPr>
          </w:p>
        </w:tc>
        <w:tc>
          <w:tcPr>
            <w:tcW w:w="10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536</w:t>
            </w:r>
          </w:p>
        </w:tc>
        <w:tc>
          <w:tcPr>
            <w:tcW w:w="60" w:type="dxa"/>
            <w:vAlign w:val="bottom"/>
            <w:shd w:val="clear" w:color="auto" w:fill="D2EEF5"/>
          </w:tcPr>
          <w:p>
            <w:pPr>
              <w:spacing w:after="0"/>
              <w:rPr>
                <w:sz w:val="20"/>
                <w:szCs w:val="20"/>
                <w:color w:val="auto"/>
              </w:rPr>
            </w:pPr>
          </w:p>
        </w:tc>
        <w:tc>
          <w:tcPr>
            <w:tcW w:w="300" w:type="dxa"/>
            <w:vAlign w:val="bottom"/>
            <w:tcBorders>
              <w:bottom w:val="single" w:sz="8" w:color="auto"/>
            </w:tcBorders>
            <w:shd w:val="clear" w:color="auto" w:fill="D2EEF5"/>
          </w:tcPr>
          <w:p>
            <w:pPr>
              <w:spacing w:after="0"/>
              <w:rPr>
                <w:sz w:val="20"/>
                <w:szCs w:val="20"/>
                <w:color w:val="auto"/>
              </w:rPr>
            </w:pPr>
          </w:p>
        </w:tc>
        <w:tc>
          <w:tcPr>
            <w:tcW w:w="10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(770)</w:t>
            </w:r>
          </w:p>
        </w:tc>
        <w:tc>
          <w:tcPr>
            <w:tcW w:w="0" w:type="dxa"/>
            <w:vAlign w:val="bottom"/>
          </w:tcPr>
          <w:p>
            <w:pPr>
              <w:spacing w:after="0"/>
              <w:rPr>
                <w:sz w:val="1"/>
                <w:szCs w:val="1"/>
                <w:color w:val="auto"/>
              </w:rPr>
            </w:pPr>
          </w:p>
        </w:tc>
      </w:tr>
      <w:tr>
        <w:trPr>
          <w:trHeight w:val="236"/>
        </w:trPr>
        <w:tc>
          <w:tcPr>
            <w:tcW w:w="72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(19,802)</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(4,201)</w:t>
            </w:r>
          </w:p>
        </w:tc>
        <w:tc>
          <w:tcPr>
            <w:tcW w:w="0" w:type="dxa"/>
            <w:vAlign w:val="bottom"/>
          </w:tcPr>
          <w:p>
            <w:pPr>
              <w:spacing w:after="0"/>
              <w:rPr>
                <w:sz w:val="1"/>
                <w:szCs w:val="1"/>
                <w:color w:val="auto"/>
              </w:rPr>
            </w:pPr>
          </w:p>
        </w:tc>
      </w:tr>
      <w:tr>
        <w:trPr>
          <w:trHeight w:val="254"/>
        </w:trPr>
        <w:tc>
          <w:tcPr>
            <w:tcW w:w="7200" w:type="dxa"/>
            <w:vAlign w:val="bottom"/>
            <w:shd w:val="clear" w:color="auto" w:fill="D2EEF5"/>
          </w:tcPr>
          <w:p>
            <w:pPr>
              <w:ind w:left="60"/>
              <w:spacing w:after="0"/>
              <w:rPr>
                <w:sz w:val="20"/>
                <w:szCs w:val="20"/>
                <w:color w:val="auto"/>
              </w:rPr>
            </w:pPr>
            <w:r>
              <w:rPr>
                <w:rFonts w:ascii="Times New Roman" w:cs="Times New Roman" w:eastAsia="Times New Roman" w:hAnsi="Times New Roman"/>
                <w:sz w:val="18"/>
                <w:szCs w:val="18"/>
                <w:color w:val="auto"/>
              </w:rPr>
              <w:t>Cash and cash equivalents cash at beginning of year</w:t>
            </w:r>
          </w:p>
        </w:tc>
        <w:tc>
          <w:tcPr>
            <w:tcW w:w="240" w:type="dxa"/>
            <w:vAlign w:val="bottom"/>
            <w:tcBorders>
              <w:bottom w:val="single" w:sz="8" w:color="auto"/>
            </w:tcBorders>
            <w:shd w:val="clear" w:color="auto" w:fill="D2EEF5"/>
          </w:tcPr>
          <w:p>
            <w:pPr>
              <w:spacing w:after="0"/>
              <w:rPr>
                <w:sz w:val="22"/>
                <w:szCs w:val="22"/>
                <w:color w:val="auto"/>
              </w:rPr>
            </w:pPr>
          </w:p>
        </w:tc>
        <w:tc>
          <w:tcPr>
            <w:tcW w:w="1080" w:type="dxa"/>
            <w:vAlign w:val="bottom"/>
            <w:tcBorders>
              <w:bottom w:val="single" w:sz="8" w:color="auto"/>
            </w:tcBorders>
            <w:shd w:val="clear" w:color="auto" w:fill="D2EEF5"/>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26,111</w:t>
            </w:r>
          </w:p>
        </w:tc>
        <w:tc>
          <w:tcPr>
            <w:tcW w:w="60" w:type="dxa"/>
            <w:vAlign w:val="bottom"/>
            <w:shd w:val="clear" w:color="auto" w:fill="D2EEF5"/>
          </w:tcPr>
          <w:p>
            <w:pPr>
              <w:spacing w:after="0"/>
              <w:rPr>
                <w:sz w:val="22"/>
                <w:szCs w:val="22"/>
                <w:color w:val="auto"/>
              </w:rPr>
            </w:pPr>
          </w:p>
        </w:tc>
        <w:tc>
          <w:tcPr>
            <w:tcW w:w="300" w:type="dxa"/>
            <w:vAlign w:val="bottom"/>
            <w:tcBorders>
              <w:bottom w:val="single" w:sz="8" w:color="auto"/>
            </w:tcBorders>
            <w:shd w:val="clear" w:color="auto" w:fill="D2EEF5"/>
          </w:tcPr>
          <w:p>
            <w:pPr>
              <w:spacing w:after="0"/>
              <w:rPr>
                <w:sz w:val="22"/>
                <w:szCs w:val="22"/>
                <w:color w:val="auto"/>
              </w:rPr>
            </w:pPr>
          </w:p>
        </w:tc>
        <w:tc>
          <w:tcPr>
            <w:tcW w:w="10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30,312</w:t>
            </w:r>
          </w:p>
        </w:tc>
        <w:tc>
          <w:tcPr>
            <w:tcW w:w="0" w:type="dxa"/>
            <w:vAlign w:val="bottom"/>
          </w:tcPr>
          <w:p>
            <w:pPr>
              <w:spacing w:after="0"/>
              <w:rPr>
                <w:sz w:val="1"/>
                <w:szCs w:val="1"/>
                <w:color w:val="auto"/>
              </w:rPr>
            </w:pPr>
          </w:p>
        </w:tc>
      </w:tr>
      <w:tr>
        <w:trPr>
          <w:trHeight w:val="20"/>
        </w:trPr>
        <w:tc>
          <w:tcPr>
            <w:tcW w:w="720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year</w:t>
            </w:r>
          </w:p>
        </w:tc>
        <w:tc>
          <w:tcPr>
            <w:tcW w:w="2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6,309</w:t>
            </w:r>
          </w:p>
        </w:tc>
        <w:tc>
          <w:tcPr>
            <w:tcW w:w="60" w:type="dxa"/>
            <w:vAlign w:val="bottom"/>
          </w:tcPr>
          <w:p>
            <w:pPr>
              <w:spacing w:after="0" w:line="20" w:lineRule="exact"/>
              <w:rPr>
                <w:sz w:val="1"/>
                <w:szCs w:val="1"/>
                <w:color w:val="auto"/>
              </w:rPr>
            </w:pPr>
          </w:p>
        </w:tc>
        <w:tc>
          <w:tcPr>
            <w:tcW w:w="3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26,111</w:t>
            </w:r>
          </w:p>
        </w:tc>
        <w:tc>
          <w:tcPr>
            <w:tcW w:w="0" w:type="dxa"/>
            <w:vAlign w:val="bottom"/>
          </w:tcPr>
          <w:p>
            <w:pPr>
              <w:spacing w:after="0" w:line="20" w:lineRule="exact"/>
              <w:rPr>
                <w:sz w:val="1"/>
                <w:szCs w:val="1"/>
                <w:color w:val="auto"/>
              </w:rPr>
            </w:pPr>
          </w:p>
        </w:tc>
      </w:tr>
      <w:tr>
        <w:trPr>
          <w:trHeight w:val="256"/>
        </w:trPr>
        <w:tc>
          <w:tcPr>
            <w:tcW w:w="7200" w:type="dxa"/>
            <w:vAlign w:val="bottom"/>
            <w:tcBorders>
              <w:bottom w:val="single" w:sz="8" w:color="D2EEF5"/>
            </w:tcBorders>
            <w:vMerge w:val="continue"/>
          </w:tcPr>
          <w:p>
            <w:pPr>
              <w:spacing w:after="0"/>
              <w:rPr>
                <w:sz w:val="22"/>
                <w:szCs w:val="22"/>
                <w:color w:val="auto"/>
              </w:rPr>
            </w:pPr>
          </w:p>
        </w:tc>
        <w:tc>
          <w:tcPr>
            <w:tcW w:w="240" w:type="dxa"/>
            <w:vAlign w:val="bottom"/>
            <w:tcBorders>
              <w:bottom w:val="single" w:sz="8" w:color="auto"/>
            </w:tcBorders>
            <w:vMerge w:val="continue"/>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D2EEF5"/>
            </w:tcBorders>
          </w:tcPr>
          <w:p>
            <w:pPr>
              <w:spacing w:after="0"/>
              <w:rPr>
                <w:sz w:val="22"/>
                <w:szCs w:val="22"/>
                <w:color w:val="auto"/>
              </w:rPr>
            </w:pPr>
          </w:p>
        </w:tc>
        <w:tc>
          <w:tcPr>
            <w:tcW w:w="300" w:type="dxa"/>
            <w:vAlign w:val="bottom"/>
            <w:tcBorders>
              <w:bottom w:val="single" w:sz="8" w:color="auto"/>
            </w:tcBorders>
            <w:vMerge w:val="continue"/>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7200" w:type="dxa"/>
            <w:vAlign w:val="bottom"/>
            <w:shd w:val="clear" w:color="auto" w:fill="D2EEF5"/>
          </w:tcPr>
          <w:p>
            <w:pPr>
              <w:spacing w:after="0"/>
              <w:rPr>
                <w:sz w:val="22"/>
                <w:szCs w:val="22"/>
                <w:color w:val="auto"/>
              </w:rPr>
            </w:pPr>
          </w:p>
        </w:tc>
        <w:tc>
          <w:tcPr>
            <w:tcW w:w="240" w:type="dxa"/>
            <w:vAlign w:val="bottom"/>
            <w:shd w:val="clear" w:color="auto" w:fill="D2EEF5"/>
          </w:tcPr>
          <w:p>
            <w:pPr>
              <w:spacing w:after="0"/>
              <w:rPr>
                <w:sz w:val="22"/>
                <w:szCs w:val="22"/>
                <w:color w:val="auto"/>
              </w:rPr>
            </w:pPr>
          </w:p>
        </w:tc>
        <w:tc>
          <w:tcPr>
            <w:tcW w:w="1080" w:type="dxa"/>
            <w:vAlign w:val="bottom"/>
            <w:shd w:val="clear" w:color="auto" w:fill="D2EEF5"/>
          </w:tcPr>
          <w:p>
            <w:pPr>
              <w:spacing w:after="0"/>
              <w:rPr>
                <w:sz w:val="22"/>
                <w:szCs w:val="22"/>
                <w:color w:val="auto"/>
              </w:rPr>
            </w:pPr>
          </w:p>
        </w:tc>
        <w:tc>
          <w:tcPr>
            <w:tcW w:w="60" w:type="dxa"/>
            <w:vAlign w:val="bottom"/>
            <w:shd w:val="clear" w:color="auto" w:fill="D2EEF5"/>
          </w:tcPr>
          <w:p>
            <w:pPr>
              <w:spacing w:after="0"/>
              <w:rPr>
                <w:sz w:val="22"/>
                <w:szCs w:val="22"/>
                <w:color w:val="auto"/>
              </w:rPr>
            </w:pPr>
          </w:p>
        </w:tc>
        <w:tc>
          <w:tcPr>
            <w:tcW w:w="300" w:type="dxa"/>
            <w:vAlign w:val="bottom"/>
            <w:shd w:val="clear" w:color="auto" w:fill="D2EEF5"/>
          </w:tcPr>
          <w:p>
            <w:pPr>
              <w:spacing w:after="0"/>
              <w:rPr>
                <w:sz w:val="22"/>
                <w:szCs w:val="22"/>
                <w:color w:val="auto"/>
              </w:rPr>
            </w:pPr>
          </w:p>
        </w:tc>
        <w:tc>
          <w:tcPr>
            <w:tcW w:w="1000" w:type="dxa"/>
            <w:vAlign w:val="bottom"/>
            <w:shd w:val="clear" w:color="auto" w:fill="D2EEF5"/>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72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200" w:type="dxa"/>
            <w:vAlign w:val="bottom"/>
            <w:shd w:val="clear" w:color="auto" w:fill="D2EEF5"/>
          </w:tcPr>
          <w:p>
            <w:pPr>
              <w:ind w:left="300"/>
              <w:spacing w:after="0"/>
              <w:rPr>
                <w:sz w:val="20"/>
                <w:szCs w:val="20"/>
                <w:color w:val="auto"/>
              </w:rPr>
            </w:pPr>
            <w:r>
              <w:rPr>
                <w:rFonts w:ascii="Times New Roman" w:cs="Times New Roman" w:eastAsia="Times New Roman" w:hAnsi="Times New Roman"/>
                <w:sz w:val="18"/>
                <w:szCs w:val="18"/>
                <w:color w:val="auto"/>
              </w:rPr>
              <w:t>Right-of-use assets acquired (relinquished) under operating lease obligation</w:t>
            </w:r>
          </w:p>
        </w:tc>
        <w:tc>
          <w:tcPr>
            <w:tcW w:w="240" w:type="dxa"/>
            <w:vAlign w:val="bottom"/>
            <w:shd w:val="clear" w:color="auto" w:fill="D2EEF5"/>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2,166</w:t>
            </w:r>
          </w:p>
        </w:tc>
        <w:tc>
          <w:tcPr>
            <w:tcW w:w="60" w:type="dxa"/>
            <w:vAlign w:val="bottom"/>
            <w:shd w:val="clear" w:color="auto" w:fill="D2EEF5"/>
          </w:tcPr>
          <w:p>
            <w:pPr>
              <w:spacing w:after="0"/>
              <w:rPr>
                <w:sz w:val="22"/>
                <w:szCs w:val="22"/>
                <w:color w:val="auto"/>
              </w:rPr>
            </w:pPr>
          </w:p>
        </w:tc>
        <w:tc>
          <w:tcPr>
            <w:tcW w:w="300" w:type="dxa"/>
            <w:vAlign w:val="bottom"/>
            <w:shd w:val="clear" w:color="auto" w:fill="D2EEF5"/>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(1,924)</w:t>
            </w:r>
          </w:p>
        </w:tc>
        <w:tc>
          <w:tcPr>
            <w:tcW w:w="0" w:type="dxa"/>
            <w:vAlign w:val="bottom"/>
          </w:tcPr>
          <w:p>
            <w:pPr>
              <w:spacing w:after="0"/>
              <w:rPr>
                <w:sz w:val="1"/>
                <w:szCs w:val="1"/>
                <w:color w:val="auto"/>
              </w:rPr>
            </w:pPr>
          </w:p>
        </w:tc>
      </w:tr>
      <w:tr>
        <w:trPr>
          <w:trHeight w:val="254"/>
        </w:trPr>
        <w:tc>
          <w:tcPr>
            <w:tcW w:w="7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Capital expenditures included in accounts payable and accrued liabilities</w:t>
            </w: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0" w:type="dxa"/>
            <w:vAlign w:val="bottom"/>
          </w:tcPr>
          <w:p>
            <w:pPr>
              <w:spacing w:after="0"/>
              <w:rPr>
                <w:sz w:val="1"/>
                <w:szCs w:val="1"/>
                <w:color w:val="auto"/>
              </w:rPr>
            </w:pPr>
          </w:p>
        </w:tc>
      </w:tr>
      <w:tr>
        <w:trPr>
          <w:trHeight w:val="256"/>
        </w:trPr>
        <w:tc>
          <w:tcPr>
            <w:tcW w:w="7200" w:type="dxa"/>
            <w:vAlign w:val="bottom"/>
            <w:shd w:val="clear" w:color="auto" w:fill="D2EEF5"/>
          </w:tcPr>
          <w:p>
            <w:pPr>
              <w:ind w:left="300"/>
              <w:spacing w:after="0"/>
              <w:rPr>
                <w:sz w:val="20"/>
                <w:szCs w:val="20"/>
                <w:color w:val="auto"/>
              </w:rPr>
            </w:pPr>
            <w:r>
              <w:rPr>
                <w:rFonts w:ascii="Times New Roman" w:cs="Times New Roman" w:eastAsia="Times New Roman" w:hAnsi="Times New Roman"/>
                <w:sz w:val="18"/>
                <w:szCs w:val="18"/>
                <w:color w:val="auto"/>
              </w:rPr>
              <w:t>Additions of leasehold improvements and related asset retirement obligations</w:t>
            </w:r>
          </w:p>
        </w:tc>
        <w:tc>
          <w:tcPr>
            <w:tcW w:w="240" w:type="dxa"/>
            <w:vAlign w:val="bottom"/>
            <w:shd w:val="clear" w:color="auto" w:fill="D2EEF5"/>
          </w:tcPr>
          <w:p>
            <w:pPr>
              <w:spacing w:after="0"/>
              <w:rPr>
                <w:sz w:val="22"/>
                <w:szCs w:val="22"/>
                <w:color w:val="auto"/>
              </w:rPr>
            </w:pPr>
          </w:p>
        </w:tc>
        <w:tc>
          <w:tcPr>
            <w:tcW w:w="10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60" w:type="dxa"/>
            <w:vAlign w:val="bottom"/>
            <w:shd w:val="clear" w:color="auto" w:fill="D2EEF5"/>
          </w:tcPr>
          <w:p>
            <w:pPr>
              <w:spacing w:after="0"/>
              <w:rPr>
                <w:sz w:val="22"/>
                <w:szCs w:val="22"/>
                <w:color w:val="auto"/>
              </w:rPr>
            </w:pPr>
          </w:p>
        </w:tc>
        <w:tc>
          <w:tcPr>
            <w:tcW w:w="300" w:type="dxa"/>
            <w:vAlign w:val="bottom"/>
            <w:shd w:val="clear" w:color="auto" w:fill="D2EEF5"/>
          </w:tcPr>
          <w:p>
            <w:pPr>
              <w:spacing w:after="0"/>
              <w:rPr>
                <w:sz w:val="22"/>
                <w:szCs w:val="22"/>
                <w:color w:val="auto"/>
              </w:rPr>
            </w:pP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4"/>
        </w:trPr>
        <w:tc>
          <w:tcPr>
            <w:tcW w:w="72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Supplemental information</w:t>
            </w: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200" w:type="dxa"/>
            <w:vAlign w:val="bottom"/>
            <w:shd w:val="clear" w:color="auto" w:fill="D2EEF5"/>
          </w:tcPr>
          <w:p>
            <w:pPr>
              <w:ind w:left="300"/>
              <w:spacing w:after="0"/>
              <w:rPr>
                <w:sz w:val="20"/>
                <w:szCs w:val="20"/>
                <w:color w:val="auto"/>
              </w:rPr>
            </w:pPr>
            <w:r>
              <w:rPr>
                <w:rFonts w:ascii="Times New Roman" w:cs="Times New Roman" w:eastAsia="Times New Roman" w:hAnsi="Times New Roman"/>
                <w:sz w:val="18"/>
                <w:szCs w:val="18"/>
                <w:color w:val="auto"/>
              </w:rPr>
              <w:t>Cash paid for interest</w:t>
            </w:r>
          </w:p>
        </w:tc>
        <w:tc>
          <w:tcPr>
            <w:tcW w:w="240" w:type="dxa"/>
            <w:vAlign w:val="bottom"/>
            <w:shd w:val="clear" w:color="auto" w:fill="D2EEF5"/>
          </w:tcPr>
          <w:p>
            <w:pPr>
              <w:spacing w:after="0"/>
              <w:rPr>
                <w:sz w:val="22"/>
                <w:szCs w:val="22"/>
                <w:color w:val="auto"/>
              </w:rPr>
            </w:pPr>
          </w:p>
        </w:tc>
        <w:tc>
          <w:tcPr>
            <w:tcW w:w="10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12,677</w:t>
            </w:r>
          </w:p>
        </w:tc>
        <w:tc>
          <w:tcPr>
            <w:tcW w:w="60" w:type="dxa"/>
            <w:vAlign w:val="bottom"/>
            <w:shd w:val="clear" w:color="auto" w:fill="D2EEF5"/>
          </w:tcPr>
          <w:p>
            <w:pPr>
              <w:spacing w:after="0"/>
              <w:rPr>
                <w:sz w:val="22"/>
                <w:szCs w:val="22"/>
                <w:color w:val="auto"/>
              </w:rPr>
            </w:pPr>
          </w:p>
        </w:tc>
        <w:tc>
          <w:tcPr>
            <w:tcW w:w="300" w:type="dxa"/>
            <w:vAlign w:val="bottom"/>
            <w:shd w:val="clear" w:color="auto" w:fill="D2EEF5"/>
          </w:tcPr>
          <w:p>
            <w:pPr>
              <w:spacing w:after="0"/>
              <w:rPr>
                <w:sz w:val="22"/>
                <w:szCs w:val="22"/>
                <w:color w:val="auto"/>
              </w:rPr>
            </w:pP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13,289</w:t>
            </w:r>
          </w:p>
        </w:tc>
        <w:tc>
          <w:tcPr>
            <w:tcW w:w="0" w:type="dxa"/>
            <w:vAlign w:val="bottom"/>
          </w:tcPr>
          <w:p>
            <w:pPr>
              <w:spacing w:after="0"/>
              <w:rPr>
                <w:sz w:val="1"/>
                <w:szCs w:val="1"/>
                <w:color w:val="auto"/>
              </w:rPr>
            </w:pPr>
          </w:p>
        </w:tc>
      </w:tr>
      <w:tr>
        <w:trPr>
          <w:trHeight w:val="252"/>
        </w:trPr>
        <w:tc>
          <w:tcPr>
            <w:tcW w:w="7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4689475</wp:posOffset>
                </wp:positionH>
                <wp:positionV relativeFrom="paragraph">
                  <wp:posOffset>-1480820</wp:posOffset>
                </wp:positionV>
                <wp:extent cx="828675"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9.25pt,-116.5999pt" to="434.5pt,-116.5999pt" o:allowincell="f" strokecolor="#FFFFFF" strokeweight="0.06pt"/>
            </w:pict>
          </mc:Fallback>
        </mc:AlternateContent>
        <mc:AlternateContent>
          <mc:Choice Requires="wps">
            <w:drawing>
              <wp:anchor simplePos="0" relativeHeight="251657728" behindDoc="1" locked="0" layoutInCell="0" allowOverlap="1">
                <wp:simplePos x="0" y="0"/>
                <wp:positionH relativeFrom="column">
                  <wp:posOffset>5556250</wp:posOffset>
                </wp:positionH>
                <wp:positionV relativeFrom="paragraph">
                  <wp:posOffset>-1480820</wp:posOffset>
                </wp:positionV>
                <wp:extent cx="828675"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7.5pt,-116.5999pt" to="502.75pt,-116.5999pt" o:allowincell="f" strokecolor="#FFFFFF" strokeweight="0.06pt"/>
            </w:pict>
          </mc:Fallback>
        </mc:AlternateContent>
      </w:r>
    </w:p>
    <w:p>
      <w:pPr>
        <w:spacing w:after="0" w:line="3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 consolidated financial statements.</w:t>
      </w:r>
    </w:p>
    <w:p>
      <w:pPr>
        <w:sectPr>
          <w:pgSz w:w="12240" w:h="15840" w:orient="portrait"/>
          <w:cols w:equalWidth="0" w:num="1">
            <w:col w:w="10060"/>
          </w:cols>
          <w:pgMar w:left="1000" w:top="430"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10060"/>
          </w:cols>
          <w:pgMar w:left="1000" w:top="430" w:right="1180" w:bottom="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Hydrofarm Holdings Group, Inc.</w:t>
      </w:r>
    </w:p>
    <w:p>
      <w:pPr>
        <w:spacing w:after="0" w:line="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DESCRIPTION OF THE BUSINESS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Description of the business</w:t>
      </w:r>
    </w:p>
    <w:p>
      <w:pPr>
        <w:spacing w:after="0" w:line="210"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Hydrofarm Holdings Group, Inc. (collectively with its subsidiaries, the "Company") was formed in May 2017 under the laws of the state of Delaware to acquire and continue the business originally founded in 1977. The Company is a leading independent manufacturer and distributor of branded hydroponics equipment and supplies for controlled environment agriculture ("CEA"), including grow lights, climate control solutions, grow media and nutrients, as well as a broad portfolio of innovative, proprietary branded products. Products offered include agricultural lighting devices, indoor climate control equipment, nutrients, and plant additives used to grow, farm and cultivate cannabis, flowers, fruits, plants, vegetables, grains and herbs in controlled environment settings that allow end users to control key farming variables including temperature, humidity, CO</w:t>
      </w:r>
      <w:r>
        <w:rPr>
          <w:rFonts w:ascii="Times New Roman" w:cs="Times New Roman" w:eastAsia="Times New Roman" w:hAnsi="Times New Roman"/>
          <w:sz w:val="12"/>
          <w:szCs w:val="12"/>
          <w:color w:val="auto"/>
        </w:rPr>
        <w:t>2</w:t>
      </w:r>
      <w:r>
        <w:rPr>
          <w:rFonts w:ascii="Times New Roman" w:cs="Times New Roman" w:eastAsia="Times New Roman" w:hAnsi="Times New Roman"/>
          <w:sz w:val="20"/>
          <w:szCs w:val="20"/>
          <w:color w:val="auto"/>
        </w:rPr>
        <w:t>, light intensity and color, nutrient concentration and pH.</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Subsequent Events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Term Loan</w:t>
      </w:r>
    </w:p>
    <w:p>
      <w:pPr>
        <w:spacing w:after="0" w:line="208"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The Company and its Board of Directors are exploring strategic alternatives to strengthen the Company’s liquidity and capital structure. In connection with such process, the Company and its financial advisors have engaged in ongoing discussions with the lenders under the Term Loan. While these discussions have continued, on February 4, 2026, the Company elected to defer making the interest payment of approximately $2.8 million on the Term Loan. As a result of the Company’s failure to pay the interest within the grace period, an event of default occurred with respect to the Term Loan. On February 11, 2026, the lenders, through the administrative agent, notified the Company of such event of default and informed the Company that the administrative agent or the collateral agent may exercise any rights and remedies provided under the Credit and Guaranty Agreement and related financing documents, but it did not seek to enforce such remedies as of such time. As a result of the event of default, the Term Loan was reclassified to current portion of long-term debt from long-term debt and interest began accruing at a rate that is 2% per annum in excess of the interest rate otherwise payable.</w:t>
      </w:r>
    </w:p>
    <w:p>
      <w:pPr>
        <w:spacing w:after="0" w:line="165" w:lineRule="exact"/>
        <w:rPr>
          <w:sz w:val="20"/>
          <w:szCs w:val="20"/>
          <w:color w:val="auto"/>
        </w:rPr>
      </w:pPr>
    </w:p>
    <w:p>
      <w:pPr>
        <w:jc w:val="both"/>
        <w:ind w:firstLine="720"/>
        <w:spacing w:after="0" w:line="263" w:lineRule="auto"/>
        <w:rPr>
          <w:sz w:val="20"/>
          <w:szCs w:val="20"/>
          <w:color w:val="auto"/>
        </w:rPr>
      </w:pPr>
      <w:r>
        <w:rPr>
          <w:rFonts w:ascii="Times New Roman" w:cs="Times New Roman" w:eastAsia="Times New Roman" w:hAnsi="Times New Roman"/>
          <w:sz w:val="20"/>
          <w:szCs w:val="20"/>
          <w:color w:val="auto"/>
        </w:rPr>
        <w:t>On February 10, 2026, JPMorgan issued a notice to the Company and Lenders of its resignation as Administrative Agent and Collateral Agent under the Credit and Guaranty Agreement. Such resignation became effective on March 12, 2026, when FEAC Agent, LLC was appointed as the successor agent for the Lenders in accordance with Section 9 of the Credit and Guaranty Agreement.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Revolving Credit Facility</w:t>
      </w:r>
    </w:p>
    <w:p>
      <w:pPr>
        <w:spacing w:after="0" w:line="208"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On February 17, 2026, the Company entered into the Termination Agreement to terminate the Revolving Credit Agreement. Pursuant to the terms of the Termination Agreement, the parties agreed to terminate the Revolving Credit Agreement subject to the survival of each of the provisions of the Revolving Credit Agreement and Loan Documents (as defined in the Revolving Credit Agreement) and in the certificates delivered in connection with or pursuant to the Revolving Credit Agreement that survive termination of the Revolving Credit Agreement.</w:t>
      </w:r>
    </w:p>
    <w:p>
      <w:pPr>
        <w:sectPr>
          <w:pgSz w:w="12240" w:h="15840" w:orient="portrait"/>
          <w:cols w:equalWidth="0" w:num="1">
            <w:col w:w="10260"/>
          </w:cols>
          <w:pgMar w:left="1000" w:top="4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10260"/>
          </w:cols>
          <w:pgMar w:left="1000" w:top="420" w:right="980" w:bottom="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Hydrofarm Holdings Group, Inc.</w:t>
      </w:r>
    </w:p>
    <w:p>
      <w:pPr>
        <w:spacing w:after="0" w:line="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LIQUIDITY AND GOING CONCERN</w:t>
      </w:r>
    </w:p>
    <w:p>
      <w:pPr>
        <w:spacing w:after="0" w:line="214" w:lineRule="exact"/>
        <w:rPr>
          <w:sz w:val="20"/>
          <w:szCs w:val="20"/>
          <w:color w:val="auto"/>
        </w:rPr>
      </w:pPr>
    </w:p>
    <w:p>
      <w:pPr>
        <w:jc w:val="both"/>
        <w:ind w:firstLine="720"/>
        <w:spacing w:after="0" w:line="269" w:lineRule="auto"/>
        <w:rPr>
          <w:sz w:val="20"/>
          <w:szCs w:val="20"/>
          <w:color w:val="auto"/>
        </w:rPr>
      </w:pPr>
      <w:r>
        <w:rPr>
          <w:rFonts w:ascii="Times New Roman" w:cs="Times New Roman" w:eastAsia="Times New Roman" w:hAnsi="Times New Roman"/>
          <w:sz w:val="20"/>
          <w:szCs w:val="20"/>
          <w:color w:val="auto"/>
        </w:rPr>
        <w:t>The accompanying consolidated financial statements are prepared in accordance with generally accepted accounting principles applicable to a going concern, which contemplates the realization of assets and the satisfaction of liabilities in the normal course of business.</w:t>
      </w:r>
    </w:p>
    <w:p>
      <w:pPr>
        <w:spacing w:after="0" w:line="147"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Management evaluated whether conditions or events, considered in the aggregate, raise substantial doubt about the Company’s ability to continue as a going concern for a period of one year from the date the financial statements are issued. The Company has incurred recurring operating losses, negative cash flows from operations, and has significant debt obligations due within the next twelve months. These conditions and events, considered in the aggregate, raise substantial doubt about the Company’s ability to continue as a going concern.</w:t>
      </w:r>
    </w:p>
    <w:p>
      <w:pPr>
        <w:spacing w:after="0" w:line="158"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Management’s plans to address these conditions include reducing costs through restructuring and other initiatives, including facility consolidations, headcount reductions, and focusing on our proprietary brand offerings. To improve liquidity the Company is negotiating with lenders and key vendors, and is pursuing additional financing or strategic alternatives including the sale of assets, businesses, or through an offering of equity securities. These plans are not within the Company’s control, and therefore cannot be deemed probable. As a result, the Company has concluded that management’s plans do not alleviate substantial doubt about the Company’s ability to continue as a going concern.</w:t>
      </w:r>
    </w:p>
    <w:p>
      <w:pPr>
        <w:spacing w:after="0" w:line="157"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color w:val="auto"/>
        </w:rPr>
        <w:t>These consolidated financial statements do not include any adjustments to the specific amounts and classifications of assets and liabilities, which might be necessary should we be unable to continue as a going concern.</w:t>
      </w:r>
    </w:p>
    <w:p>
      <w:pPr>
        <w:spacing w:after="0" w:line="324" w:lineRule="exact"/>
        <w:rPr>
          <w:sz w:val="20"/>
          <w:szCs w:val="20"/>
          <w:color w:val="auto"/>
        </w:rPr>
      </w:pPr>
    </w:p>
    <w:p>
      <w:pPr>
        <w:ind w:right="3300"/>
        <w:spacing w:after="0" w:line="461" w:lineRule="auto"/>
        <w:rPr>
          <w:sz w:val="20"/>
          <w:szCs w:val="20"/>
          <w:color w:val="auto"/>
        </w:rPr>
      </w:pPr>
      <w:r>
        <w:rPr>
          <w:rFonts w:ascii="Times New Roman" w:cs="Times New Roman" w:eastAsia="Times New Roman" w:hAnsi="Times New Roman"/>
          <w:sz w:val="20"/>
          <w:szCs w:val="20"/>
          <w:b w:val="1"/>
          <w:bCs w:val="1"/>
          <w:color w:val="auto"/>
        </w:rPr>
        <w:t xml:space="preserve">3. BASIS OF PRESENTATION AND SIGNIFICANT ACCOUNTING POLICIES </w:t>
      </w:r>
      <w:r>
        <w:rPr>
          <w:rFonts w:ascii="Times New Roman" w:cs="Times New Roman" w:eastAsia="Times New Roman" w:hAnsi="Times New Roman"/>
          <w:sz w:val="20"/>
          <w:szCs w:val="20"/>
          <w:b w:val="1"/>
          <w:bCs w:val="1"/>
          <w:i w:val="1"/>
          <w:iCs w:val="1"/>
          <w:color w:val="auto"/>
        </w:rPr>
        <w:t>Basis of consolidation and presentation</w:t>
      </w:r>
    </w:p>
    <w:p>
      <w:pPr>
        <w:spacing w:after="0" w:line="1" w:lineRule="exact"/>
        <w:rPr>
          <w:sz w:val="20"/>
          <w:szCs w:val="20"/>
          <w:color w:val="auto"/>
        </w:rPr>
      </w:pPr>
    </w:p>
    <w:p>
      <w:pPr>
        <w:jc w:val="both"/>
        <w:ind w:firstLine="720"/>
        <w:spacing w:after="0" w:line="262" w:lineRule="auto"/>
        <w:rPr>
          <w:sz w:val="20"/>
          <w:szCs w:val="20"/>
          <w:color w:val="auto"/>
        </w:rPr>
      </w:pPr>
      <w:r>
        <w:rPr>
          <w:rFonts w:ascii="Times New Roman" w:cs="Times New Roman" w:eastAsia="Times New Roman" w:hAnsi="Times New Roman"/>
          <w:sz w:val="20"/>
          <w:szCs w:val="20"/>
          <w:color w:val="auto"/>
        </w:rPr>
        <w:t>The consolidated financial statements include the accounts of the Company and its wholly-owned subsidiaries and have been prepared in accordance with accounting principles generally accepted in the United States of America ("U.S. GAAP") and the requirements of the U.S. Securities and Exchange Commission ("SEC") for year-end financial reporting. All intercompany balances and transactions have been eliminated in consolidation.</w:t>
      </w:r>
    </w:p>
    <w:p>
      <w:pPr>
        <w:spacing w:after="0" w:line="155"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On February 12, 2025, the Company effected a one-for-ten reverse stock split of its common stock, whereby each lot of ten shares of common stock issued and outstanding immediately prior to the reverse stock split was converted into and became one share of common stock (the "Reverse Stock Split"). In lieu of issuing any fractional shares, any stockholder entitled to receive less than one share of common stock received cash for such stockholder’s fractional share. There was no change to the par value of $0.0001. Accordingly, the presentation of all periods covered by the consolidated financial statements, and notes to the consolidated financial statements, contained herein have been adjusted to give retroactive effect to the Reverse Stock Split.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210"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The preparation of consolidated financial statements in conformity with U.S. GAAP requires management to make estimates and assumptions that affect the reported amounts of assets and liabilities and disclosure of contingent assets and liabilities as of the date of the consolidated financial statements and the reported amounts of revenues and expenses during the reporting period. Estimates are based on historical experience and on various other assumptions that are believed to be reasonable under the circumstances. Significant estimates include provisions for sales returns, rebates and claims from customers, realization of accounts receivable and inventories, fair value of assets acquired and liabilities assumed for business combinations, valuation of intangible assets, estimated useful lives of long-lived assets, incremental borrowing rate applied in lease accounting, valuation of stock-based compensation, recognition of deferred income taxes, classification of debt pursuant to certain terms in the Company's credit agreements, recognition of liabilities related to commitments and contingencies, asset retirement obligations ("AROs"), and valuation allowances. Actual results may differ from these estimates. On an ongoing basis, the Company reviews its estimates to ensure that these estimates appropriately reflect changes in its business or new information available.</w:t>
      </w:r>
    </w:p>
    <w:p>
      <w:pPr>
        <w:sectPr>
          <w:pgSz w:w="12240" w:h="15840" w:orient="portrait"/>
          <w:cols w:equalWidth="0" w:num="1">
            <w:col w:w="10260"/>
          </w:cols>
          <w:pgMar w:left="1000" w:top="4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10260"/>
          </w:cols>
          <w:pgMar w:left="1000" w:top="420" w:right="980" w:bottom="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4"/>
          <w:szCs w:val="24"/>
          <w:b w:val="1"/>
          <w:bCs w:val="1"/>
          <w:color w:val="auto"/>
        </w:rPr>
        <w:t>Hydrofarm Holdings Group, Inc.</w:t>
      </w:r>
    </w:p>
    <w:p>
      <w:pPr>
        <w:spacing w:after="0" w:line="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pacing w:after="0" w:line="3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Segment and entity-wide information</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i w:val="1"/>
          <w:iCs w:val="1"/>
          <w:color w:val="auto"/>
        </w:rPr>
        <w:t>Segment information</w:t>
      </w:r>
    </w:p>
    <w:p>
      <w:pPr>
        <w:spacing w:after="0" w:line="208" w:lineRule="exact"/>
        <w:rPr>
          <w:sz w:val="20"/>
          <w:szCs w:val="20"/>
          <w:color w:val="auto"/>
        </w:rPr>
      </w:pPr>
    </w:p>
    <w:p>
      <w:pPr>
        <w:jc w:val="both"/>
        <w:ind w:left="60" w:firstLine="720"/>
        <w:spacing w:after="0" w:line="262" w:lineRule="auto"/>
        <w:rPr>
          <w:sz w:val="20"/>
          <w:szCs w:val="20"/>
          <w:color w:val="auto"/>
        </w:rPr>
      </w:pPr>
      <w:r>
        <w:rPr>
          <w:rFonts w:ascii="Times New Roman" w:cs="Times New Roman" w:eastAsia="Times New Roman" w:hAnsi="Times New Roman"/>
          <w:sz w:val="20"/>
          <w:szCs w:val="20"/>
          <w:color w:val="auto"/>
        </w:rPr>
        <w:t>The Company's chief operating decision maker ("CODM") is the Chief Executive Officer (the "CEO") who reviews financial information for the purposes of making operating decisions, assessing financial performance and allocating resources. The business is organized as one operating segment managed on a consolidated basis, and one reportable segment, which is the distribution and manufacture of CEA equipment and supplies.</w:t>
      </w:r>
    </w:p>
    <w:p>
      <w:pPr>
        <w:spacing w:after="0" w:line="155" w:lineRule="exact"/>
        <w:rPr>
          <w:sz w:val="20"/>
          <w:szCs w:val="20"/>
          <w:color w:val="auto"/>
        </w:rPr>
      </w:pPr>
    </w:p>
    <w:p>
      <w:pPr>
        <w:jc w:val="both"/>
        <w:ind w:left="60" w:firstLine="720"/>
        <w:spacing w:after="0" w:line="255" w:lineRule="auto"/>
        <w:rPr>
          <w:sz w:val="20"/>
          <w:szCs w:val="20"/>
          <w:color w:val="auto"/>
        </w:rPr>
      </w:pPr>
      <w:r>
        <w:rPr>
          <w:rFonts w:ascii="Times New Roman" w:cs="Times New Roman" w:eastAsia="Times New Roman" w:hAnsi="Times New Roman"/>
          <w:sz w:val="20"/>
          <w:szCs w:val="20"/>
          <w:color w:val="auto"/>
        </w:rPr>
        <w:t>For the purposes of making operating decisions, assessing financial performance and allocating resources, the CODM reviews financial statement metrics on a consolidated basis, including net sales, gross profit, SG&amp;A, and net loss as presented in the consolidated statements of operations. Net loss is the primary measure of profit or loss reviewed by the CODM. In addition, the CODM reviews consolidated total assets and significant components such as inventories, cash and other assets for the purpose of evaluating financial performance. Significant expense categories regularly reviewed by the CODM are comprised of cost of goods sold and SG&amp;A. The other components of net loss as disclosed in the statements of operations that are not significant segment expenses are impairments, loss on asset disposition, interest expense, other income (expense), net, and income tax expense. Since the Company operates as one reportable segment, all required segment financial information is found in the consolidated financial statements and notes, and within the entity-wide disclosures presented below.</w:t>
      </w:r>
    </w:p>
    <w:p>
      <w:pPr>
        <w:spacing w:after="0" w:line="1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i w:val="1"/>
          <w:iCs w:val="1"/>
          <w:color w:val="auto"/>
        </w:rPr>
        <w:t>Entity-wide information</w:t>
      </w:r>
    </w:p>
    <w:p>
      <w:pPr>
        <w:spacing w:after="0" w:line="208" w:lineRule="exact"/>
        <w:rPr>
          <w:sz w:val="20"/>
          <w:szCs w:val="20"/>
          <w:color w:val="auto"/>
        </w:rPr>
      </w:pPr>
    </w:p>
    <w:p>
      <w:pPr>
        <w:jc w:val="both"/>
        <w:ind w:left="60" w:firstLine="720"/>
        <w:spacing w:after="0" w:line="268" w:lineRule="auto"/>
        <w:rPr>
          <w:sz w:val="20"/>
          <w:szCs w:val="20"/>
          <w:color w:val="auto"/>
        </w:rPr>
      </w:pPr>
      <w:r>
        <w:rPr>
          <w:rFonts w:ascii="Times New Roman" w:cs="Times New Roman" w:eastAsia="Times New Roman" w:hAnsi="Times New Roman"/>
          <w:sz w:val="20"/>
          <w:szCs w:val="20"/>
          <w:color w:val="auto"/>
        </w:rPr>
        <w:t>Net sales and property, plant and equipment, net and operating lease right-of-use ("ROU") assets, in the United States and Canada, as determined by the location of the subsidiaries, are shown below. Other foreign locations, which are immaterial, individually and in the aggregate, are included in the United States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0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gridSpan w:val="7"/>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8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10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920" w:type="dxa"/>
            <w:vAlign w:val="bottom"/>
            <w:gridSpan w:val="5"/>
          </w:tcPr>
          <w:p>
            <w:pPr>
              <w:jc w:val="right"/>
              <w:ind w:right="83"/>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60" w:type="dxa"/>
            <w:vAlign w:val="bottom"/>
          </w:tcPr>
          <w:p>
            <w:pPr>
              <w:jc w:val="right"/>
              <w:ind w:right="1222"/>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100" w:type="dxa"/>
            <w:vAlign w:val="bottom"/>
            <w:tcBorders>
              <w:right w:val="single" w:sz="8" w:color="D2EEF5"/>
            </w:tcBorders>
            <w:shd w:val="clear" w:color="auto" w:fill="D2EEF5"/>
          </w:tcPr>
          <w:p>
            <w:pPr>
              <w:spacing w:after="0"/>
              <w:rPr>
                <w:sz w:val="23"/>
                <w:szCs w:val="23"/>
                <w:color w:val="auto"/>
              </w:rPr>
            </w:pPr>
          </w:p>
        </w:tc>
        <w:tc>
          <w:tcPr>
            <w:tcW w:w="4040" w:type="dxa"/>
            <w:vAlign w:val="bottom"/>
            <w:shd w:val="clear" w:color="auto" w:fill="D2EEF5"/>
          </w:tcPr>
          <w:p>
            <w:pPr>
              <w:spacing w:after="0"/>
              <w:rPr>
                <w:sz w:val="20"/>
                <w:szCs w:val="20"/>
                <w:color w:val="auto"/>
              </w:rPr>
            </w:pPr>
            <w:r>
              <w:rPr>
                <w:rFonts w:ascii="Times New Roman" w:cs="Times New Roman" w:eastAsia="Times New Roman" w:hAnsi="Times New Roman"/>
                <w:sz w:val="20"/>
                <w:szCs w:val="20"/>
                <w:color w:val="auto"/>
              </w:rPr>
              <w:t>United States</w:t>
            </w:r>
          </w:p>
        </w:tc>
        <w:tc>
          <w:tcPr>
            <w:tcW w:w="40" w:type="dxa"/>
            <w:vAlign w:val="bottom"/>
            <w:tcBorders>
              <w:top w:val="single" w:sz="8" w:color="D2EEF5"/>
            </w:tcBorders>
            <w:shd w:val="clear" w:color="auto" w:fill="D2EEF5"/>
          </w:tcPr>
          <w:p>
            <w:pPr>
              <w:spacing w:after="0"/>
              <w:rPr>
                <w:sz w:val="23"/>
                <w:szCs w:val="23"/>
                <w:color w:val="auto"/>
              </w:rPr>
            </w:pPr>
          </w:p>
        </w:tc>
        <w:tc>
          <w:tcPr>
            <w:tcW w:w="20" w:type="dxa"/>
            <w:vAlign w:val="bottom"/>
            <w:tcBorders>
              <w:top w:val="single" w:sz="8" w:color="D2EEF5"/>
            </w:tcBorders>
            <w:shd w:val="clear" w:color="auto" w:fill="D2EEF5"/>
          </w:tcPr>
          <w:p>
            <w:pPr>
              <w:spacing w:after="0"/>
              <w:rPr>
                <w:sz w:val="23"/>
                <w:szCs w:val="23"/>
                <w:color w:val="auto"/>
              </w:rPr>
            </w:pPr>
          </w:p>
        </w:tc>
        <w:tc>
          <w:tcPr>
            <w:tcW w:w="1860" w:type="dxa"/>
            <w:vAlign w:val="bottom"/>
            <w:tcBorders>
              <w:top w:val="single" w:sz="8" w:color="auto"/>
            </w:tcBorders>
            <w:gridSpan w:val="3"/>
            <w:shd w:val="clear" w:color="auto" w:fill="D2EEF5"/>
          </w:tcPr>
          <w:p>
            <w:pPr>
              <w:jc w:val="right"/>
              <w:ind w:right="1603"/>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tcBorders>
              <w:top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107,777</w:t>
            </w:r>
          </w:p>
        </w:tc>
        <w:tc>
          <w:tcPr>
            <w:tcW w:w="20" w:type="dxa"/>
            <w:vAlign w:val="bottom"/>
            <w:tcBorders>
              <w:top w:val="single" w:sz="8" w:color="D2EEF5"/>
            </w:tcBorders>
            <w:shd w:val="clear" w:color="auto" w:fill="D2EEF5"/>
          </w:tcPr>
          <w:p>
            <w:pPr>
              <w:spacing w:after="0"/>
              <w:rPr>
                <w:sz w:val="23"/>
                <w:szCs w:val="23"/>
                <w:color w:val="auto"/>
              </w:rPr>
            </w:pPr>
          </w:p>
        </w:tc>
        <w:tc>
          <w:tcPr>
            <w:tcW w:w="20" w:type="dxa"/>
            <w:vAlign w:val="bottom"/>
            <w:tcBorders>
              <w:top w:val="single" w:sz="8" w:color="D2EEF5"/>
            </w:tcBorders>
            <w:shd w:val="clear" w:color="auto" w:fill="D2EEF5"/>
          </w:tcPr>
          <w:p>
            <w:pPr>
              <w:spacing w:after="0"/>
              <w:rPr>
                <w:sz w:val="23"/>
                <w:szCs w:val="23"/>
                <w:color w:val="auto"/>
              </w:rPr>
            </w:pPr>
          </w:p>
        </w:tc>
        <w:tc>
          <w:tcPr>
            <w:tcW w:w="20" w:type="dxa"/>
            <w:vAlign w:val="bottom"/>
            <w:tcBorders>
              <w:top w:val="single" w:sz="8" w:color="D2EEF5"/>
            </w:tcBorders>
            <w:shd w:val="clear" w:color="auto" w:fill="D2EEF5"/>
          </w:tcPr>
          <w:p>
            <w:pPr>
              <w:spacing w:after="0"/>
              <w:rPr>
                <w:sz w:val="23"/>
                <w:szCs w:val="23"/>
                <w:color w:val="auto"/>
              </w:rPr>
            </w:pPr>
          </w:p>
        </w:tc>
        <w:tc>
          <w:tcPr>
            <w:tcW w:w="1140" w:type="dxa"/>
            <w:vAlign w:val="bottom"/>
            <w:tcBorders>
              <w:top w:val="single" w:sz="8" w:color="auto"/>
            </w:tcBorders>
            <w:gridSpan w:val="3"/>
            <w:shd w:val="clear" w:color="auto" w:fill="D2EEF5"/>
          </w:tcPr>
          <w:p>
            <w:pPr>
              <w:jc w:val="right"/>
              <w:ind w:right="880"/>
              <w:spacing w:after="0"/>
              <w:rPr>
                <w:sz w:val="20"/>
                <w:szCs w:val="20"/>
                <w:color w:val="auto"/>
              </w:rPr>
            </w:pPr>
            <w:r>
              <w:rPr>
                <w:rFonts w:ascii="Times New Roman" w:cs="Times New Roman" w:eastAsia="Times New Roman" w:hAnsi="Times New Roman"/>
                <w:sz w:val="20"/>
                <w:szCs w:val="20"/>
                <w:b w:val="1"/>
                <w:bCs w:val="1"/>
                <w:color w:val="auto"/>
              </w:rPr>
              <w:t>$</w:t>
            </w:r>
          </w:p>
        </w:tc>
        <w:tc>
          <w:tcPr>
            <w:tcW w:w="1860" w:type="dxa"/>
            <w:vAlign w:val="bottom"/>
            <w:tcBorders>
              <w:top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151,660</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Canada</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29,064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41,633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100" w:type="dxa"/>
            <w:vAlign w:val="bottom"/>
            <w:tcBorders>
              <w:bottom w:val="single" w:sz="8" w:color="D2EEF5"/>
              <w:right w:val="single" w:sz="8" w:color="D2EEF5"/>
            </w:tcBorders>
            <w:shd w:val="clear" w:color="auto" w:fill="D2EEF5"/>
          </w:tcPr>
          <w:p>
            <w:pPr>
              <w:spacing w:after="0"/>
              <w:rPr>
                <w:sz w:val="24"/>
                <w:szCs w:val="24"/>
                <w:color w:val="auto"/>
              </w:rPr>
            </w:pPr>
          </w:p>
        </w:tc>
        <w:tc>
          <w:tcPr>
            <w:tcW w:w="4040" w:type="dxa"/>
            <w:vAlign w:val="bottom"/>
            <w:tcBorders>
              <w:bottom w:val="single" w:sz="8" w:color="D2EEF5"/>
            </w:tcBorders>
            <w:shd w:val="clear" w:color="auto" w:fill="D2EEF5"/>
          </w:tcPr>
          <w:p>
            <w:pPr>
              <w:spacing w:after="0"/>
              <w:rPr>
                <w:sz w:val="20"/>
                <w:szCs w:val="20"/>
                <w:color w:val="auto"/>
              </w:rPr>
            </w:pPr>
            <w:r>
              <w:rPr>
                <w:rFonts w:ascii="Times New Roman" w:cs="Times New Roman" w:eastAsia="Times New Roman" w:hAnsi="Times New Roman"/>
                <w:sz w:val="20"/>
                <w:szCs w:val="20"/>
                <w:color w:val="auto"/>
              </w:rPr>
              <w:t>Eliminations</w:t>
            </w:r>
          </w:p>
        </w:tc>
        <w:tc>
          <w:tcPr>
            <w:tcW w:w="4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20" w:type="dxa"/>
            <w:vAlign w:val="bottom"/>
            <w:tcBorders>
              <w:bottom w:val="single" w:sz="8" w:color="auto"/>
            </w:tcBorders>
            <w:shd w:val="clear" w:color="auto" w:fill="D2EEF5"/>
          </w:tcPr>
          <w:p>
            <w:pPr>
              <w:spacing w:after="0"/>
              <w:rPr>
                <w:sz w:val="24"/>
                <w:szCs w:val="24"/>
                <w:color w:val="auto"/>
              </w:rPr>
            </w:pPr>
          </w:p>
        </w:tc>
        <w:tc>
          <w:tcPr>
            <w:tcW w:w="20" w:type="dxa"/>
            <w:vAlign w:val="bottom"/>
            <w:tcBorders>
              <w:bottom w:val="single" w:sz="8" w:color="auto"/>
            </w:tcBorders>
            <w:shd w:val="clear" w:color="auto" w:fill="D2EEF5"/>
          </w:tcPr>
          <w:p>
            <w:pPr>
              <w:spacing w:after="0"/>
              <w:rPr>
                <w:sz w:val="24"/>
                <w:szCs w:val="24"/>
                <w:color w:val="auto"/>
              </w:rPr>
            </w:pPr>
          </w:p>
        </w:tc>
        <w:tc>
          <w:tcPr>
            <w:tcW w:w="1820" w:type="dxa"/>
            <w:vAlign w:val="bottom"/>
            <w:tcBorders>
              <w:bottom w:val="single" w:sz="8" w:color="auto"/>
            </w:tcBorders>
            <w:shd w:val="clear" w:color="auto" w:fill="D2EEF5"/>
          </w:tcPr>
          <w:p>
            <w:pPr>
              <w:spacing w:after="0"/>
              <w:rPr>
                <w:sz w:val="24"/>
                <w:szCs w:val="24"/>
                <w:color w:val="auto"/>
              </w:rPr>
            </w:pPr>
          </w:p>
        </w:tc>
        <w:tc>
          <w:tcPr>
            <w:tcW w:w="11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(2,589)</w:t>
            </w:r>
          </w:p>
        </w:tc>
        <w:tc>
          <w:tcPr>
            <w:tcW w:w="2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40" w:type="dxa"/>
            <w:vAlign w:val="bottom"/>
            <w:tcBorders>
              <w:bottom w:val="single" w:sz="8" w:color="auto"/>
            </w:tcBorders>
            <w:shd w:val="clear" w:color="auto" w:fill="D2EEF5"/>
          </w:tcPr>
          <w:p>
            <w:pPr>
              <w:spacing w:after="0"/>
              <w:rPr>
                <w:sz w:val="24"/>
                <w:szCs w:val="24"/>
                <w:color w:val="auto"/>
              </w:rPr>
            </w:pPr>
          </w:p>
        </w:tc>
        <w:tc>
          <w:tcPr>
            <w:tcW w:w="20" w:type="dxa"/>
            <w:vAlign w:val="bottom"/>
            <w:tcBorders>
              <w:bottom w:val="single" w:sz="8" w:color="auto"/>
            </w:tcBorders>
            <w:shd w:val="clear" w:color="auto" w:fill="D2EEF5"/>
          </w:tcPr>
          <w:p>
            <w:pPr>
              <w:spacing w:after="0"/>
              <w:rPr>
                <w:sz w:val="24"/>
                <w:szCs w:val="24"/>
                <w:color w:val="auto"/>
              </w:rPr>
            </w:pPr>
          </w:p>
        </w:tc>
        <w:tc>
          <w:tcPr>
            <w:tcW w:w="1080" w:type="dxa"/>
            <w:vAlign w:val="bottom"/>
            <w:tcBorders>
              <w:bottom w:val="single" w:sz="8" w:color="auto"/>
            </w:tcBorders>
            <w:shd w:val="clear" w:color="auto" w:fill="D2EEF5"/>
          </w:tcPr>
          <w:p>
            <w:pPr>
              <w:spacing w:after="0"/>
              <w:rPr>
                <w:sz w:val="24"/>
                <w:szCs w:val="24"/>
                <w:color w:val="auto"/>
              </w:rPr>
            </w:pPr>
          </w:p>
        </w:tc>
        <w:tc>
          <w:tcPr>
            <w:tcW w:w="18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(3,005)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100" w:type="dxa"/>
            <w:vAlign w:val="bottom"/>
          </w:tcPr>
          <w:p>
            <w:pPr>
              <w:spacing w:after="0"/>
              <w:rPr>
                <w:sz w:val="23"/>
                <w:szCs w:val="23"/>
                <w:color w:val="auto"/>
              </w:rPr>
            </w:pPr>
          </w:p>
        </w:tc>
        <w:tc>
          <w:tcPr>
            <w:tcW w:w="404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Total consolidated net sales</w:t>
            </w:r>
          </w:p>
        </w:tc>
        <w:tc>
          <w:tcPr>
            <w:tcW w:w="4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gridSpan w:val="3"/>
          </w:tcPr>
          <w:p>
            <w:pPr>
              <w:jc w:val="right"/>
              <w:ind w:right="1603"/>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134,252</w:t>
            </w:r>
          </w:p>
        </w:tc>
        <w:tc>
          <w:tcPr>
            <w:tcW w:w="2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gridSpan w:val="3"/>
          </w:tcPr>
          <w:p>
            <w:pPr>
              <w:jc w:val="right"/>
              <w:ind w:right="880"/>
              <w:spacing w:after="0"/>
              <w:rPr>
                <w:sz w:val="20"/>
                <w:szCs w:val="20"/>
                <w:color w:val="auto"/>
              </w:rPr>
            </w:pPr>
            <w:r>
              <w:rPr>
                <w:rFonts w:ascii="Times New Roman" w:cs="Times New Roman" w:eastAsia="Times New Roman" w:hAnsi="Times New Roman"/>
                <w:sz w:val="20"/>
                <w:szCs w:val="20"/>
                <w:b w:val="1"/>
                <w:bCs w:val="1"/>
                <w:color w:val="auto"/>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190,288</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2"/>
        </w:trPr>
        <w:tc>
          <w:tcPr>
            <w:tcW w:w="1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7"/>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0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80" w:type="dxa"/>
            <w:vAlign w:val="bottom"/>
            <w:gridSpan w:val="3"/>
          </w:tcPr>
          <w:p>
            <w:pPr>
              <w:spacing w:after="0"/>
              <w:rPr>
                <w:sz w:val="22"/>
                <w:szCs w:val="22"/>
                <w:color w:val="auto"/>
              </w:rPr>
            </w:pPr>
          </w:p>
        </w:tc>
        <w:tc>
          <w:tcPr>
            <w:tcW w:w="20" w:type="dxa"/>
            <w:vAlign w:val="bottom"/>
          </w:tcPr>
          <w:p>
            <w:pPr>
              <w:spacing w:after="0"/>
              <w:rPr>
                <w:sz w:val="22"/>
                <w:szCs w:val="22"/>
                <w:color w:val="auto"/>
              </w:rPr>
            </w:pPr>
          </w:p>
        </w:tc>
        <w:tc>
          <w:tcPr>
            <w:tcW w:w="18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D2EEF5"/>
            </w:tcBorders>
          </w:tcPr>
          <w:p>
            <w:pPr>
              <w:spacing w:after="0"/>
              <w:rPr>
                <w:sz w:val="22"/>
                <w:szCs w:val="22"/>
                <w:color w:val="auto"/>
              </w:rPr>
            </w:pPr>
          </w:p>
        </w:tc>
        <w:tc>
          <w:tcPr>
            <w:tcW w:w="40" w:type="dxa"/>
            <w:vAlign w:val="bottom"/>
            <w:tcBorders>
              <w:bottom w:val="single" w:sz="8" w:color="D2EEF5"/>
            </w:tcBorders>
          </w:tcPr>
          <w:p>
            <w:pPr>
              <w:spacing w:after="0"/>
              <w:rPr>
                <w:sz w:val="22"/>
                <w:szCs w:val="22"/>
                <w:color w:val="auto"/>
              </w:rPr>
            </w:pPr>
          </w:p>
        </w:tc>
        <w:tc>
          <w:tcPr>
            <w:tcW w:w="20" w:type="dxa"/>
            <w:vAlign w:val="bottom"/>
            <w:tcBorders>
              <w:bottom w:val="single" w:sz="8" w:color="D2EEF5"/>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1162"/>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100" w:type="dxa"/>
            <w:vAlign w:val="bottom"/>
            <w:tcBorders>
              <w:right w:val="single" w:sz="8" w:color="D2EEF5"/>
            </w:tcBorders>
          </w:tcPr>
          <w:p>
            <w:pPr>
              <w:spacing w:after="0"/>
              <w:rPr>
                <w:sz w:val="21"/>
                <w:szCs w:val="21"/>
                <w:color w:val="auto"/>
              </w:rPr>
            </w:pPr>
          </w:p>
        </w:tc>
        <w:tc>
          <w:tcPr>
            <w:tcW w:w="4040" w:type="dxa"/>
            <w:vAlign w:val="bottom"/>
            <w:tcBorders>
              <w:top w:val="single" w:sz="8" w:color="D2EEF5"/>
            </w:tcBorders>
            <w:shd w:val="clear" w:color="auto" w:fill="D2EEF5"/>
          </w:tcPr>
          <w:p>
            <w:pPr>
              <w:spacing w:after="0"/>
              <w:rPr>
                <w:sz w:val="20"/>
                <w:szCs w:val="20"/>
                <w:color w:val="auto"/>
              </w:rPr>
            </w:pPr>
            <w:r>
              <w:rPr>
                <w:rFonts w:ascii="Times New Roman" w:cs="Times New Roman" w:eastAsia="Times New Roman" w:hAnsi="Times New Roman"/>
                <w:sz w:val="20"/>
                <w:szCs w:val="20"/>
                <w:color w:val="auto"/>
              </w:rPr>
              <w:t>United States</w:t>
            </w:r>
          </w:p>
        </w:tc>
        <w:tc>
          <w:tcPr>
            <w:tcW w:w="80" w:type="dxa"/>
            <w:vAlign w:val="bottom"/>
            <w:tcBorders>
              <w:top w:val="single" w:sz="8" w:color="D2EEF5"/>
            </w:tcBorders>
            <w:gridSpan w:val="3"/>
            <w:shd w:val="clear" w:color="auto" w:fill="D2EEF5"/>
          </w:tcPr>
          <w:p>
            <w:pPr>
              <w:spacing w:after="0"/>
              <w:rPr>
                <w:sz w:val="21"/>
                <w:szCs w:val="21"/>
                <w:color w:val="auto"/>
              </w:rPr>
            </w:pPr>
          </w:p>
        </w:tc>
        <w:tc>
          <w:tcPr>
            <w:tcW w:w="20" w:type="dxa"/>
            <w:vAlign w:val="bottom"/>
            <w:tcBorders>
              <w:top w:val="single" w:sz="8" w:color="D2EEF5"/>
            </w:tcBorders>
            <w:shd w:val="clear" w:color="auto" w:fill="D2EEF5"/>
          </w:tcPr>
          <w:p>
            <w:pPr>
              <w:spacing w:after="0"/>
              <w:rPr>
                <w:sz w:val="21"/>
                <w:szCs w:val="21"/>
                <w:color w:val="auto"/>
              </w:rPr>
            </w:pPr>
          </w:p>
        </w:tc>
        <w:tc>
          <w:tcPr>
            <w:tcW w:w="1820" w:type="dxa"/>
            <w:vAlign w:val="bottom"/>
            <w:tcBorders>
              <w:top w:val="single" w:sz="8" w:color="D2EEF5"/>
            </w:tcBorders>
            <w:shd w:val="clear" w:color="auto" w:fill="D2EEF5"/>
          </w:tcPr>
          <w:p>
            <w:pPr>
              <w:jc w:val="right"/>
              <w:ind w:right="1583"/>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tcBorders>
              <w:top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38,071</w:t>
            </w:r>
          </w:p>
        </w:tc>
        <w:tc>
          <w:tcPr>
            <w:tcW w:w="20" w:type="dxa"/>
            <w:vAlign w:val="bottom"/>
            <w:tcBorders>
              <w:top w:val="single" w:sz="8" w:color="D2EEF5"/>
            </w:tcBorders>
            <w:shd w:val="clear" w:color="auto" w:fill="D2EEF5"/>
          </w:tcPr>
          <w:p>
            <w:pPr>
              <w:spacing w:after="0"/>
              <w:rPr>
                <w:sz w:val="21"/>
                <w:szCs w:val="21"/>
                <w:color w:val="auto"/>
              </w:rPr>
            </w:pPr>
          </w:p>
        </w:tc>
        <w:tc>
          <w:tcPr>
            <w:tcW w:w="20" w:type="dxa"/>
            <w:vAlign w:val="bottom"/>
            <w:tcBorders>
              <w:top w:val="single" w:sz="8" w:color="D2EEF5"/>
            </w:tcBorders>
            <w:shd w:val="clear" w:color="auto" w:fill="D2EEF5"/>
          </w:tcPr>
          <w:p>
            <w:pPr>
              <w:spacing w:after="0"/>
              <w:rPr>
                <w:sz w:val="21"/>
                <w:szCs w:val="21"/>
                <w:color w:val="auto"/>
              </w:rPr>
            </w:pPr>
          </w:p>
        </w:tc>
        <w:tc>
          <w:tcPr>
            <w:tcW w:w="60" w:type="dxa"/>
            <w:vAlign w:val="bottom"/>
            <w:tcBorders>
              <w:top w:val="single" w:sz="8" w:color="D2EEF5"/>
            </w:tcBorders>
            <w:gridSpan w:val="2"/>
            <w:shd w:val="clear" w:color="auto" w:fill="D2EEF5"/>
          </w:tcPr>
          <w:p>
            <w:pPr>
              <w:spacing w:after="0"/>
              <w:rPr>
                <w:sz w:val="21"/>
                <w:szCs w:val="21"/>
                <w:color w:val="auto"/>
              </w:rPr>
            </w:pPr>
          </w:p>
        </w:tc>
        <w:tc>
          <w:tcPr>
            <w:tcW w:w="20" w:type="dxa"/>
            <w:vAlign w:val="bottom"/>
            <w:tcBorders>
              <w:top w:val="single" w:sz="8" w:color="D2EEF5"/>
            </w:tcBorders>
            <w:shd w:val="clear" w:color="auto" w:fill="D2EEF5"/>
          </w:tcPr>
          <w:p>
            <w:pPr>
              <w:spacing w:after="0"/>
              <w:rPr>
                <w:sz w:val="21"/>
                <w:szCs w:val="21"/>
                <w:color w:val="auto"/>
              </w:rPr>
            </w:pPr>
          </w:p>
        </w:tc>
        <w:tc>
          <w:tcPr>
            <w:tcW w:w="1080" w:type="dxa"/>
            <w:vAlign w:val="bottom"/>
            <w:tcBorders>
              <w:top w:val="single" w:sz="8" w:color="D2EEF5"/>
            </w:tcBorders>
            <w:shd w:val="clear" w:color="auto" w:fill="D2EEF5"/>
          </w:tcPr>
          <w:p>
            <w:pPr>
              <w:jc w:val="right"/>
              <w:ind w:right="840"/>
              <w:spacing w:after="0"/>
              <w:rPr>
                <w:sz w:val="20"/>
                <w:szCs w:val="20"/>
                <w:color w:val="auto"/>
              </w:rPr>
            </w:pPr>
            <w:r>
              <w:rPr>
                <w:rFonts w:ascii="Times New Roman" w:cs="Times New Roman" w:eastAsia="Times New Roman" w:hAnsi="Times New Roman"/>
                <w:sz w:val="20"/>
                <w:szCs w:val="20"/>
                <w:b w:val="1"/>
                <w:bCs w:val="1"/>
                <w:color w:val="auto"/>
              </w:rPr>
              <w:t>$</w:t>
            </w:r>
          </w:p>
        </w:tc>
        <w:tc>
          <w:tcPr>
            <w:tcW w:w="1860" w:type="dxa"/>
            <w:vAlign w:val="bottom"/>
            <w:tcBorders>
              <w:top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50,928</w:t>
            </w:r>
          </w:p>
        </w:tc>
        <w:tc>
          <w:tcPr>
            <w:tcW w:w="20" w:type="dxa"/>
            <w:vAlign w:val="bottom"/>
            <w:tcBorders>
              <w:top w:val="single" w:sz="8" w:color="D2EEF5"/>
            </w:tcBorders>
            <w:shd w:val="clear" w:color="auto" w:fill="D2EEF5"/>
          </w:tcPr>
          <w:p>
            <w:pPr>
              <w:spacing w:after="0"/>
              <w:rPr>
                <w:sz w:val="21"/>
                <w:szCs w:val="21"/>
                <w:color w:val="auto"/>
              </w:rPr>
            </w:pPr>
          </w:p>
        </w:tc>
        <w:tc>
          <w:tcPr>
            <w:tcW w:w="40" w:type="dxa"/>
            <w:vAlign w:val="bottom"/>
            <w:tcBorders>
              <w:top w:val="single" w:sz="8" w:color="D2EEF5"/>
            </w:tcBorders>
            <w:shd w:val="clear" w:color="auto" w:fill="D2EEF5"/>
          </w:tcPr>
          <w:p>
            <w:pPr>
              <w:spacing w:after="0"/>
              <w:rPr>
                <w:sz w:val="21"/>
                <w:szCs w:val="21"/>
                <w:color w:val="auto"/>
              </w:rPr>
            </w:pPr>
          </w:p>
        </w:tc>
        <w:tc>
          <w:tcPr>
            <w:tcW w:w="0" w:type="dxa"/>
            <w:vAlign w:val="bottom"/>
          </w:tcPr>
          <w:p>
            <w:pPr>
              <w:spacing w:after="0"/>
              <w:rPr>
                <w:sz w:val="1"/>
                <w:szCs w:val="1"/>
                <w:color w:val="auto"/>
              </w:rPr>
            </w:pPr>
          </w:p>
        </w:tc>
      </w:tr>
      <w:tr>
        <w:trPr>
          <w:trHeight w:val="305"/>
        </w:trPr>
        <w:tc>
          <w:tcPr>
            <w:tcW w:w="100" w:type="dxa"/>
            <w:vAlign w:val="bottom"/>
          </w:tcPr>
          <w:p>
            <w:pPr>
              <w:spacing w:after="0"/>
              <w:rPr>
                <w:sz w:val="24"/>
                <w:szCs w:val="24"/>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Canada</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30,028</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D2EEF5"/>
            </w:tcBorders>
          </w:tcPr>
          <w:p>
            <w:pPr>
              <w:spacing w:after="0"/>
              <w:rPr>
                <w:sz w:val="24"/>
                <w:szCs w:val="24"/>
                <w:color w:val="auto"/>
              </w:rPr>
            </w:pPr>
          </w:p>
        </w:tc>
        <w:tc>
          <w:tcPr>
            <w:tcW w:w="40" w:type="dxa"/>
            <w:vAlign w:val="bottom"/>
            <w:tcBorders>
              <w:bottom w:val="single" w:sz="8" w:color="D2EEF5"/>
            </w:tcBorders>
          </w:tcPr>
          <w:p>
            <w:pPr>
              <w:spacing w:after="0"/>
              <w:rPr>
                <w:sz w:val="24"/>
                <w:szCs w:val="24"/>
                <w:color w:val="auto"/>
              </w:rPr>
            </w:pPr>
          </w:p>
        </w:tc>
        <w:tc>
          <w:tcPr>
            <w:tcW w:w="20" w:type="dxa"/>
            <w:vAlign w:val="bottom"/>
            <w:tcBorders>
              <w:bottom w:val="single" w:sz="8" w:color="D2EEF5"/>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29,513</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00" w:type="dxa"/>
            <w:vAlign w:val="bottom"/>
            <w:tcBorders>
              <w:right w:val="single" w:sz="8" w:color="D2EEF5"/>
            </w:tcBorders>
          </w:tcPr>
          <w:p>
            <w:pPr>
              <w:spacing w:after="0"/>
              <w:rPr>
                <w:sz w:val="14"/>
                <w:szCs w:val="14"/>
                <w:color w:val="auto"/>
              </w:rPr>
            </w:pPr>
          </w:p>
        </w:tc>
        <w:tc>
          <w:tcPr>
            <w:tcW w:w="4040" w:type="dxa"/>
            <w:vAlign w:val="bottom"/>
            <w:tcBorders>
              <w:top w:val="single" w:sz="8" w:color="D2EEF5"/>
            </w:tcBorders>
            <w:shd w:val="clear" w:color="auto" w:fill="D2EEF5"/>
          </w:tcPr>
          <w:p>
            <w:pPr>
              <w:ind w:left="140"/>
              <w:spacing w:after="0" w:line="170" w:lineRule="exact"/>
              <w:rPr>
                <w:sz w:val="20"/>
                <w:szCs w:val="20"/>
                <w:color w:val="auto"/>
              </w:rPr>
            </w:pPr>
            <w:r>
              <w:rPr>
                <w:rFonts w:ascii="Times New Roman" w:cs="Times New Roman" w:eastAsia="Times New Roman" w:hAnsi="Times New Roman"/>
                <w:sz w:val="19"/>
                <w:szCs w:val="19"/>
                <w:b w:val="1"/>
                <w:bCs w:val="1"/>
                <w:color w:val="auto"/>
              </w:rPr>
              <w:t>Total property, plant and equipment, net and</w:t>
            </w:r>
          </w:p>
        </w:tc>
        <w:tc>
          <w:tcPr>
            <w:tcW w:w="40" w:type="dxa"/>
            <w:vAlign w:val="bottom"/>
            <w:tcBorders>
              <w:top w:val="single" w:sz="8" w:color="D2EEF5"/>
            </w:tcBorders>
            <w:shd w:val="clear" w:color="auto" w:fill="D2EEF5"/>
          </w:tcPr>
          <w:p>
            <w:pPr>
              <w:spacing w:after="0"/>
              <w:rPr>
                <w:sz w:val="14"/>
                <w:szCs w:val="14"/>
                <w:color w:val="auto"/>
              </w:rPr>
            </w:pPr>
          </w:p>
        </w:tc>
        <w:tc>
          <w:tcPr>
            <w:tcW w:w="20" w:type="dxa"/>
            <w:vAlign w:val="bottom"/>
            <w:tcBorders>
              <w:top w:val="single" w:sz="8" w:color="D2EEF5"/>
            </w:tcBorders>
            <w:shd w:val="clear" w:color="auto" w:fill="D2EEF5"/>
          </w:tcPr>
          <w:p>
            <w:pPr>
              <w:spacing w:after="0"/>
              <w:rPr>
                <w:sz w:val="14"/>
                <w:szCs w:val="14"/>
                <w:color w:val="auto"/>
              </w:rPr>
            </w:pPr>
          </w:p>
        </w:tc>
        <w:tc>
          <w:tcPr>
            <w:tcW w:w="20" w:type="dxa"/>
            <w:vAlign w:val="bottom"/>
            <w:tcBorders>
              <w:top w:val="single" w:sz="8" w:color="D2EEF5"/>
            </w:tcBorders>
            <w:shd w:val="clear" w:color="auto" w:fill="D2EEF5"/>
          </w:tcPr>
          <w:p>
            <w:pPr>
              <w:spacing w:after="0"/>
              <w:rPr>
                <w:sz w:val="14"/>
                <w:szCs w:val="14"/>
                <w:color w:val="auto"/>
              </w:rPr>
            </w:pPr>
          </w:p>
        </w:tc>
        <w:tc>
          <w:tcPr>
            <w:tcW w:w="20" w:type="dxa"/>
            <w:vAlign w:val="bottom"/>
            <w:tcBorders>
              <w:top w:val="single" w:sz="8" w:color="D2EEF5"/>
            </w:tcBorders>
            <w:shd w:val="clear" w:color="auto" w:fill="D2EEF5"/>
          </w:tcPr>
          <w:p>
            <w:pPr>
              <w:spacing w:after="0"/>
              <w:rPr>
                <w:sz w:val="14"/>
                <w:szCs w:val="14"/>
                <w:color w:val="auto"/>
              </w:rPr>
            </w:pPr>
          </w:p>
        </w:tc>
        <w:tc>
          <w:tcPr>
            <w:tcW w:w="1820" w:type="dxa"/>
            <w:vAlign w:val="bottom"/>
            <w:tcBorders>
              <w:top w:val="single" w:sz="8" w:color="D2EEF5"/>
            </w:tcBorders>
            <w:vMerge w:val="restart"/>
            <w:shd w:val="clear" w:color="auto" w:fill="D2EEF5"/>
          </w:tcPr>
          <w:p>
            <w:pPr>
              <w:jc w:val="right"/>
              <w:ind w:right="1583"/>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tcBorders>
              <w:top w:val="single" w:sz="8" w:color="D2EEF5"/>
            </w:tcBorders>
            <w:vMerge w:val="restart"/>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68,099</w:t>
            </w:r>
          </w:p>
        </w:tc>
        <w:tc>
          <w:tcPr>
            <w:tcW w:w="20" w:type="dxa"/>
            <w:vAlign w:val="bottom"/>
            <w:tcBorders>
              <w:top w:val="single" w:sz="8" w:color="D2EEF5"/>
            </w:tcBorders>
            <w:shd w:val="clear" w:color="auto" w:fill="D2EEF5"/>
          </w:tcPr>
          <w:p>
            <w:pPr>
              <w:spacing w:after="0"/>
              <w:rPr>
                <w:sz w:val="14"/>
                <w:szCs w:val="14"/>
                <w:color w:val="auto"/>
              </w:rPr>
            </w:pPr>
          </w:p>
        </w:tc>
        <w:tc>
          <w:tcPr>
            <w:tcW w:w="20" w:type="dxa"/>
            <w:vAlign w:val="bottom"/>
            <w:tcBorders>
              <w:top w:val="single" w:sz="8" w:color="D2EEF5"/>
            </w:tcBorders>
            <w:shd w:val="clear" w:color="auto" w:fill="D2EEF5"/>
          </w:tcPr>
          <w:p>
            <w:pPr>
              <w:spacing w:after="0"/>
              <w:rPr>
                <w:sz w:val="14"/>
                <w:szCs w:val="14"/>
                <w:color w:val="auto"/>
              </w:rPr>
            </w:pPr>
          </w:p>
        </w:tc>
        <w:tc>
          <w:tcPr>
            <w:tcW w:w="20" w:type="dxa"/>
            <w:vAlign w:val="bottom"/>
            <w:tcBorders>
              <w:top w:val="single" w:sz="8" w:color="D2EEF5"/>
            </w:tcBorders>
            <w:shd w:val="clear" w:color="auto" w:fill="D2EEF5"/>
          </w:tcPr>
          <w:p>
            <w:pPr>
              <w:spacing w:after="0"/>
              <w:rPr>
                <w:sz w:val="14"/>
                <w:szCs w:val="14"/>
                <w:color w:val="auto"/>
              </w:rPr>
            </w:pPr>
          </w:p>
        </w:tc>
        <w:tc>
          <w:tcPr>
            <w:tcW w:w="40" w:type="dxa"/>
            <w:vAlign w:val="bottom"/>
            <w:tcBorders>
              <w:top w:val="single" w:sz="8" w:color="D2EEF5"/>
            </w:tcBorders>
            <w:shd w:val="clear" w:color="auto" w:fill="D2EEF5"/>
          </w:tcPr>
          <w:p>
            <w:pPr>
              <w:spacing w:after="0"/>
              <w:rPr>
                <w:sz w:val="14"/>
                <w:szCs w:val="14"/>
                <w:color w:val="auto"/>
              </w:rPr>
            </w:pPr>
          </w:p>
        </w:tc>
        <w:tc>
          <w:tcPr>
            <w:tcW w:w="20" w:type="dxa"/>
            <w:vAlign w:val="bottom"/>
            <w:tcBorders>
              <w:top w:val="single" w:sz="8" w:color="D2EEF5"/>
            </w:tcBorders>
            <w:shd w:val="clear" w:color="auto" w:fill="D2EEF5"/>
          </w:tcPr>
          <w:p>
            <w:pPr>
              <w:spacing w:after="0"/>
              <w:rPr>
                <w:sz w:val="14"/>
                <w:szCs w:val="14"/>
                <w:color w:val="auto"/>
              </w:rPr>
            </w:pPr>
          </w:p>
        </w:tc>
        <w:tc>
          <w:tcPr>
            <w:tcW w:w="1080" w:type="dxa"/>
            <w:vAlign w:val="bottom"/>
            <w:tcBorders>
              <w:top w:val="single" w:sz="8" w:color="D2EEF5"/>
            </w:tcBorders>
            <w:vMerge w:val="restart"/>
            <w:shd w:val="clear" w:color="auto" w:fill="D2EEF5"/>
          </w:tcPr>
          <w:p>
            <w:pPr>
              <w:jc w:val="right"/>
              <w:ind w:right="840"/>
              <w:spacing w:after="0"/>
              <w:rPr>
                <w:sz w:val="20"/>
                <w:szCs w:val="20"/>
                <w:color w:val="auto"/>
              </w:rPr>
            </w:pPr>
            <w:r>
              <w:rPr>
                <w:rFonts w:ascii="Times New Roman" w:cs="Times New Roman" w:eastAsia="Times New Roman" w:hAnsi="Times New Roman"/>
                <w:sz w:val="20"/>
                <w:szCs w:val="20"/>
                <w:b w:val="1"/>
                <w:bCs w:val="1"/>
                <w:color w:val="auto"/>
              </w:rPr>
              <w:t>$</w:t>
            </w:r>
          </w:p>
        </w:tc>
        <w:tc>
          <w:tcPr>
            <w:tcW w:w="1860" w:type="dxa"/>
            <w:vAlign w:val="bottom"/>
            <w:tcBorders>
              <w:top w:val="single" w:sz="8" w:color="D2EEF5"/>
            </w:tcBorders>
            <w:vMerge w:val="restart"/>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80,441</w:t>
            </w:r>
          </w:p>
        </w:tc>
        <w:tc>
          <w:tcPr>
            <w:tcW w:w="20" w:type="dxa"/>
            <w:vAlign w:val="bottom"/>
            <w:tcBorders>
              <w:top w:val="single" w:sz="8" w:color="D2EEF5"/>
            </w:tcBorders>
            <w:shd w:val="clear" w:color="auto" w:fill="D2EEF5"/>
          </w:tcPr>
          <w:p>
            <w:pPr>
              <w:spacing w:after="0"/>
              <w:rPr>
                <w:sz w:val="14"/>
                <w:szCs w:val="14"/>
                <w:color w:val="auto"/>
              </w:rPr>
            </w:pPr>
          </w:p>
        </w:tc>
        <w:tc>
          <w:tcPr>
            <w:tcW w:w="40" w:type="dxa"/>
            <w:vAlign w:val="bottom"/>
            <w:tcBorders>
              <w:top w:val="single" w:sz="8" w:color="D2EEF5"/>
            </w:tcBorders>
            <w:shd w:val="clear" w:color="auto" w:fill="D2EEF5"/>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100" w:type="dxa"/>
            <w:vAlign w:val="bottom"/>
            <w:tcBorders>
              <w:right w:val="single" w:sz="8" w:color="D2EEF5"/>
            </w:tcBorders>
          </w:tcPr>
          <w:p>
            <w:pPr>
              <w:spacing w:after="0"/>
              <w:rPr>
                <w:sz w:val="22"/>
                <w:szCs w:val="22"/>
                <w:color w:val="auto"/>
              </w:rPr>
            </w:pPr>
          </w:p>
        </w:tc>
        <w:tc>
          <w:tcPr>
            <w:tcW w:w="4040" w:type="dxa"/>
            <w:vAlign w:val="bottom"/>
            <w:shd w:val="clear" w:color="auto" w:fill="D2EEF5"/>
          </w:tcPr>
          <w:p>
            <w:pPr>
              <w:ind w:left="140"/>
              <w:spacing w:after="0"/>
              <w:rPr>
                <w:sz w:val="20"/>
                <w:szCs w:val="20"/>
                <w:color w:val="auto"/>
              </w:rPr>
            </w:pPr>
            <w:r>
              <w:rPr>
                <w:rFonts w:ascii="Times New Roman" w:cs="Times New Roman" w:eastAsia="Times New Roman" w:hAnsi="Times New Roman"/>
                <w:sz w:val="20"/>
                <w:szCs w:val="20"/>
                <w:b w:val="1"/>
                <w:bCs w:val="1"/>
                <w:color w:val="auto"/>
              </w:rPr>
              <w:t>operating lease right-of-use assets</w:t>
            </w:r>
          </w:p>
        </w:tc>
        <w:tc>
          <w:tcPr>
            <w:tcW w:w="80" w:type="dxa"/>
            <w:vAlign w:val="bottom"/>
            <w:gridSpan w:val="3"/>
            <w:shd w:val="clear" w:color="auto" w:fill="D2EEF5"/>
          </w:tcPr>
          <w:p>
            <w:pPr>
              <w:spacing w:after="0"/>
              <w:rPr>
                <w:sz w:val="22"/>
                <w:szCs w:val="22"/>
                <w:color w:val="auto"/>
              </w:rPr>
            </w:pPr>
          </w:p>
        </w:tc>
        <w:tc>
          <w:tcPr>
            <w:tcW w:w="20" w:type="dxa"/>
            <w:vAlign w:val="bottom"/>
            <w:tcBorders>
              <w:bottom w:val="single" w:sz="8" w:color="auto"/>
            </w:tcBorders>
            <w:shd w:val="clear" w:color="auto" w:fill="D2EEF5"/>
          </w:tcPr>
          <w:p>
            <w:pPr>
              <w:spacing w:after="0"/>
              <w:rPr>
                <w:sz w:val="22"/>
                <w:szCs w:val="22"/>
                <w:color w:val="auto"/>
              </w:rPr>
            </w:pPr>
          </w:p>
        </w:tc>
        <w:tc>
          <w:tcPr>
            <w:tcW w:w="1820" w:type="dxa"/>
            <w:vAlign w:val="bottom"/>
            <w:tcBorders>
              <w:bottom w:val="single" w:sz="8" w:color="auto"/>
            </w:tcBorders>
            <w:vMerge w:val="continue"/>
            <w:shd w:val="clear" w:color="auto" w:fill="D2EEF5"/>
          </w:tcPr>
          <w:p>
            <w:pPr>
              <w:spacing w:after="0"/>
              <w:rPr>
                <w:sz w:val="22"/>
                <w:szCs w:val="22"/>
                <w:color w:val="auto"/>
              </w:rPr>
            </w:pPr>
          </w:p>
        </w:tc>
        <w:tc>
          <w:tcPr>
            <w:tcW w:w="1140" w:type="dxa"/>
            <w:vAlign w:val="bottom"/>
            <w:tcBorders>
              <w:bottom w:val="single" w:sz="8" w:color="auto"/>
            </w:tcBorders>
            <w:vMerge w:val="continue"/>
            <w:shd w:val="clear" w:color="auto" w:fill="D2EEF5"/>
          </w:tcPr>
          <w:p>
            <w:pPr>
              <w:spacing w:after="0"/>
              <w:rPr>
                <w:sz w:val="22"/>
                <w:szCs w:val="22"/>
                <w:color w:val="auto"/>
              </w:rPr>
            </w:pPr>
          </w:p>
        </w:tc>
        <w:tc>
          <w:tcPr>
            <w:tcW w:w="20" w:type="dxa"/>
            <w:vAlign w:val="bottom"/>
            <w:tcBorders>
              <w:bottom w:val="single" w:sz="8" w:color="auto"/>
            </w:tcBorders>
            <w:shd w:val="clear" w:color="auto" w:fill="D2EEF5"/>
          </w:tcPr>
          <w:p>
            <w:pPr>
              <w:spacing w:after="0"/>
              <w:rPr>
                <w:sz w:val="22"/>
                <w:szCs w:val="22"/>
                <w:color w:val="auto"/>
              </w:rPr>
            </w:pPr>
          </w:p>
        </w:tc>
        <w:tc>
          <w:tcPr>
            <w:tcW w:w="20" w:type="dxa"/>
            <w:vAlign w:val="bottom"/>
            <w:tcBorders>
              <w:bottom w:val="single" w:sz="8" w:color="auto"/>
            </w:tcBorders>
            <w:shd w:val="clear" w:color="auto" w:fill="D2EEF5"/>
          </w:tcPr>
          <w:p>
            <w:pPr>
              <w:spacing w:after="0"/>
              <w:rPr>
                <w:sz w:val="22"/>
                <w:szCs w:val="22"/>
                <w:color w:val="auto"/>
              </w:rPr>
            </w:pPr>
          </w:p>
        </w:tc>
        <w:tc>
          <w:tcPr>
            <w:tcW w:w="60" w:type="dxa"/>
            <w:vAlign w:val="bottom"/>
            <w:gridSpan w:val="2"/>
            <w:shd w:val="clear" w:color="auto" w:fill="D2EEF5"/>
          </w:tcPr>
          <w:p>
            <w:pPr>
              <w:spacing w:after="0"/>
              <w:rPr>
                <w:sz w:val="22"/>
                <w:szCs w:val="22"/>
                <w:color w:val="auto"/>
              </w:rPr>
            </w:pPr>
          </w:p>
        </w:tc>
        <w:tc>
          <w:tcPr>
            <w:tcW w:w="20" w:type="dxa"/>
            <w:vAlign w:val="bottom"/>
            <w:tcBorders>
              <w:bottom w:val="single" w:sz="8" w:color="auto"/>
            </w:tcBorders>
            <w:shd w:val="clear" w:color="auto" w:fill="D2EEF5"/>
          </w:tcPr>
          <w:p>
            <w:pPr>
              <w:spacing w:after="0"/>
              <w:rPr>
                <w:sz w:val="22"/>
                <w:szCs w:val="22"/>
                <w:color w:val="auto"/>
              </w:rPr>
            </w:pPr>
          </w:p>
        </w:tc>
        <w:tc>
          <w:tcPr>
            <w:tcW w:w="1080" w:type="dxa"/>
            <w:vAlign w:val="bottom"/>
            <w:tcBorders>
              <w:bottom w:val="single" w:sz="8" w:color="auto"/>
            </w:tcBorders>
            <w:vMerge w:val="continue"/>
            <w:shd w:val="clear" w:color="auto" w:fill="D2EEF5"/>
          </w:tcPr>
          <w:p>
            <w:pPr>
              <w:spacing w:after="0"/>
              <w:rPr>
                <w:sz w:val="22"/>
                <w:szCs w:val="22"/>
                <w:color w:val="auto"/>
              </w:rPr>
            </w:pPr>
          </w:p>
        </w:tc>
        <w:tc>
          <w:tcPr>
            <w:tcW w:w="1860" w:type="dxa"/>
            <w:vAlign w:val="bottom"/>
            <w:tcBorders>
              <w:bottom w:val="single" w:sz="8" w:color="auto"/>
            </w:tcBorders>
            <w:vMerge w:val="continue"/>
            <w:shd w:val="clear" w:color="auto" w:fill="D2EEF5"/>
          </w:tcPr>
          <w:p>
            <w:pPr>
              <w:spacing w:after="0"/>
              <w:rPr>
                <w:sz w:val="22"/>
                <w:szCs w:val="22"/>
                <w:color w:val="auto"/>
              </w:rPr>
            </w:pPr>
          </w:p>
        </w:tc>
        <w:tc>
          <w:tcPr>
            <w:tcW w:w="20" w:type="dxa"/>
            <w:vAlign w:val="bottom"/>
            <w:tcBorders>
              <w:bottom w:val="single" w:sz="8" w:color="auto"/>
            </w:tcBorders>
            <w:shd w:val="clear" w:color="auto" w:fill="D2EEF5"/>
          </w:tcPr>
          <w:p>
            <w:pPr>
              <w:spacing w:after="0"/>
              <w:rPr>
                <w:sz w:val="22"/>
                <w:szCs w:val="22"/>
                <w:color w:val="auto"/>
              </w:rPr>
            </w:pPr>
          </w:p>
        </w:tc>
        <w:tc>
          <w:tcPr>
            <w:tcW w:w="40" w:type="dxa"/>
            <w:vAlign w:val="bottom"/>
            <w:tcBorders>
              <w:bottom w:val="single" w:sz="8" w:color="auto"/>
            </w:tcBorders>
            <w:shd w:val="clear" w:color="auto" w:fill="D2EEF5"/>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left="60" w:right="1600" w:firstLine="720"/>
        <w:spacing w:after="0" w:line="459" w:lineRule="auto"/>
        <w:rPr>
          <w:sz w:val="20"/>
          <w:szCs w:val="20"/>
          <w:color w:val="auto"/>
        </w:rPr>
      </w:pPr>
      <w:r>
        <w:rPr>
          <w:rFonts w:ascii="Times New Roman" w:cs="Times New Roman" w:eastAsia="Times New Roman" w:hAnsi="Times New Roman"/>
          <w:sz w:val="20"/>
          <w:szCs w:val="20"/>
          <w:color w:val="auto"/>
        </w:rPr>
        <w:t xml:space="preserve">All of the products sold by the Company are similar and classified as CEA equipment and supplies. </w:t>
      </w:r>
      <w:r>
        <w:rPr>
          <w:rFonts w:ascii="Times New Roman" w:cs="Times New Roman" w:eastAsia="Times New Roman" w:hAnsi="Times New Roman"/>
          <w:sz w:val="20"/>
          <w:szCs w:val="20"/>
          <w:b w:val="1"/>
          <w:bCs w:val="1"/>
          <w:i w:val="1"/>
          <w:iCs w:val="1"/>
          <w:color w:val="auto"/>
        </w:rPr>
        <w:t>Concentrations of business and credit risk</w:t>
      </w:r>
    </w:p>
    <w:p>
      <w:pPr>
        <w:spacing w:after="0" w:line="1" w:lineRule="exact"/>
        <w:rPr>
          <w:sz w:val="20"/>
          <w:szCs w:val="20"/>
          <w:color w:val="auto"/>
        </w:rPr>
      </w:pPr>
    </w:p>
    <w:p>
      <w:pPr>
        <w:jc w:val="both"/>
        <w:ind w:left="60" w:firstLine="720"/>
        <w:spacing w:after="0" w:line="268" w:lineRule="auto"/>
        <w:rPr>
          <w:sz w:val="20"/>
          <w:szCs w:val="20"/>
          <w:color w:val="auto"/>
        </w:rPr>
      </w:pPr>
      <w:r>
        <w:rPr>
          <w:rFonts w:ascii="Times New Roman" w:cs="Times New Roman" w:eastAsia="Times New Roman" w:hAnsi="Times New Roman"/>
          <w:sz w:val="20"/>
          <w:szCs w:val="20"/>
          <w:color w:val="auto"/>
        </w:rPr>
        <w:t>The Company maintains cash balances at certain financial institutions that can, at times, exceed amounts insured by the Federal Deposit Insurance Corporation. The Company has not experienced any losses in these accounts and believes it is not exposed to any significant credit risk in this area.</w:t>
      </w:r>
    </w:p>
    <w:p>
      <w:pPr>
        <w:spacing w:after="0" w:line="149" w:lineRule="exact"/>
        <w:rPr>
          <w:sz w:val="20"/>
          <w:szCs w:val="20"/>
          <w:color w:val="auto"/>
        </w:rPr>
      </w:pPr>
    </w:p>
    <w:p>
      <w:pPr>
        <w:jc w:val="both"/>
        <w:ind w:left="60" w:firstLine="720"/>
        <w:spacing w:after="0" w:line="258" w:lineRule="auto"/>
        <w:rPr>
          <w:sz w:val="20"/>
          <w:szCs w:val="20"/>
          <w:color w:val="auto"/>
        </w:rPr>
      </w:pPr>
      <w:r>
        <w:rPr>
          <w:rFonts w:ascii="Times New Roman" w:cs="Times New Roman" w:eastAsia="Times New Roman" w:hAnsi="Times New Roman"/>
          <w:sz w:val="20"/>
          <w:szCs w:val="20"/>
          <w:color w:val="auto"/>
        </w:rPr>
        <w:t>Accounts receivable expose the Company to credit risks such as collectability and business risks such as customer concentrations. Exposure to losses on receivables is dependent on each customer’s financial condition. Receivables arising from sales are not collateralized; however, credit risk is somewhat mitigated as a result of the large diverse customer base. No customer accounted for more than 10% of revenues in 2025 or 2024. No customer accounted for more than 10% of accounts receivable as of December 31, 2025, or December 31, 2024. One supplier accounted for more than 10% of purchases in 2025 and 2024.</w:t>
      </w:r>
    </w:p>
    <w:p>
      <w:pPr>
        <w:sectPr>
          <w:pgSz w:w="12240" w:h="15840" w:orient="portrait"/>
          <w:cols w:equalWidth="0" w:num="1">
            <w:col w:w="10320"/>
          </w:cols>
          <w:pgMar w:left="940" w:top="420" w:right="980" w:bottom="0" w:gutter="0" w:footer="0" w:header="0"/>
        </w:sectPr>
      </w:pPr>
    </w:p>
    <w:p>
      <w:pPr>
        <w:spacing w:after="0" w:line="200" w:lineRule="exact"/>
        <w:rPr>
          <w:sz w:val="20"/>
          <w:szCs w:val="20"/>
          <w:color w:val="auto"/>
        </w:rPr>
      </w:pPr>
    </w:p>
    <w:p>
      <w:pPr>
        <w:spacing w:after="0" w:line="27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10320"/>
          </w:cols>
          <w:pgMar w:left="940" w:top="420" w:right="980" w:bottom="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Hydrofarm Holdings Group, Inc.</w:t>
      </w:r>
    </w:p>
    <w:p>
      <w:pPr>
        <w:spacing w:after="0" w:line="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measurements</w:t>
      </w:r>
    </w:p>
    <w:p>
      <w:pPr>
        <w:spacing w:after="0" w:line="210" w:lineRule="exact"/>
        <w:rPr>
          <w:sz w:val="20"/>
          <w:szCs w:val="20"/>
          <w:color w:val="auto"/>
        </w:rPr>
      </w:pPr>
    </w:p>
    <w:p>
      <w:pPr>
        <w:jc w:val="both"/>
        <w:ind w:firstLine="720"/>
        <w:spacing w:after="0" w:line="263" w:lineRule="auto"/>
        <w:rPr>
          <w:sz w:val="20"/>
          <w:szCs w:val="20"/>
          <w:color w:val="auto"/>
        </w:rPr>
      </w:pPr>
      <w:r>
        <w:rPr>
          <w:rFonts w:ascii="Times New Roman" w:cs="Times New Roman" w:eastAsia="Times New Roman" w:hAnsi="Times New Roman"/>
          <w:sz w:val="20"/>
          <w:szCs w:val="20"/>
          <w:color w:val="auto"/>
        </w:rPr>
        <w:t>Fair value is the price that would be received to sell an asset or paid to transfer a liability in an orderly transaction between market participants at the measurement date. The Company has applied the framework for measuring fair value which requires a fair value hierarchy to be applied to all fair value measurements. All financial instruments recognized at fair value are classified into one of three levels in the fair value hierarchy as follows:</w:t>
      </w:r>
    </w:p>
    <w:p>
      <w:pPr>
        <w:spacing w:after="0" w:line="15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Level 1 — Valuation based on quoted prices (unadjusted) observed in active markets for identical assets or liabilities.</w:t>
      </w:r>
    </w:p>
    <w:p>
      <w:pPr>
        <w:spacing w:after="0" w:line="209" w:lineRule="exact"/>
        <w:rPr>
          <w:sz w:val="20"/>
          <w:szCs w:val="20"/>
          <w:color w:val="auto"/>
        </w:rPr>
      </w:pPr>
    </w:p>
    <w:p>
      <w:pPr>
        <w:jc w:val="both"/>
        <w:ind w:firstLine="720"/>
        <w:spacing w:after="0" w:line="263" w:lineRule="auto"/>
        <w:rPr>
          <w:sz w:val="20"/>
          <w:szCs w:val="20"/>
          <w:color w:val="auto"/>
        </w:rPr>
      </w:pPr>
      <w:r>
        <w:rPr>
          <w:rFonts w:ascii="Times New Roman" w:cs="Times New Roman" w:eastAsia="Times New Roman" w:hAnsi="Times New Roman"/>
          <w:sz w:val="20"/>
          <w:szCs w:val="20"/>
          <w:color w:val="auto"/>
        </w:rPr>
        <w:t>Level 2 — Valuation techniques based on inputs that are quoted prices of similar instruments in active markets; quoted prices for identical or similar instruments in markets that are not in active markets; inputs other than quoted prices used in a valuation model that are observable for that instrument; and inputs that are derived from or, corroborated by, observable market data by correlation or other means.</w:t>
      </w:r>
    </w:p>
    <w:p>
      <w:pPr>
        <w:spacing w:after="0" w:line="15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Level 3 — Valuation techniques with significant unobservable market inputs.</w:t>
      </w:r>
    </w:p>
    <w:p>
      <w:pPr>
        <w:spacing w:after="0" w:line="210" w:lineRule="exact"/>
        <w:rPr>
          <w:sz w:val="20"/>
          <w:szCs w:val="20"/>
          <w:color w:val="auto"/>
        </w:rPr>
      </w:pPr>
    </w:p>
    <w:p>
      <w:pPr>
        <w:jc w:val="both"/>
        <w:ind w:firstLine="720"/>
        <w:spacing w:after="0" w:line="287" w:lineRule="auto"/>
        <w:rPr>
          <w:sz w:val="20"/>
          <w:szCs w:val="20"/>
          <w:color w:val="auto"/>
        </w:rPr>
      </w:pPr>
      <w:r>
        <w:rPr>
          <w:rFonts w:ascii="Times New Roman" w:cs="Times New Roman" w:eastAsia="Times New Roman" w:hAnsi="Times New Roman"/>
          <w:sz w:val="20"/>
          <w:szCs w:val="20"/>
          <w:color w:val="auto"/>
        </w:rPr>
        <w:t>The Company measures certain non-financial assets and liabilities, including long-lived assets and intangible assets at fair value on a nonrecurring basis.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 matters</w:t>
      </w:r>
    </w:p>
    <w:p>
      <w:pPr>
        <w:spacing w:after="0" w:line="210"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Company reports its financial results in United States dollars, which is the currency of the primary economic environment in which it operates. The functional currency for each of the Company’s foreign subsidiaries is generally its local currency. Monetary assets and liabilities, and transactions denominated in currencies other than the functional currency are remeasured to the functional currency at the exchange rate in effect at the end of each period. Foreign currency transaction gains and losses are included in the determination of net loss and classified as other income, net, in the consolidated statements of operations. Assets and liabilities of foreign subsidiaries are translated at the exchange rates in effect at the end of each period. Revenues, expenses, gains and losses are translated at the average rates of exchange prevailing during the period. Accumulated deficit and other equity accounts are translated at historical rates. Translation gains and losses are included in accumulated other comprehensive loss within stockholders’ equity.</w:t>
      </w:r>
    </w:p>
    <w:p>
      <w:pPr>
        <w:spacing w:after="0" w:line="161" w:lineRule="exact"/>
        <w:rPr>
          <w:sz w:val="20"/>
          <w:szCs w:val="20"/>
          <w:color w:val="auto"/>
        </w:rPr>
      </w:pPr>
    </w:p>
    <w:p>
      <w:pPr>
        <w:jc w:val="both"/>
        <w:ind w:firstLine="720"/>
        <w:spacing w:after="0" w:line="287" w:lineRule="auto"/>
        <w:rPr>
          <w:sz w:val="20"/>
          <w:szCs w:val="20"/>
          <w:color w:val="auto"/>
        </w:rPr>
      </w:pPr>
      <w:r>
        <w:rPr>
          <w:rFonts w:ascii="Times New Roman" w:cs="Times New Roman" w:eastAsia="Times New Roman" w:hAnsi="Times New Roman"/>
          <w:sz w:val="20"/>
          <w:szCs w:val="20"/>
          <w:color w:val="auto"/>
        </w:rPr>
        <w:t>The effect of currency translation adjustments on cash and cash equivalents is presented separately in the consolidated statements of cash flows.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and cash equivalents</w:t>
      </w:r>
    </w:p>
    <w:p>
      <w:pPr>
        <w:spacing w:after="0" w:line="210" w:lineRule="exact"/>
        <w:rPr>
          <w:sz w:val="20"/>
          <w:szCs w:val="20"/>
          <w:color w:val="auto"/>
        </w:rPr>
      </w:pPr>
    </w:p>
    <w:p>
      <w:pPr>
        <w:jc w:val="both"/>
        <w:ind w:right="20" w:firstLine="720"/>
        <w:spacing w:after="0" w:line="288" w:lineRule="auto"/>
        <w:rPr>
          <w:sz w:val="20"/>
          <w:szCs w:val="20"/>
          <w:color w:val="auto"/>
        </w:rPr>
      </w:pPr>
      <w:r>
        <w:rPr>
          <w:rFonts w:ascii="Times New Roman" w:cs="Times New Roman" w:eastAsia="Times New Roman" w:hAnsi="Times New Roman"/>
          <w:sz w:val="20"/>
          <w:szCs w:val="20"/>
          <w:color w:val="auto"/>
        </w:rPr>
        <w:t>Cash includes funds deposited in banks. Cash equivalents include highly liquid investments such as term deposits and money market instruments with original maturities of three months or less.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Accounts receivable, net</w:t>
      </w:r>
    </w:p>
    <w:p>
      <w:pPr>
        <w:spacing w:after="0" w:line="209"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Trade accounts receivable represents amounts due from customers. Other receivables represent other current non-trade receivables. Allowance for credit losses reflects the Company’s estimate of amounts in its existing accounts receivable that may not be collected due to customer claims or customer inability or unwillingness to pay. The allowance is estimated based on a combination of factors, including, but not limited to the age of the account, the credit worthiness of the customer, payment terms, the customer’s historical payment history and general economic conditions. Management reviews these factors quarterly to determine if any adjustments are needed to the allowance for credit losses. Accounts receivable are written off when the receivables are deemed uncollectible. Subsequent collections are recorded in SG&amp;A on the consolidated statement of operations when they are received.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Inventories</w:t>
      </w:r>
    </w:p>
    <w:p>
      <w:pPr>
        <w:spacing w:after="0" w:line="210" w:lineRule="exact"/>
        <w:rPr>
          <w:sz w:val="20"/>
          <w:szCs w:val="20"/>
          <w:color w:val="auto"/>
        </w:rPr>
      </w:pPr>
    </w:p>
    <w:p>
      <w:pPr>
        <w:jc w:val="both"/>
        <w:ind w:firstLine="720"/>
        <w:spacing w:after="0" w:line="262" w:lineRule="auto"/>
        <w:rPr>
          <w:sz w:val="20"/>
          <w:szCs w:val="20"/>
          <w:color w:val="auto"/>
        </w:rPr>
      </w:pPr>
      <w:r>
        <w:rPr>
          <w:rFonts w:ascii="Times New Roman" w:cs="Times New Roman" w:eastAsia="Times New Roman" w:hAnsi="Times New Roman"/>
          <w:sz w:val="20"/>
          <w:szCs w:val="20"/>
          <w:color w:val="auto"/>
        </w:rPr>
        <w:t>Inventories consist of finished goods, work-in-process, and raw materials used in manufacturing products. Inventories are stated at the lower of cost or net realizable value, principally determined by the first in, first out method of accounting. The Company maintains an allowance for excess and obsolete inventory. The estimate for excess and obsolete inventory is based upon assumptions about current and anticipated demand, customer preferences, business strategies, and market conditions.</w:t>
      </w:r>
    </w:p>
    <w:p>
      <w:pPr>
        <w:sectPr>
          <w:pgSz w:w="12240" w:h="15840" w:orient="portrait"/>
          <w:cols w:equalWidth="0" w:num="1">
            <w:col w:w="10260"/>
          </w:cols>
          <w:pgMar w:left="1000" w:top="420" w:right="980" w:bottom="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10260"/>
          </w:cols>
          <w:pgMar w:left="1000" w:top="420" w:right="980" w:bottom="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4"/>
          <w:szCs w:val="24"/>
          <w:b w:val="1"/>
          <w:bCs w:val="1"/>
          <w:color w:val="auto"/>
        </w:rPr>
        <w:t>Hydrofarm Holdings Group, Inc.</w:t>
      </w:r>
    </w:p>
    <w:p>
      <w:pPr>
        <w:spacing w:after="0" w:line="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pacing w:after="0" w:line="343" w:lineRule="exact"/>
        <w:rPr>
          <w:sz w:val="20"/>
          <w:szCs w:val="20"/>
          <w:color w:val="auto"/>
        </w:rPr>
      </w:pPr>
    </w:p>
    <w:p>
      <w:pPr>
        <w:jc w:val="both"/>
        <w:ind w:left="60"/>
        <w:spacing w:after="0" w:line="258" w:lineRule="auto"/>
        <w:rPr>
          <w:sz w:val="20"/>
          <w:szCs w:val="20"/>
          <w:color w:val="auto"/>
        </w:rPr>
      </w:pPr>
      <w:r>
        <w:rPr>
          <w:rFonts w:ascii="Times New Roman" w:cs="Times New Roman" w:eastAsia="Times New Roman" w:hAnsi="Times New Roman"/>
          <w:sz w:val="20"/>
          <w:szCs w:val="20"/>
          <w:color w:val="auto"/>
        </w:rPr>
        <w:t>Management reviews these assumptions periodically to determine if any adjustments are needed to the allowance for excess and obsolete inventory. The establishment of an allowance for excess and obsolete inventory establishes a new cost basis in the inventory. Such allowance is not reduced until the product is sold or otherwise disposed. If inventory is sold, any related reserves would be reversed in the period of sale. The Company estimates inventory markdowns relating to restructuring charges based upon business strategies, management's actions with respect to inventory of raw materials and products and brands being removed from the Company's portfolio, current and anticipated demand, customer preferences, and market conditions.</w:t>
      </w:r>
    </w:p>
    <w:p>
      <w:pPr>
        <w:spacing w:after="0" w:line="1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Leases</w:t>
      </w:r>
    </w:p>
    <w:p>
      <w:pPr>
        <w:spacing w:after="0" w:line="210" w:lineRule="exact"/>
        <w:rPr>
          <w:sz w:val="20"/>
          <w:szCs w:val="20"/>
          <w:color w:val="auto"/>
        </w:rPr>
      </w:pPr>
    </w:p>
    <w:p>
      <w:pPr>
        <w:jc w:val="both"/>
        <w:ind w:left="60" w:firstLine="720"/>
        <w:spacing w:after="0" w:line="259" w:lineRule="auto"/>
        <w:rPr>
          <w:sz w:val="20"/>
          <w:szCs w:val="20"/>
          <w:color w:val="auto"/>
        </w:rPr>
      </w:pPr>
      <w:r>
        <w:rPr>
          <w:rFonts w:ascii="Times New Roman" w:cs="Times New Roman" w:eastAsia="Times New Roman" w:hAnsi="Times New Roman"/>
          <w:sz w:val="20"/>
          <w:szCs w:val="20"/>
          <w:color w:val="auto"/>
        </w:rPr>
        <w:t xml:space="preserve">Leases are accounted for under Accounting Standard Codification ("ASC") 842 - </w:t>
      </w:r>
      <w:r>
        <w:rPr>
          <w:rFonts w:ascii="Times New Roman" w:cs="Times New Roman" w:eastAsia="Times New Roman" w:hAnsi="Times New Roman"/>
          <w:sz w:val="20"/>
          <w:szCs w:val="20"/>
          <w:i w:val="1"/>
          <w:iCs w:val="1"/>
          <w:color w:val="auto"/>
        </w:rPr>
        <w:t>Leases</w:t>
      </w:r>
      <w:r>
        <w:rPr>
          <w:rFonts w:ascii="Times New Roman" w:cs="Times New Roman" w:eastAsia="Times New Roman" w:hAnsi="Times New Roman"/>
          <w:sz w:val="20"/>
          <w:szCs w:val="20"/>
          <w:color w:val="auto"/>
        </w:rPr>
        <w:t>. At inception of a contract, the Company determines whether that contract is or contains a lease. A contract is or contains a lease if the contract conveys the right to control the use of identified property, plant, or equipment (an identified asset) for a period of time in exchange for consideration. Leases are then classified as either finance or operating, with classification affecting the location of expense recognition in the consolidated statements of operations.</w:t>
      </w:r>
    </w:p>
    <w:p>
      <w:pPr>
        <w:spacing w:after="0" w:line="158" w:lineRule="exact"/>
        <w:rPr>
          <w:sz w:val="20"/>
          <w:szCs w:val="20"/>
          <w:color w:val="auto"/>
        </w:rPr>
      </w:pPr>
    </w:p>
    <w:p>
      <w:pPr>
        <w:jc w:val="both"/>
        <w:ind w:left="60" w:firstLine="720"/>
        <w:spacing w:after="0" w:line="255" w:lineRule="auto"/>
        <w:rPr>
          <w:sz w:val="20"/>
          <w:szCs w:val="20"/>
          <w:color w:val="auto"/>
        </w:rPr>
      </w:pPr>
      <w:r>
        <w:rPr>
          <w:rFonts w:ascii="Times New Roman" w:cs="Times New Roman" w:eastAsia="Times New Roman" w:hAnsi="Times New Roman"/>
          <w:sz w:val="20"/>
          <w:szCs w:val="20"/>
          <w:color w:val="auto"/>
        </w:rPr>
        <w:t>Right-of-use assets represent the right to use an underlying asset for the lease term while lease liabilities represent the obligation to make lease payments arising from a lease, measured on a discount basis. All leases greater than 12 months result in the recognition of a ROU asset and a lease liability at the lease commencement date based on the present value of the lease payments over the lease term. The present value of the lease payments is calculated using the applicable weighted-average discount rate. The weighted-average discount rate is based on the discount rate implicit in the lease, or if the implicit rate is not readily determinable from the lease, the applicable incremental borrowing rate is estimated. The incremental borrowing rate is estimated using the currency denomination of the lease and the contractual lease term. To determine the incremental borrowing rate, reference is made to interest rates that would be available to finance assets similar to the assets under lease in their related geographical location.</w:t>
      </w:r>
    </w:p>
    <w:p>
      <w:pPr>
        <w:spacing w:after="0" w:line="161" w:lineRule="exact"/>
        <w:rPr>
          <w:sz w:val="20"/>
          <w:szCs w:val="20"/>
          <w:color w:val="auto"/>
        </w:rPr>
      </w:pPr>
    </w:p>
    <w:p>
      <w:pPr>
        <w:jc w:val="both"/>
        <w:ind w:left="60" w:firstLine="720"/>
        <w:spacing w:after="0" w:line="263" w:lineRule="auto"/>
        <w:rPr>
          <w:sz w:val="20"/>
          <w:szCs w:val="20"/>
          <w:color w:val="auto"/>
        </w:rPr>
      </w:pPr>
      <w:r>
        <w:rPr>
          <w:rFonts w:ascii="Times New Roman" w:cs="Times New Roman" w:eastAsia="Times New Roman" w:hAnsi="Times New Roman"/>
          <w:sz w:val="20"/>
          <w:szCs w:val="20"/>
          <w:color w:val="auto"/>
        </w:rPr>
        <w:t>The Company accounts for lease components separately from non-lease components, other than for office equipment. The Company has certain leases that include one or more options to renew with renewal terms that can extend the lease term. The exercise of the lease renewal options is at the Company’s discretion. A lease renewal option is included in the determination of the ROU asset and lease liability when the option is reasonably certain of being exercised.</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Property, plant and equipment</w:t>
      </w:r>
    </w:p>
    <w:p>
      <w:pPr>
        <w:spacing w:after="0" w:line="209" w:lineRule="exact"/>
        <w:rPr>
          <w:sz w:val="20"/>
          <w:szCs w:val="20"/>
          <w:color w:val="auto"/>
        </w:rPr>
      </w:pPr>
    </w:p>
    <w:p>
      <w:pPr>
        <w:jc w:val="both"/>
        <w:ind w:left="60" w:firstLine="720"/>
        <w:spacing w:after="0" w:line="269" w:lineRule="auto"/>
        <w:rPr>
          <w:sz w:val="20"/>
          <w:szCs w:val="20"/>
          <w:color w:val="auto"/>
        </w:rPr>
      </w:pPr>
      <w:r>
        <w:rPr>
          <w:rFonts w:ascii="Times New Roman" w:cs="Times New Roman" w:eastAsia="Times New Roman" w:hAnsi="Times New Roman"/>
          <w:sz w:val="20"/>
          <w:szCs w:val="20"/>
          <w:color w:val="auto"/>
        </w:rPr>
        <w:t>Property, plant and equipment is recorded at cost less accumulated depreciation, depletion and amortization. Property, plant and equipment assets are reviewed for impairment when events or changes in circumstances indicate that the carrying amount may not be recoverable.</w:t>
      </w:r>
    </w:p>
    <w:p>
      <w:pPr>
        <w:spacing w:after="0" w:line="147" w:lineRule="exact"/>
        <w:rPr>
          <w:sz w:val="20"/>
          <w:szCs w:val="20"/>
          <w:color w:val="auto"/>
        </w:rPr>
      </w:pPr>
    </w:p>
    <w:p>
      <w:pPr>
        <w:jc w:val="both"/>
        <w:ind w:left="60" w:firstLine="720"/>
        <w:spacing w:after="0" w:line="288" w:lineRule="auto"/>
        <w:rPr>
          <w:sz w:val="20"/>
          <w:szCs w:val="20"/>
          <w:color w:val="auto"/>
        </w:rPr>
      </w:pPr>
      <w:r>
        <w:rPr>
          <w:rFonts w:ascii="Times New Roman" w:cs="Times New Roman" w:eastAsia="Times New Roman" w:hAnsi="Times New Roman"/>
          <w:sz w:val="20"/>
          <w:szCs w:val="20"/>
          <w:color w:val="auto"/>
        </w:rPr>
        <w:t>Property, plant and equipment, excluding peat bogs and related development, are depreciated using the straight-line method. The following table summarizes the estimated useful lives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16"/>
        </w:trPr>
        <w:tc>
          <w:tcPr>
            <w:tcW w:w="6740" w:type="dxa"/>
            <w:vAlign w:val="bottom"/>
            <w:shd w:val="clear" w:color="auto" w:fill="D2EEF5"/>
          </w:tcPr>
          <w:p>
            <w:pPr>
              <w:ind w:left="60"/>
              <w:spacing w:after="0"/>
              <w:rPr>
                <w:sz w:val="20"/>
                <w:szCs w:val="20"/>
                <w:color w:val="auto"/>
              </w:rPr>
            </w:pPr>
            <w:r>
              <w:rPr>
                <w:rFonts w:ascii="Times New Roman" w:cs="Times New Roman" w:eastAsia="Times New Roman" w:hAnsi="Times New Roman"/>
                <w:sz w:val="20"/>
                <w:szCs w:val="20"/>
                <w:color w:val="auto"/>
              </w:rPr>
              <w:t>Building and improvements</w:t>
            </w:r>
          </w:p>
        </w:tc>
        <w:tc>
          <w:tcPr>
            <w:tcW w:w="3520" w:type="dxa"/>
            <w:vAlign w:val="bottom"/>
            <w:gridSpan w:val="2"/>
            <w:shd w:val="clear" w:color="auto" w:fill="D2EEF5"/>
          </w:tcPr>
          <w:p>
            <w:pPr>
              <w:ind w:left="100"/>
              <w:spacing w:after="0"/>
              <w:rPr>
                <w:sz w:val="20"/>
                <w:szCs w:val="20"/>
                <w:color w:val="auto"/>
              </w:rPr>
            </w:pPr>
            <w:r>
              <w:rPr>
                <w:rFonts w:ascii="Times New Roman" w:cs="Times New Roman" w:eastAsia="Times New Roman" w:hAnsi="Times New Roman"/>
                <w:sz w:val="20"/>
                <w:szCs w:val="20"/>
                <w:color w:val="auto"/>
              </w:rPr>
              <w:t>10 - 40 years</w:t>
            </w:r>
          </w:p>
        </w:tc>
      </w:tr>
      <w:tr>
        <w:trPr>
          <w:trHeight w:val="308"/>
        </w:trPr>
        <w:tc>
          <w:tcPr>
            <w:tcW w:w="67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Machinery and equipment</w:t>
            </w:r>
          </w:p>
        </w:tc>
        <w:tc>
          <w:tcPr>
            <w:tcW w:w="2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5</w:t>
            </w:r>
          </w:p>
        </w:tc>
        <w:tc>
          <w:tcPr>
            <w:tcW w:w="32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- 15 years</w:t>
            </w:r>
          </w:p>
        </w:tc>
      </w:tr>
      <w:tr>
        <w:trPr>
          <w:trHeight w:val="322"/>
        </w:trPr>
        <w:tc>
          <w:tcPr>
            <w:tcW w:w="6740" w:type="dxa"/>
            <w:vAlign w:val="bottom"/>
            <w:shd w:val="clear" w:color="auto" w:fill="D2EEF5"/>
          </w:tcPr>
          <w:p>
            <w:pPr>
              <w:ind w:left="60"/>
              <w:spacing w:after="0"/>
              <w:rPr>
                <w:sz w:val="20"/>
                <w:szCs w:val="20"/>
                <w:color w:val="auto"/>
              </w:rPr>
            </w:pPr>
            <w:r>
              <w:rPr>
                <w:rFonts w:ascii="Times New Roman" w:cs="Times New Roman" w:eastAsia="Times New Roman" w:hAnsi="Times New Roman"/>
                <w:sz w:val="20"/>
                <w:szCs w:val="20"/>
                <w:color w:val="auto"/>
              </w:rPr>
              <w:t>Leasehold improvements</w:t>
            </w:r>
          </w:p>
        </w:tc>
        <w:tc>
          <w:tcPr>
            <w:tcW w:w="3520" w:type="dxa"/>
            <w:vAlign w:val="bottom"/>
            <w:gridSpan w:val="2"/>
            <w:shd w:val="clear" w:color="auto" w:fill="D2EEF5"/>
          </w:tcPr>
          <w:p>
            <w:pPr>
              <w:ind w:left="100"/>
              <w:spacing w:after="0"/>
              <w:rPr>
                <w:sz w:val="20"/>
                <w:szCs w:val="20"/>
                <w:color w:val="auto"/>
              </w:rPr>
            </w:pPr>
            <w:r>
              <w:rPr>
                <w:rFonts w:ascii="Times New Roman" w:cs="Times New Roman" w:eastAsia="Times New Roman" w:hAnsi="Times New Roman"/>
                <w:sz w:val="20"/>
                <w:szCs w:val="20"/>
                <w:color w:val="auto"/>
              </w:rPr>
              <w:t>Lesser of useful life or term of the lease</w:t>
            </w:r>
          </w:p>
        </w:tc>
      </w:tr>
      <w:tr>
        <w:trPr>
          <w:trHeight w:val="308"/>
        </w:trPr>
        <w:tc>
          <w:tcPr>
            <w:tcW w:w="67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Computer equipment</w:t>
            </w:r>
          </w:p>
        </w:tc>
        <w:tc>
          <w:tcPr>
            <w:tcW w:w="2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3</w:t>
            </w:r>
          </w:p>
        </w:tc>
        <w:tc>
          <w:tcPr>
            <w:tcW w:w="32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- 4 years</w:t>
            </w:r>
          </w:p>
        </w:tc>
      </w:tr>
      <w:tr>
        <w:trPr>
          <w:trHeight w:val="322"/>
        </w:trPr>
        <w:tc>
          <w:tcPr>
            <w:tcW w:w="6740" w:type="dxa"/>
            <w:vAlign w:val="bottom"/>
            <w:shd w:val="clear" w:color="auto" w:fill="D2EEF5"/>
          </w:tcPr>
          <w:p>
            <w:pPr>
              <w:ind w:left="60"/>
              <w:spacing w:after="0"/>
              <w:rPr>
                <w:sz w:val="20"/>
                <w:szCs w:val="20"/>
                <w:color w:val="auto"/>
              </w:rPr>
            </w:pPr>
            <w:r>
              <w:rPr>
                <w:rFonts w:ascii="Times New Roman" w:cs="Times New Roman" w:eastAsia="Times New Roman" w:hAnsi="Times New Roman"/>
                <w:sz w:val="20"/>
                <w:szCs w:val="20"/>
                <w:color w:val="auto"/>
              </w:rPr>
              <w:t>Furniture and fixtures</w:t>
            </w:r>
          </w:p>
        </w:tc>
        <w:tc>
          <w:tcPr>
            <w:tcW w:w="3520" w:type="dxa"/>
            <w:vAlign w:val="bottom"/>
            <w:gridSpan w:val="2"/>
            <w:shd w:val="clear" w:color="auto" w:fill="D2EEF5"/>
          </w:tcPr>
          <w:p>
            <w:pPr>
              <w:ind w:left="100"/>
              <w:spacing w:after="0"/>
              <w:rPr>
                <w:sz w:val="20"/>
                <w:szCs w:val="20"/>
                <w:color w:val="auto"/>
              </w:rPr>
            </w:pPr>
            <w:r>
              <w:rPr>
                <w:rFonts w:ascii="Times New Roman" w:cs="Times New Roman" w:eastAsia="Times New Roman" w:hAnsi="Times New Roman"/>
                <w:sz w:val="20"/>
                <w:szCs w:val="20"/>
                <w:color w:val="auto"/>
              </w:rPr>
              <w:t>5 years</w:t>
            </w:r>
          </w:p>
        </w:tc>
      </w:tr>
    </w:tbl>
    <w:p>
      <w:pPr>
        <w:spacing w:after="0" w:line="15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color w:val="auto"/>
        </w:rPr>
        <w:t>The useful lives of property, plant and equipment recorded under finance leases are further limited to the term of lease.</w:t>
      </w:r>
    </w:p>
    <w:p>
      <w:pPr>
        <w:spacing w:after="0" w:line="210" w:lineRule="exact"/>
        <w:rPr>
          <w:sz w:val="20"/>
          <w:szCs w:val="20"/>
          <w:color w:val="auto"/>
        </w:rPr>
      </w:pPr>
    </w:p>
    <w:p>
      <w:pPr>
        <w:ind w:left="60" w:firstLine="720"/>
        <w:spacing w:after="0" w:line="287" w:lineRule="auto"/>
        <w:rPr>
          <w:sz w:val="20"/>
          <w:szCs w:val="20"/>
          <w:color w:val="auto"/>
        </w:rPr>
      </w:pPr>
      <w:r>
        <w:rPr>
          <w:rFonts w:ascii="Times New Roman" w:cs="Times New Roman" w:eastAsia="Times New Roman" w:hAnsi="Times New Roman"/>
          <w:sz w:val="20"/>
          <w:szCs w:val="20"/>
          <w:color w:val="auto"/>
        </w:rPr>
        <w:t>Peat bogs and related development costs are depleted using the units of production method over the total expected volume of the peat bogs.</w:t>
      </w:r>
    </w:p>
    <w:p>
      <w:pPr>
        <w:spacing w:after="0" w:line="1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Intangible assets</w:t>
      </w:r>
    </w:p>
    <w:p>
      <w:pPr>
        <w:spacing w:after="0" w:line="210" w:lineRule="exact"/>
        <w:rPr>
          <w:sz w:val="20"/>
          <w:szCs w:val="20"/>
          <w:color w:val="auto"/>
        </w:rPr>
      </w:pPr>
    </w:p>
    <w:p>
      <w:pPr>
        <w:ind w:left="60" w:firstLine="720"/>
        <w:spacing w:after="0" w:line="288" w:lineRule="auto"/>
        <w:rPr>
          <w:sz w:val="20"/>
          <w:szCs w:val="20"/>
          <w:color w:val="auto"/>
        </w:rPr>
      </w:pPr>
      <w:r>
        <w:rPr>
          <w:rFonts w:ascii="Times New Roman" w:cs="Times New Roman" w:eastAsia="Times New Roman" w:hAnsi="Times New Roman"/>
          <w:sz w:val="20"/>
          <w:szCs w:val="20"/>
          <w:color w:val="auto"/>
        </w:rPr>
        <w:t>Definite-lived intangible assets are amortized using the straight-line method over their estimated useful lives. The Company has one trade name that is considered to have an indefinite useful life. Intangible assets are also tested for impairment</w:t>
      </w:r>
    </w:p>
    <w:p>
      <w:pPr>
        <w:sectPr>
          <w:pgSz w:w="12240" w:h="15840" w:orient="portrait"/>
          <w:cols w:equalWidth="0" w:num="1">
            <w:col w:w="10320"/>
          </w:cols>
          <w:pgMar w:left="940" w:top="420" w:right="980" w:bottom="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10320"/>
          </w:cols>
          <w:pgMar w:left="940" w:top="420" w:right="980" w:bottom="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Hydrofarm Holdings Group, Inc.</w:t>
      </w:r>
    </w:p>
    <w:p>
      <w:pPr>
        <w:spacing w:after="0" w:line="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pacing w:after="0" w:line="34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at least annually and when events or changes in circumstances indicate that, more-likely-than-not, the carrying amount may not be recoverable. The Company estimates fair value based on the income approach and market approach. Under the income approach, the Company estimates the fair value of the asset group on the present value of estimated future cash flows, which the Company considers to be a level 3 unobservable input in the fair value hierarchy. Significant judgment is required in estimating fair values and performing intangible asset impairment tests.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210" w:lineRule="exact"/>
        <w:rPr>
          <w:sz w:val="20"/>
          <w:szCs w:val="20"/>
          <w:color w:val="auto"/>
        </w:rPr>
      </w:pPr>
    </w:p>
    <w:p>
      <w:pPr>
        <w:jc w:val="both"/>
        <w:ind w:firstLine="720"/>
        <w:spacing w:after="0" w:line="262" w:lineRule="auto"/>
        <w:rPr>
          <w:sz w:val="20"/>
          <w:szCs w:val="20"/>
          <w:color w:val="auto"/>
        </w:rPr>
      </w:pPr>
      <w:r>
        <w:rPr>
          <w:rFonts w:ascii="Times New Roman" w:cs="Times New Roman" w:eastAsia="Times New Roman" w:hAnsi="Times New Roman"/>
          <w:sz w:val="20"/>
          <w:szCs w:val="20"/>
          <w:color w:val="auto"/>
        </w:rPr>
        <w:t xml:space="preserve">The Company follows ASC 606 - </w:t>
      </w:r>
      <w:r>
        <w:rPr>
          <w:rFonts w:ascii="Times New Roman" w:cs="Times New Roman" w:eastAsia="Times New Roman" w:hAnsi="Times New Roman"/>
          <w:sz w:val="20"/>
          <w:szCs w:val="20"/>
          <w:i w:val="1"/>
          <w:iCs w:val="1"/>
          <w:color w:val="auto"/>
        </w:rPr>
        <w:t>Revenue from Contracts with Customers</w:t>
      </w:r>
      <w:r>
        <w:rPr>
          <w:rFonts w:ascii="Times New Roman" w:cs="Times New Roman" w:eastAsia="Times New Roman" w:hAnsi="Times New Roman"/>
          <w:sz w:val="20"/>
          <w:szCs w:val="20"/>
          <w:color w:val="auto"/>
        </w:rPr>
        <w:t xml:space="preserve"> which requires that revenue recognized from contracts with customers be disaggregated into categories that depict how the nature, amount, timing and uncertainty of revenue and cash flows are affected by economic factors. The Company has determined that revenue is generated from one category, which is the manufacture and distribution of CEA equipment and supplies.</w:t>
      </w:r>
    </w:p>
    <w:p>
      <w:pPr>
        <w:spacing w:after="0" w:line="155" w:lineRule="exact"/>
        <w:rPr>
          <w:sz w:val="20"/>
          <w:szCs w:val="20"/>
          <w:color w:val="auto"/>
        </w:rPr>
      </w:pPr>
    </w:p>
    <w:p>
      <w:pPr>
        <w:jc w:val="both"/>
        <w:ind w:firstLine="720"/>
        <w:spacing w:after="0" w:line="263" w:lineRule="auto"/>
        <w:rPr>
          <w:sz w:val="20"/>
          <w:szCs w:val="20"/>
          <w:color w:val="auto"/>
        </w:rPr>
      </w:pPr>
      <w:r>
        <w:rPr>
          <w:rFonts w:ascii="Times New Roman" w:cs="Times New Roman" w:eastAsia="Times New Roman" w:hAnsi="Times New Roman"/>
          <w:sz w:val="20"/>
          <w:szCs w:val="20"/>
          <w:color w:val="auto"/>
        </w:rPr>
        <w:t>Revenue is recognized as control of promised goods is transferred to customers, which generally occurs upon receipt at customers’ locations determined by the specific terms of the contract. Arrangements generally have a single performance obligation and revenue is reported net of variable consideration which includes applicable volume rebates, cash discounts and sales returns and allowances. Variable consideration is estimated and recorded at the time of sale.</w:t>
      </w:r>
    </w:p>
    <w:p>
      <w:pPr>
        <w:spacing w:after="0" w:line="152"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The amount billed to customers for shipping and handling costs included in net sales was $4,293 and $7,883 in the years ended December 31, 2025, and 2024, respectively. Shipping and handling costs that occur before the customer obtains control of the goods are deemed to be fulfillment activities and are accounted for as fulfillment costs included in cost of goods sold. The Company does not receive noncash consideration for the sale of goods. Contract consideration received from a customer prior to revenue recognition is recorded as a contract liability and is recognized as revenue when the Company satisfies the related performance obligation under the terms of the contract. The Company's contract liabilities, which consist primarily of customer deposits reported within deferred revenue on the consolidated balance sheets, totaled $2,742 and $2,611 as of December 31, 2025, and 2024, respectively. During the year ended December 31, 2025, the Company recorded customer deposits of $4,470, recognized $4,155 of deferred revenue, and noted $184 of additional decreases primarily due to customer refunds and foreign exchange rate fluctuations. There are no significant financing components and the majority of revenue is recognized within one year. Excluded from revenue are any taxes assessed by governmental authorities, including value-added and other sales-related taxes that are imposed on and concurrent with revenue-generating activities.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209" w:lineRule="exact"/>
        <w:rPr>
          <w:sz w:val="20"/>
          <w:szCs w:val="20"/>
          <w:color w:val="auto"/>
        </w:rPr>
      </w:pPr>
    </w:p>
    <w:p>
      <w:pPr>
        <w:jc w:val="both"/>
        <w:ind w:firstLine="720"/>
        <w:spacing w:after="0" w:line="263" w:lineRule="auto"/>
        <w:rPr>
          <w:sz w:val="20"/>
          <w:szCs w:val="20"/>
          <w:color w:val="auto"/>
        </w:rPr>
      </w:pPr>
      <w:r>
        <w:rPr>
          <w:rFonts w:ascii="Times New Roman" w:cs="Times New Roman" w:eastAsia="Times New Roman" w:hAnsi="Times New Roman"/>
          <w:sz w:val="20"/>
          <w:szCs w:val="20"/>
          <w:color w:val="auto"/>
        </w:rPr>
        <w:t>The Company accounts for stock-based compensation expense in accordance with the fair value recognition and measurement provisions of U.S. GAAP, which requires compensation cost for the grant-date fair value of stock-based awards to be recognized over the requisite service period. The Company accounts for forfeitures when they occur and any compensation expense previously recognized on unvested shares will be reversed when forfeited.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Service-based awards</w:t>
      </w:r>
    </w:p>
    <w:p>
      <w:pPr>
        <w:spacing w:after="0" w:line="208" w:lineRule="exact"/>
        <w:rPr>
          <w:sz w:val="20"/>
          <w:szCs w:val="20"/>
          <w:color w:val="auto"/>
        </w:rPr>
      </w:pPr>
    </w:p>
    <w:p>
      <w:pPr>
        <w:jc w:val="both"/>
        <w:ind w:firstLine="720"/>
        <w:spacing w:after="0" w:line="287" w:lineRule="auto"/>
        <w:rPr>
          <w:sz w:val="20"/>
          <w:szCs w:val="20"/>
          <w:color w:val="auto"/>
        </w:rPr>
      </w:pPr>
      <w:r>
        <w:rPr>
          <w:rFonts w:ascii="Times New Roman" w:cs="Times New Roman" w:eastAsia="Times New Roman" w:hAnsi="Times New Roman"/>
          <w:sz w:val="20"/>
          <w:szCs w:val="20"/>
          <w:color w:val="auto"/>
        </w:rPr>
        <w:t>The Company records stock-based compensation expense for restricted stock units ("RSUs") and service-based stock options on a straight-line basis over the requisite service period.</w:t>
      </w:r>
    </w:p>
    <w:p>
      <w:pPr>
        <w:spacing w:after="0" w:line="129"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color w:val="auto"/>
        </w:rPr>
        <w:t>The fair value of restricted stock awards is measured on the grant date based on the closing price of the Company's common stock.</w:t>
      </w:r>
    </w:p>
    <w:p>
      <w:pPr>
        <w:spacing w:after="0" w:line="128"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The fair value of option-based awards is estimated using the Black-Scholes valuation model. The Black-Scholes model requires the use of highly subjective and complex assumptions. For inputs into the Black-Scholes model, the expected volatility is based on historical implied volatility from recent stock option transactions at the time of grant. The risk-free interest rate for the expected term of the option is based on the U.S. Treasury implied yield at the date of grant. The Company has elected to use the "simplified method" to determine the expected term which is the midpoint between the vesting date and the end of the contractual term because it has insufficient history upon which to base an assumption about the term. The expected dividend yield is 0.0% as the Company has not paid and does not anticipate paying dividends on its common stock.</w:t>
      </w:r>
    </w:p>
    <w:p>
      <w:pPr>
        <w:sectPr>
          <w:pgSz w:w="12240" w:h="15840" w:orient="portrait"/>
          <w:cols w:equalWidth="0" w:num="1">
            <w:col w:w="10260"/>
          </w:cols>
          <w:pgMar w:left="1000" w:top="4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10260"/>
          </w:cols>
          <w:pgMar w:left="1000" w:top="420" w:right="980" w:bottom="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Hydrofarm Holdings Group, Inc.</w:t>
      </w:r>
    </w:p>
    <w:p>
      <w:pPr>
        <w:spacing w:after="0" w:line="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Performance-based awards</w:t>
      </w:r>
    </w:p>
    <w:p>
      <w:pPr>
        <w:spacing w:after="0" w:line="208"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The Company has granted performance stock unit ("PSU") awards that vest upon the satisfaction of both service-based and performance-based conditions. The service-based condition for these awards generally is satisfied over one year. The performance-based conditions generally are satisfied upon achieving specified performance targets. The Company records stock-based compensation expense for performance-based equity awards on a straight-line basis over the requisite service period and only if performance-based conditions are considered probable to be satisfied.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Employee benefit plan</w:t>
      </w:r>
    </w:p>
    <w:p>
      <w:pPr>
        <w:spacing w:after="0" w:line="209" w:lineRule="exact"/>
        <w:rPr>
          <w:sz w:val="20"/>
          <w:szCs w:val="20"/>
          <w:color w:val="auto"/>
        </w:rPr>
      </w:pPr>
    </w:p>
    <w:p>
      <w:pPr>
        <w:jc w:val="both"/>
        <w:ind w:firstLine="720"/>
        <w:spacing w:after="0" w:line="269" w:lineRule="auto"/>
        <w:rPr>
          <w:sz w:val="20"/>
          <w:szCs w:val="20"/>
          <w:color w:val="auto"/>
        </w:rPr>
      </w:pPr>
      <w:r>
        <w:rPr>
          <w:rFonts w:ascii="Times New Roman" w:cs="Times New Roman" w:eastAsia="Times New Roman" w:hAnsi="Times New Roman"/>
          <w:sz w:val="20"/>
          <w:szCs w:val="20"/>
          <w:color w:val="auto"/>
        </w:rPr>
        <w:t>The Company has a savings retirement plan that covers substantially all full-time employees who meet the plan’s eligibility requirements and provides for an employee elective contribution. The Company made matching contributions to the plan and incurred expense of $225 and $236 for the years ended December 31, 2025, and 2024, respectively.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10" w:lineRule="exact"/>
        <w:rPr>
          <w:sz w:val="20"/>
          <w:szCs w:val="20"/>
          <w:color w:val="auto"/>
        </w:rPr>
      </w:pPr>
    </w:p>
    <w:p>
      <w:pPr>
        <w:jc w:val="both"/>
        <w:ind w:firstLine="720"/>
        <w:spacing w:after="0" w:line="262" w:lineRule="auto"/>
        <w:rPr>
          <w:sz w:val="20"/>
          <w:szCs w:val="20"/>
          <w:color w:val="auto"/>
        </w:rPr>
      </w:pPr>
      <w:r>
        <w:rPr>
          <w:rFonts w:ascii="Times New Roman" w:cs="Times New Roman" w:eastAsia="Times New Roman" w:hAnsi="Times New Roman"/>
          <w:sz w:val="20"/>
          <w:szCs w:val="20"/>
          <w:color w:val="auto"/>
        </w:rPr>
        <w:t>The asset and liability method of accounting for income taxes is followed whereby deferred income tax assets are recognized for deductible temporary differences and operating loss carryforwards, and deferred income tax liabilities are recognized for taxable temporary differences. Temporary differences are the differences between the amounts of assets and liabilities recorded for income tax and financial reporting purposes.</w:t>
      </w:r>
    </w:p>
    <w:p>
      <w:pPr>
        <w:spacing w:after="0" w:line="155" w:lineRule="exact"/>
        <w:rPr>
          <w:sz w:val="20"/>
          <w:szCs w:val="20"/>
          <w:color w:val="auto"/>
        </w:rPr>
      </w:pPr>
    </w:p>
    <w:p>
      <w:pPr>
        <w:jc w:val="both"/>
        <w:ind w:firstLine="720"/>
        <w:spacing w:after="0" w:line="263" w:lineRule="auto"/>
        <w:rPr>
          <w:sz w:val="20"/>
          <w:szCs w:val="20"/>
          <w:color w:val="auto"/>
        </w:rPr>
      </w:pPr>
      <w:r>
        <w:rPr>
          <w:rFonts w:ascii="Times New Roman" w:cs="Times New Roman" w:eastAsia="Times New Roman" w:hAnsi="Times New Roman"/>
          <w:sz w:val="20"/>
          <w:szCs w:val="20"/>
          <w:color w:val="auto"/>
        </w:rPr>
        <w:t>Deferred income tax assets are recognized only to the extent that management determines that it is more-likely-than-not that the deferred income tax assets will be realized. Deferred income tax assets and liabilities are adjusted for the effects of changes in tax laws and rates on the date of enactment. The income tax expense or benefit is the income tax payable or recoverable for the year plus or minus the change in deferred income tax assets and liabilities during the year.</w:t>
      </w:r>
    </w:p>
    <w:p>
      <w:pPr>
        <w:spacing w:after="0" w:line="152"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Company has deferred tax assets and liabilities and maintains valuation allowances where it is more-likely-than-not that all or a portion of deferred tax assets will not be realized. Significant judgment is required in determining any valuation allowance recorded against deferred tax assets. The determination of the amount of valuation allowance to be provided on recorded deferred tax assets involves consideration of estimates regarding the timing and amount of the reversal of taxable temporary differences, expected future taxable income by jurisdiction, and the impact of tax planning strategies. Changes in the relevant facts can impact the judgment or need for valuation allowances. In the event we change our determination as to the amount of deferred tax assets that can be realized, we will adjust our valuation allowance with a corresponding impact to the provision for income taxes in the period in which such determination is made.</w:t>
      </w:r>
    </w:p>
    <w:p>
      <w:pPr>
        <w:spacing w:after="0" w:line="166"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Company will establish a liability for tax return positions when there is uncertainty as to whether the position will ultimately be sustained. Amounts for uncertain tax positions will be adjusted when new information becomes available or when positions are effectively settled. The Company will recognize interest expense and penalties related to these unrecognized tax benefits within income tax expense. U.S. GAAP provides that a tax benefit from an uncertain tax position may be recognized when it is more-likely-than-not that the position will be sustained upon examination, including resolutions of any related appeals or litigation processes, based on the technical merits of the position. The amount recognized is measured as the largest amount of tax benefit that has a greater than 50% likelihood of being realized upon ultimate settlement with the related tax authority.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Recently issued accounting pronouncements</w:t>
      </w:r>
    </w:p>
    <w:p>
      <w:pPr>
        <w:spacing w:after="0" w:line="210"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 xml:space="preserve">In December 2023, the FASB issued ASU No. 2023-09, </w:t>
      </w:r>
      <w:r>
        <w:rPr>
          <w:rFonts w:ascii="Times New Roman" w:cs="Times New Roman" w:eastAsia="Times New Roman" w:hAnsi="Times New Roman"/>
          <w:sz w:val="20"/>
          <w:szCs w:val="20"/>
          <w:i w:val="1"/>
          <w:iCs w:val="1"/>
          <w:color w:val="auto"/>
        </w:rPr>
        <w:t>Income Taxes (Topic 740): Improvements to Income Tax</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Disclosures</w:t>
      </w:r>
      <w:r>
        <w:rPr>
          <w:rFonts w:ascii="Times New Roman" w:cs="Times New Roman" w:eastAsia="Times New Roman" w:hAnsi="Times New Roman"/>
          <w:sz w:val="20"/>
          <w:szCs w:val="20"/>
          <w:color w:val="auto"/>
        </w:rPr>
        <w:t>, which requires greater disaggregation of information in the effective tax rate reconciliation, income taxes paid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disaggregated by jurisdiction, and certain other amendments related to income tax disclosures. This guidance is effective for fiscal years beginning after December 15, 2024, with early adoption permitted. The Company has adopted the aforementioned guidance, and updated tax disclosures are presented in Note 14 – </w:t>
      </w:r>
      <w:r>
        <w:rPr>
          <w:rFonts w:ascii="Times New Roman" w:cs="Times New Roman" w:eastAsia="Times New Roman" w:hAnsi="Times New Roman"/>
          <w:sz w:val="20"/>
          <w:szCs w:val="20"/>
          <w:i w:val="1"/>
          <w:iCs w:val="1"/>
          <w:color w:val="auto"/>
        </w:rPr>
        <w:t>Income Taxes</w:t>
      </w:r>
      <w:r>
        <w:rPr>
          <w:rFonts w:ascii="Times New Roman" w:cs="Times New Roman" w:eastAsia="Times New Roman" w:hAnsi="Times New Roman"/>
          <w:sz w:val="20"/>
          <w:szCs w:val="20"/>
          <w:color w:val="auto"/>
        </w:rPr>
        <w:t>.</w:t>
      </w:r>
    </w:p>
    <w:p>
      <w:pPr>
        <w:spacing w:after="0" w:line="160" w:lineRule="exact"/>
        <w:rPr>
          <w:sz w:val="20"/>
          <w:szCs w:val="20"/>
          <w:color w:val="auto"/>
        </w:rPr>
      </w:pPr>
    </w:p>
    <w:p>
      <w:pPr>
        <w:jc w:val="both"/>
        <w:ind w:firstLine="720"/>
        <w:spacing w:after="0" w:line="262" w:lineRule="auto"/>
        <w:rPr>
          <w:sz w:val="20"/>
          <w:szCs w:val="20"/>
          <w:color w:val="auto"/>
        </w:rPr>
      </w:pPr>
      <w:r>
        <w:rPr>
          <w:rFonts w:ascii="Times New Roman" w:cs="Times New Roman" w:eastAsia="Times New Roman" w:hAnsi="Times New Roman"/>
          <w:sz w:val="20"/>
          <w:szCs w:val="20"/>
          <w:color w:val="auto"/>
        </w:rPr>
        <w:t xml:space="preserve">In November 2024, the FASB issued ASU No. 2024-03, </w:t>
      </w:r>
      <w:r>
        <w:rPr>
          <w:rFonts w:ascii="Times New Roman" w:cs="Times New Roman" w:eastAsia="Times New Roman" w:hAnsi="Times New Roman"/>
          <w:sz w:val="20"/>
          <w:szCs w:val="20"/>
          <w:i w:val="1"/>
          <w:iCs w:val="1"/>
          <w:color w:val="auto"/>
        </w:rPr>
        <w:t>Income Statement - Reporting Comprehensive Income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Expense Disaggregation Disclosures (Subtopic 220-40): Disaggregation of Income Statement Expenses, </w:t>
      </w:r>
      <w:r>
        <w:rPr>
          <w:rFonts w:ascii="Times New Roman" w:cs="Times New Roman" w:eastAsia="Times New Roman" w:hAnsi="Times New Roman"/>
          <w:sz w:val="20"/>
          <w:szCs w:val="20"/>
          <w:color w:val="auto"/>
        </w:rPr>
        <w:t>which requires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public entity to disclose additional information about specific expense categories in the notes to financial statements on an annual and interim basis. The amendments are effective for annual periods beginning after December 15, 2026, and interim</w:t>
      </w:r>
    </w:p>
    <w:p>
      <w:pPr>
        <w:sectPr>
          <w:pgSz w:w="12240" w:h="15840" w:orient="portrait"/>
          <w:cols w:equalWidth="0" w:num="1">
            <w:col w:w="10260"/>
          </w:cols>
          <w:pgMar w:left="1000" w:top="420" w:right="980" w:bottom="0" w:gutter="0" w:footer="0" w:header="0"/>
        </w:sectPr>
      </w:pPr>
    </w:p>
    <w:p>
      <w:pPr>
        <w:spacing w:after="0" w:line="30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10260"/>
          </w:cols>
          <w:pgMar w:left="1000" w:top="420" w:right="980" w:bottom="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Hydrofarm Holdings Group, Inc.</w:t>
      </w:r>
    </w:p>
    <w:p>
      <w:pPr>
        <w:spacing w:after="0" w:line="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pacing w:after="0" w:line="34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periods beginning after December 15, 2027, with early adoption permitted. A public entity should apply the amendments either prospectively to financial statements issued for reporting periods after the effective date of this ASU or retrospectively to any or all prior periods presented in the financial statements. The Company is currently evaluating the impact that adoption of this accounting standard will have on its financial disclosures.</w:t>
      </w:r>
    </w:p>
    <w:p>
      <w:pPr>
        <w:spacing w:after="0" w:line="152"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 xml:space="preserve">In July 2025, the FASB issued ASU No. 2025-05, </w:t>
      </w:r>
      <w:r>
        <w:rPr>
          <w:rFonts w:ascii="Times New Roman" w:cs="Times New Roman" w:eastAsia="Times New Roman" w:hAnsi="Times New Roman"/>
          <w:sz w:val="20"/>
          <w:szCs w:val="20"/>
          <w:i w:val="1"/>
          <w:iCs w:val="1"/>
          <w:color w:val="auto"/>
        </w:rPr>
        <w:t>Financial Instruments - Credit Losses: Measurement of 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Losses for Accounts Receivable and Contract Assets</w:t>
      </w:r>
      <w:r>
        <w:rPr>
          <w:rFonts w:ascii="Times New Roman" w:cs="Times New Roman" w:eastAsia="Times New Roman" w:hAnsi="Times New Roman"/>
          <w:sz w:val="20"/>
          <w:szCs w:val="20"/>
          <w:color w:val="auto"/>
        </w:rPr>
        <w:t>, which provides a practical expedient permitting companies to assume that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conditions at the balance sheet date remain unchanged over the life of the asset when estimating expected credit losses for current accounts receivable and current contract assets. This guidance is effective for annual periods beginning after December 15, 2025, and interim reporting periods within those annual reporting periods. Early adoption is permitted and is effective on a prospective basis. The Company is currently evaluating the impact that adoption of this accounting standard will have on its financial disclosures.</w:t>
      </w:r>
    </w:p>
    <w:p>
      <w:pPr>
        <w:spacing w:after="0" w:line="163"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 xml:space="preserve">In September 2025, the FASB issued ASU No. 2025-06, </w:t>
      </w:r>
      <w:r>
        <w:rPr>
          <w:rFonts w:ascii="Times New Roman" w:cs="Times New Roman" w:eastAsia="Times New Roman" w:hAnsi="Times New Roman"/>
          <w:sz w:val="20"/>
          <w:szCs w:val="20"/>
          <w:i w:val="1"/>
          <w:iCs w:val="1"/>
          <w:color w:val="auto"/>
        </w:rPr>
        <w:t>Intangibles - Goodwill and Other - Internal-Use Software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(Subtopic 350-40): Targeted Improvements to the Accounting for Internal-Use Software</w:t>
      </w:r>
      <w:r>
        <w:rPr>
          <w:rFonts w:ascii="Times New Roman" w:cs="Times New Roman" w:eastAsia="Times New Roman" w:hAnsi="Times New Roman"/>
          <w:sz w:val="20"/>
          <w:szCs w:val="20"/>
          <w:color w:val="auto"/>
        </w:rPr>
        <w:t>, which makes targeted improvements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accounting for internal-use software by removing references to “development stages.” The update also clarifies the criteria for capitalization, which begins when both of the following occur: (1) management has authorized and committed to funding the software project and (2) it is probable that the project will be completed and the software will be used to perform the function intended. The guidance is effective for annual reporting periods beginning after December 15, 2027, and for interim periods within those annual reporting periods, with early adoption permitted, and can be applied prospectively, retrospectively, or via a modified prospective transition method. The Company is currently evaluating the impact that adoption of this accounting standard will have on its financial disclosures.</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RESTRUCTURING AND ASSET SALES</w:t>
      </w:r>
    </w:p>
    <w:p>
      <w:pPr>
        <w:spacing w:after="0" w:line="2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Restructuring</w:t>
      </w:r>
    </w:p>
    <w:p>
      <w:pPr>
        <w:spacing w:after="0" w:line="21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2023 Restructuring Plan</w:t>
      </w:r>
    </w:p>
    <w:p>
      <w:pPr>
        <w:spacing w:after="0" w:line="208"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Upon completion of a restructuring plan that began in 2022, the Company began the 2023 Restructuring Plan, and undertook significant actions to streamline operations, reduce costs and improve efficiencies. Restructuring actions in the 2023 Restructuring Plan were primarily U.S. manufacturing facility consolidations, in particular with respect to production of certain durable equipment products. Restructuring activities included termination and disposal costs associated with inventory, facilities, and headcount reductions, and non-cash charges consisting of fixed asset and inventory write-downs. During the year ended December 31, 2024, the Company recorded pre-tax restructuring charges of $2,223 for the 2023 Restructuring Plan, relating primarily to cash charges associated with the consolidation and closure of U.S. manufacturing facilities. Of the $2,223 recorded charges, $1,946 was recorded within cost of goods sold on the consolidated statement of operations during the year ended December 31, 2024. The Company recorded $277 within SG&amp;A expenses on the consolidated statement of operations during the year ended December 31, 2024.</w:t>
      </w:r>
    </w:p>
    <w:p>
      <w:pPr>
        <w:spacing w:after="0" w:line="166"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0"/>
          <w:szCs w:val="20"/>
          <w:color w:val="auto"/>
        </w:rPr>
        <w:t>In the first quarter of 2025, the Company completed the 2023 Restructuring Plan and incurred approximately $362 of restructuring charges, which were primarily cash charges and recorded within cost of goods sold on the consolidated statement of operations during the year ended December 31, 2025. The remaining accrual balance of $103 as of December 31, 2024 was settled during the year ended December 31, 2025, and there is no remaining accrual balance. Total costs incurred relating to the 2023 Restructuring Plan were (i) $9,737 of non-cash charges relating primarily to inventory markdowns, and (ii) $2,034 of cash charges relating primarily to the consolidation of U.S. manufacturing facilities.</w:t>
      </w:r>
    </w:p>
    <w:p>
      <w:pPr>
        <w:spacing w:after="0" w:line="1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2025 Restructuring Plan</w:t>
      </w:r>
    </w:p>
    <w:p>
      <w:pPr>
        <w:spacing w:after="0" w:line="208"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The Company initiated the 2025 Restructuring Plan in the second quarter of 2025 to reduce its product portfolio and operational footprint to decrease costs and improve efficiency. The 2025 Restructuring Plan actions entail (i) eliminating a significant portion of the Company's product portfolio, primarily underperforming distributed brands, to improve supply chain and operational focus, (ii) further reductions in the distribution center network and manufacturing footprint including inventory reductions, and (iii) corresponding headcount reductions.</w:t>
      </w:r>
    </w:p>
    <w:p>
      <w:pPr>
        <w:sectPr>
          <w:pgSz w:w="12240" w:h="15840" w:orient="portrait"/>
          <w:cols w:equalWidth="0" w:num="1">
            <w:col w:w="10260"/>
          </w:cols>
          <w:pgMar w:left="1000" w:top="420" w:right="980" w:bottom="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10260"/>
          </w:cols>
          <w:pgMar w:left="1000" w:top="420" w:right="980" w:bottom="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Hydrofarm Holdings Group, Inc.</w:t>
      </w:r>
    </w:p>
    <w:p>
      <w:pPr>
        <w:spacing w:after="0" w:line="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pacing w:after="0" w:line="343"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color w:val="auto"/>
        </w:rPr>
        <w:t>The Company incurred the following estimated restructuring costs for the 2025 Restructuring Plan during the year ended December 31, 2025:</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6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40"/>
        </w:trPr>
        <w:tc>
          <w:tcPr>
            <w:tcW w:w="6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86"/>
        </w:trPr>
        <w:tc>
          <w:tcPr>
            <w:tcW w:w="6680" w:type="dxa"/>
            <w:vAlign w:val="bottom"/>
            <w:shd w:val="clear" w:color="auto" w:fill="D2EEF5"/>
          </w:tcPr>
          <w:p>
            <w:pPr>
              <w:ind w:left="60"/>
              <w:spacing w:after="0"/>
              <w:rPr>
                <w:sz w:val="20"/>
                <w:szCs w:val="20"/>
                <w:color w:val="auto"/>
              </w:rPr>
            </w:pPr>
            <w:r>
              <w:rPr>
                <w:rFonts w:ascii="Times New Roman" w:cs="Times New Roman" w:eastAsia="Times New Roman" w:hAnsi="Times New Roman"/>
                <w:sz w:val="20"/>
                <w:szCs w:val="20"/>
                <w:color w:val="auto"/>
              </w:rPr>
              <w:t>Cost of goods sold</w:t>
            </w:r>
          </w:p>
        </w:tc>
        <w:tc>
          <w:tcPr>
            <w:tcW w:w="20" w:type="dxa"/>
            <w:vAlign w:val="bottom"/>
            <w:shd w:val="clear" w:color="auto" w:fill="D2EEF5"/>
          </w:tcPr>
          <w:p>
            <w:pPr>
              <w:spacing w:after="0"/>
              <w:rPr>
                <w:sz w:val="24"/>
                <w:szCs w:val="24"/>
                <w:color w:val="auto"/>
              </w:rPr>
            </w:pPr>
          </w:p>
        </w:tc>
        <w:tc>
          <w:tcPr>
            <w:tcW w:w="300" w:type="dxa"/>
            <w:vAlign w:val="bottom"/>
            <w:shd w:val="clear" w:color="auto" w:fill="D2EEF5"/>
          </w:tcPr>
          <w:p>
            <w:pPr>
              <w:jc w:val="right"/>
              <w:ind w:right="42"/>
              <w:spacing w:after="0"/>
              <w:rPr>
                <w:sz w:val="20"/>
                <w:szCs w:val="20"/>
                <w:color w:val="auto"/>
              </w:rPr>
            </w:pPr>
            <w:r>
              <w:rPr>
                <w:rFonts w:ascii="Times New Roman" w:cs="Times New Roman" w:eastAsia="Times New Roman" w:hAnsi="Times New Roman"/>
                <w:sz w:val="20"/>
                <w:szCs w:val="20"/>
                <w:b w:val="1"/>
                <w:bCs w:val="1"/>
                <w:color w:val="auto"/>
              </w:rPr>
              <w:t>$</w:t>
            </w:r>
          </w:p>
        </w:tc>
        <w:tc>
          <w:tcPr>
            <w:tcW w:w="14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4,762</w:t>
            </w:r>
          </w:p>
        </w:tc>
      </w:tr>
      <w:tr>
        <w:trPr>
          <w:trHeight w:val="284"/>
        </w:trPr>
        <w:tc>
          <w:tcPr>
            <w:tcW w:w="6680" w:type="dxa"/>
            <w:vAlign w:val="bottom"/>
            <w:tcBorders>
              <w:bottom w:val="single" w:sz="8" w:color="D2EEF5"/>
            </w:tcBorders>
          </w:tcPr>
          <w:p>
            <w:pPr>
              <w:ind w:left="60"/>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20" w:type="dxa"/>
            <w:vAlign w:val="bottom"/>
            <w:tcBorders>
              <w:bottom w:val="single" w:sz="8" w:color="D2EEF5"/>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475</w:t>
            </w:r>
          </w:p>
        </w:tc>
      </w:tr>
      <w:tr>
        <w:trPr>
          <w:trHeight w:val="286"/>
        </w:trPr>
        <w:tc>
          <w:tcPr>
            <w:tcW w:w="6680" w:type="dxa"/>
            <w:vAlign w:val="bottom"/>
            <w:tcBorders>
              <w:bottom w:val="single" w:sz="8" w:color="D2EEF5"/>
            </w:tcBorders>
            <w:shd w:val="clear" w:color="auto" w:fill="D2EEF5"/>
          </w:tcPr>
          <w:p>
            <w:pPr>
              <w:ind w:left="180"/>
              <w:spacing w:after="0"/>
              <w:rPr>
                <w:sz w:val="20"/>
                <w:szCs w:val="20"/>
                <w:color w:val="auto"/>
              </w:rPr>
            </w:pPr>
            <w:r>
              <w:rPr>
                <w:rFonts w:ascii="Times New Roman" w:cs="Times New Roman" w:eastAsia="Times New Roman" w:hAnsi="Times New Roman"/>
                <w:sz w:val="20"/>
                <w:szCs w:val="20"/>
                <w:b w:val="1"/>
                <w:bCs w:val="1"/>
                <w:color w:val="auto"/>
              </w:rPr>
              <w:t>Total 2025 Restructuring Plan charges</w:t>
            </w:r>
          </w:p>
        </w:tc>
        <w:tc>
          <w:tcPr>
            <w:tcW w:w="20" w:type="dxa"/>
            <w:vAlign w:val="bottom"/>
            <w:tcBorders>
              <w:bottom w:val="single" w:sz="8" w:color="D2EEF5"/>
            </w:tcBorders>
            <w:shd w:val="clear" w:color="auto" w:fill="D2EEF5"/>
          </w:tcPr>
          <w:p>
            <w:pPr>
              <w:spacing w:after="0"/>
              <w:rPr>
                <w:sz w:val="24"/>
                <w:szCs w:val="24"/>
                <w:color w:val="auto"/>
              </w:rPr>
            </w:pPr>
          </w:p>
        </w:tc>
        <w:tc>
          <w:tcPr>
            <w:tcW w:w="300" w:type="dxa"/>
            <w:vAlign w:val="bottom"/>
            <w:tcBorders>
              <w:bottom w:val="single" w:sz="8" w:color="auto"/>
            </w:tcBorders>
            <w:shd w:val="clear" w:color="auto" w:fill="D2EEF5"/>
          </w:tcPr>
          <w:p>
            <w:pPr>
              <w:jc w:val="right"/>
              <w:ind w:right="42"/>
              <w:spacing w:after="0"/>
              <w:rPr>
                <w:sz w:val="20"/>
                <w:szCs w:val="20"/>
                <w:color w:val="auto"/>
              </w:rPr>
            </w:pPr>
            <w:r>
              <w:rPr>
                <w:rFonts w:ascii="Times New Roman" w:cs="Times New Roman" w:eastAsia="Times New Roman" w:hAnsi="Times New Roman"/>
                <w:sz w:val="20"/>
                <w:szCs w:val="20"/>
                <w:b w:val="1"/>
                <w:bCs w:val="1"/>
                <w:color w:val="auto"/>
              </w:rPr>
              <w:t>$</w:t>
            </w:r>
          </w:p>
        </w:tc>
        <w:tc>
          <w:tcPr>
            <w:tcW w:w="14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5,237</w:t>
            </w:r>
          </w:p>
        </w:tc>
      </w:tr>
      <w:tr>
        <w:trPr>
          <w:trHeight w:val="20"/>
        </w:trPr>
        <w:tc>
          <w:tcPr>
            <w:tcW w:w="6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04"/>
        </w:trPr>
        <w:tc>
          <w:tcPr>
            <w:tcW w:w="6680" w:type="dxa"/>
            <w:vAlign w:val="bottom"/>
          </w:tcPr>
          <w:p>
            <w:pPr>
              <w:spacing w:after="0"/>
              <w:rPr>
                <w:sz w:val="17"/>
                <w:szCs w:val="17"/>
                <w:color w:val="auto"/>
              </w:rPr>
            </w:pPr>
          </w:p>
        </w:tc>
        <w:tc>
          <w:tcPr>
            <w:tcW w:w="320" w:type="dxa"/>
            <w:vAlign w:val="bottom"/>
            <w:gridSpan w:val="2"/>
          </w:tcPr>
          <w:p>
            <w:pPr>
              <w:spacing w:after="0"/>
              <w:rPr>
                <w:sz w:val="17"/>
                <w:szCs w:val="17"/>
                <w:color w:val="auto"/>
              </w:rPr>
            </w:pPr>
          </w:p>
        </w:tc>
        <w:tc>
          <w:tcPr>
            <w:tcW w:w="1440" w:type="dxa"/>
            <w:vAlign w:val="bottom"/>
          </w:tcPr>
          <w:p>
            <w:pPr>
              <w:spacing w:after="0"/>
              <w:rPr>
                <w:sz w:val="17"/>
                <w:szCs w:val="17"/>
                <w:color w:val="auto"/>
              </w:rPr>
            </w:pPr>
          </w:p>
        </w:tc>
      </w:tr>
      <w:tr>
        <w:trPr>
          <w:trHeight w:val="286"/>
        </w:trPr>
        <w:tc>
          <w:tcPr>
            <w:tcW w:w="6680" w:type="dxa"/>
            <w:vAlign w:val="bottom"/>
            <w:shd w:val="clear" w:color="auto" w:fill="D2EEF5"/>
          </w:tcPr>
          <w:p>
            <w:pPr>
              <w:ind w:left="60"/>
              <w:spacing w:after="0"/>
              <w:rPr>
                <w:sz w:val="20"/>
                <w:szCs w:val="20"/>
                <w:color w:val="auto"/>
              </w:rPr>
            </w:pPr>
            <w:r>
              <w:rPr>
                <w:rFonts w:ascii="Times New Roman" w:cs="Times New Roman" w:eastAsia="Times New Roman" w:hAnsi="Times New Roman"/>
                <w:sz w:val="20"/>
                <w:szCs w:val="20"/>
                <w:color w:val="auto"/>
              </w:rPr>
              <w:t>Cash</w:t>
            </w:r>
          </w:p>
        </w:tc>
        <w:tc>
          <w:tcPr>
            <w:tcW w:w="20" w:type="dxa"/>
            <w:vAlign w:val="bottom"/>
            <w:shd w:val="clear" w:color="auto" w:fill="D2EEF5"/>
          </w:tcPr>
          <w:p>
            <w:pPr>
              <w:spacing w:after="0"/>
              <w:rPr>
                <w:sz w:val="24"/>
                <w:szCs w:val="24"/>
                <w:color w:val="auto"/>
              </w:rPr>
            </w:pPr>
          </w:p>
        </w:tc>
        <w:tc>
          <w:tcPr>
            <w:tcW w:w="300" w:type="dxa"/>
            <w:vAlign w:val="bottom"/>
            <w:shd w:val="clear" w:color="auto" w:fill="D2EEF5"/>
          </w:tcPr>
          <w:p>
            <w:pPr>
              <w:jc w:val="right"/>
              <w:ind w:right="42"/>
              <w:spacing w:after="0"/>
              <w:rPr>
                <w:sz w:val="20"/>
                <w:szCs w:val="20"/>
                <w:color w:val="auto"/>
              </w:rPr>
            </w:pPr>
            <w:r>
              <w:rPr>
                <w:rFonts w:ascii="Times New Roman" w:cs="Times New Roman" w:eastAsia="Times New Roman" w:hAnsi="Times New Roman"/>
                <w:sz w:val="20"/>
                <w:szCs w:val="20"/>
                <w:b w:val="1"/>
                <w:bCs w:val="1"/>
                <w:color w:val="auto"/>
              </w:rPr>
              <w:t>$</w:t>
            </w:r>
          </w:p>
        </w:tc>
        <w:tc>
          <w:tcPr>
            <w:tcW w:w="14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851</w:t>
            </w:r>
          </w:p>
        </w:tc>
      </w:tr>
      <w:tr>
        <w:trPr>
          <w:trHeight w:val="285"/>
        </w:trPr>
        <w:tc>
          <w:tcPr>
            <w:tcW w:w="6680" w:type="dxa"/>
            <w:vAlign w:val="bottom"/>
            <w:tcBorders>
              <w:bottom w:val="single" w:sz="8" w:color="D2EEF5"/>
            </w:tcBorders>
          </w:tcPr>
          <w:p>
            <w:pPr>
              <w:ind w:left="60"/>
              <w:spacing w:after="0"/>
              <w:rPr>
                <w:sz w:val="20"/>
                <w:szCs w:val="20"/>
                <w:color w:val="auto"/>
              </w:rPr>
            </w:pPr>
            <w:r>
              <w:rPr>
                <w:rFonts w:ascii="Times New Roman" w:cs="Times New Roman" w:eastAsia="Times New Roman" w:hAnsi="Times New Roman"/>
                <w:sz w:val="20"/>
                <w:szCs w:val="20"/>
                <w:color w:val="auto"/>
              </w:rPr>
              <w:t>Non-cash</w:t>
            </w:r>
          </w:p>
        </w:tc>
        <w:tc>
          <w:tcPr>
            <w:tcW w:w="20" w:type="dxa"/>
            <w:vAlign w:val="bottom"/>
            <w:tcBorders>
              <w:bottom w:val="single" w:sz="8" w:color="D2EEF5"/>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4,386</w:t>
            </w:r>
          </w:p>
        </w:tc>
      </w:tr>
      <w:tr>
        <w:trPr>
          <w:trHeight w:val="267"/>
        </w:trPr>
        <w:tc>
          <w:tcPr>
            <w:tcW w:w="6680" w:type="dxa"/>
            <w:vAlign w:val="bottom"/>
            <w:shd w:val="clear" w:color="auto" w:fill="D2EEF5"/>
          </w:tcPr>
          <w:p>
            <w:pPr>
              <w:ind w:left="180"/>
              <w:spacing w:after="0"/>
              <w:rPr>
                <w:sz w:val="20"/>
                <w:szCs w:val="20"/>
                <w:color w:val="auto"/>
              </w:rPr>
            </w:pPr>
            <w:r>
              <w:rPr>
                <w:rFonts w:ascii="Times New Roman" w:cs="Times New Roman" w:eastAsia="Times New Roman" w:hAnsi="Times New Roman"/>
                <w:sz w:val="20"/>
                <w:szCs w:val="20"/>
                <w:b w:val="1"/>
                <w:bCs w:val="1"/>
                <w:color w:val="auto"/>
              </w:rPr>
              <w:t>Total 2025 Restructuring Plan charges</w:t>
            </w:r>
          </w:p>
        </w:tc>
        <w:tc>
          <w:tcPr>
            <w:tcW w:w="20" w:type="dxa"/>
            <w:vAlign w:val="bottom"/>
            <w:tcBorders>
              <w:bottom w:val="single" w:sz="8" w:color="auto"/>
            </w:tcBorders>
            <w:shd w:val="clear" w:color="auto" w:fill="D2EEF5"/>
          </w:tcPr>
          <w:p>
            <w:pPr>
              <w:spacing w:after="0"/>
              <w:rPr>
                <w:sz w:val="23"/>
                <w:szCs w:val="23"/>
                <w:color w:val="auto"/>
              </w:rPr>
            </w:pPr>
          </w:p>
        </w:tc>
        <w:tc>
          <w:tcPr>
            <w:tcW w:w="300" w:type="dxa"/>
            <w:vAlign w:val="bottom"/>
            <w:tcBorders>
              <w:bottom w:val="single" w:sz="8" w:color="auto"/>
            </w:tcBorders>
            <w:shd w:val="clear" w:color="auto" w:fill="D2EEF5"/>
          </w:tcPr>
          <w:p>
            <w:pPr>
              <w:jc w:val="right"/>
              <w:ind w:right="42"/>
              <w:spacing w:after="0"/>
              <w:rPr>
                <w:sz w:val="20"/>
                <w:szCs w:val="20"/>
                <w:color w:val="auto"/>
              </w:rPr>
            </w:pPr>
            <w:r>
              <w:rPr>
                <w:rFonts w:ascii="Times New Roman" w:cs="Times New Roman" w:eastAsia="Times New Roman" w:hAnsi="Times New Roman"/>
                <w:sz w:val="20"/>
                <w:szCs w:val="20"/>
                <w:b w:val="1"/>
                <w:bCs w:val="1"/>
                <w:color w:val="auto"/>
              </w:rPr>
              <w:t>$</w:t>
            </w:r>
          </w:p>
        </w:tc>
        <w:tc>
          <w:tcPr>
            <w:tcW w:w="14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5,237</w:t>
            </w:r>
          </w:p>
        </w:tc>
      </w:tr>
      <w:tr>
        <w:trPr>
          <w:trHeight w:val="20"/>
        </w:trPr>
        <w:tc>
          <w:tcPr>
            <w:tcW w:w="66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both"/>
        <w:ind w:firstLine="720"/>
        <w:spacing w:after="0" w:line="262" w:lineRule="auto"/>
        <w:rPr>
          <w:sz w:val="20"/>
          <w:szCs w:val="20"/>
          <w:color w:val="auto"/>
        </w:rPr>
      </w:pPr>
      <w:r>
        <w:rPr>
          <w:rFonts w:ascii="Times New Roman" w:cs="Times New Roman" w:eastAsia="Times New Roman" w:hAnsi="Times New Roman"/>
          <w:sz w:val="20"/>
          <w:szCs w:val="20"/>
          <w:color w:val="auto"/>
        </w:rPr>
        <w:t>Non-cash charges were primarily associated with inventory write-downs, which were primarily recorded in cost of goods sold on the consolidated statements of operations during the year ended December 31, 2025. Cash charges were primarily comprised of costs incurred to relocate and terminate certain facilities. As of December 31, 2025, the Company had approximately $202 of accrued restructuring charges.</w:t>
      </w:r>
    </w:p>
    <w:p>
      <w:pPr>
        <w:spacing w:after="0" w:line="155" w:lineRule="exact"/>
        <w:rPr>
          <w:sz w:val="20"/>
          <w:szCs w:val="20"/>
          <w:color w:val="auto"/>
        </w:rPr>
      </w:pPr>
    </w:p>
    <w:p>
      <w:pPr>
        <w:jc w:val="both"/>
        <w:ind w:firstLine="720"/>
        <w:spacing w:after="0" w:line="269" w:lineRule="auto"/>
        <w:rPr>
          <w:sz w:val="20"/>
          <w:szCs w:val="20"/>
          <w:color w:val="auto"/>
        </w:rPr>
      </w:pPr>
      <w:r>
        <w:rPr>
          <w:rFonts w:ascii="Times New Roman" w:cs="Times New Roman" w:eastAsia="Times New Roman" w:hAnsi="Times New Roman"/>
          <w:sz w:val="20"/>
          <w:szCs w:val="20"/>
          <w:color w:val="auto"/>
        </w:rPr>
        <w:t>The Company anticipates the 2025 Restructuring Plan and related actions may result in additional restructuring charges of up to $3,000, primarily cash related, and is expected be completed during 2026. The amounts the Company will ultimately expend could differ from these estimates.</w:t>
      </w:r>
    </w:p>
    <w:p>
      <w:pPr>
        <w:spacing w:after="0" w:line="14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Asset Sales</w:t>
      </w:r>
    </w:p>
    <w:p>
      <w:pPr>
        <w:spacing w:after="0" w:line="209"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On May 10, 2024, in connection with the Company's restructuring of its durable manufacturing operations, the Company entered into the Purchase Agreement with CM Fabrication, LLC to sell assets relating to the production of IGE-branded durable equipment products for $8,660 and retain the proprietary brand and customer relationships. The IGE Asset Sale closed on May 31, 2024, and the Company continues to sell its IGE branded durable products, including horticulture benches, racking and LED lighting systems. In connection with the transaction, the Company entered into an exclusive supply agreement with the Buyer to provide for contract manufacturing.</w:t>
      </w:r>
    </w:p>
    <w:p>
      <w:pPr>
        <w:spacing w:after="0" w:line="157"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Assets and liabilities that were sold, disposed or terminated in connection with the IGE Asset Sale included $11,616 of inventories, $3,721 of property, plant and equipment, $2,573 of technology intangible assets, and $90 of other net liabilities. The Company paid cash to terminate the facility operating lease for $1,275 and certain equipment finance leases for $668. The Company incurred an estimated $417 of transaction costs, including legal fees and other transaction-related expenses. The Company recorded a loss on asset disposition of $11,520 on the consolidated statements of operations for the year ended December 31, 2024, which included the aforementioned assets and liabilities derecognized, and operating and finance lease termination payments. The Company estimated the amount of cash proceeds associated with the sale of inventories as $4,960 and property, plant and equipment as $3,700, and classified the amounts within net cash from operating activities and investing activities, respectively, on the consolidated statements of cash flows for the year ended December 31, 2024.</w:t>
      </w:r>
    </w:p>
    <w:p>
      <w:pPr>
        <w:spacing w:after="0" w:line="161"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 xml:space="preserve">Pursuant to requirements in the Company's Revolving Credit Facility consent was obtained from JPMorgan Chase Bank, N.A., as administrative agent, to permit the IGE Asset Sale. The net cash proceeds of approximately $6,300 from this transaction were subject to a provision of the Term Loan (as defined below) whereby such net cash proceeds were reinvested into certain investments, such as capital expenditures, with the remainder being prepaid against the Term Loan principal. Refer to Note 11 – </w:t>
      </w:r>
      <w:r>
        <w:rPr>
          <w:rFonts w:ascii="Times New Roman" w:cs="Times New Roman" w:eastAsia="Times New Roman" w:hAnsi="Times New Roman"/>
          <w:sz w:val="20"/>
          <w:szCs w:val="20"/>
          <w:i w:val="1"/>
          <w:iCs w:val="1"/>
          <w:color w:val="auto"/>
        </w:rPr>
        <w:t>Debt</w:t>
      </w:r>
      <w:r>
        <w:rPr>
          <w:rFonts w:ascii="Times New Roman" w:cs="Times New Roman" w:eastAsia="Times New Roman" w:hAnsi="Times New Roman"/>
          <w:sz w:val="20"/>
          <w:szCs w:val="20"/>
          <w:color w:val="auto"/>
        </w:rPr>
        <w:t xml:space="preserve"> for further details.</w:t>
      </w:r>
    </w:p>
    <w:p>
      <w:pPr>
        <w:spacing w:after="0" w:line="158" w:lineRule="exact"/>
        <w:rPr>
          <w:sz w:val="20"/>
          <w:szCs w:val="20"/>
          <w:color w:val="auto"/>
        </w:rPr>
      </w:pPr>
    </w:p>
    <w:p>
      <w:pPr>
        <w:jc w:val="both"/>
        <w:ind w:firstLine="720"/>
        <w:spacing w:after="0" w:line="269" w:lineRule="auto"/>
        <w:rPr>
          <w:sz w:val="20"/>
          <w:szCs w:val="20"/>
          <w:color w:val="auto"/>
        </w:rPr>
      </w:pPr>
      <w:r>
        <w:rPr>
          <w:rFonts w:ascii="Times New Roman" w:cs="Times New Roman" w:eastAsia="Times New Roman" w:hAnsi="Times New Roman"/>
          <w:sz w:val="20"/>
          <w:szCs w:val="20"/>
          <w:color w:val="auto"/>
        </w:rPr>
        <w:t>During the year ended December 31, 2024, the Company sold approximately 20 acres of the 140 acres of excess owned land at the Goshen, New York location. The sale price less costs to sell were consistent with the carrying value of the land, and therefore no gain or loss was recorded in the year ended December 31, 2024.</w:t>
      </w:r>
    </w:p>
    <w:p>
      <w:pPr>
        <w:sectPr>
          <w:pgSz w:w="12240" w:h="15840" w:orient="portrait"/>
          <w:cols w:equalWidth="0" w:num="1">
            <w:col w:w="10260"/>
          </w:cols>
          <w:pgMar w:left="1000" w:top="4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10260"/>
          </w:cols>
          <w:pgMar w:left="1000" w:top="420" w:right="980" w:bottom="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Hydrofarm Holdings Group, Inc.</w:t>
      </w:r>
    </w:p>
    <w:p>
      <w:pPr>
        <w:spacing w:after="0" w:line="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INTANGIBLE ASSETS, NET</w:t>
      </w:r>
    </w:p>
    <w:p>
      <w:pPr>
        <w:spacing w:after="0" w:line="214"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Finite lived intangible assets are tested for impairment at least annually, while all intangibles are tested for impairment when events or changes in circumstances indicate that, more-likely-than-not, the carrying amount may not be recoverable. During the fourth quarter of fiscal 2025, as a result of industry conditions, primarily attributable to an agricultural oversupply impacting our market and resulting in a decrease in indoor and outdoor cultivation, as well as continued declines in operating cash flows and profitability, the Company assessed long-lived assets for impairment and recorded an impairment charge of $232,179. Of the impairment charge, $228,395 was related to finite-lived intangible assets and $3,784 was related to property, plant, and equipment. The loss was recorded in impairments in the consolidated statement of operations for the year ended December 31, 2025. The Company estimated fair value based on the income approach and market approach. Under the income approach, the Company estimated the fair value of the asset group on the present value of estimated future cash flows, which the Company considered to be a level 3 unobservable input in the fair value hierarchy. There were no other impairment charges for long-lived assets in the years ended December 31, 2025 or 2024.</w:t>
      </w:r>
    </w:p>
    <w:p>
      <w:pPr>
        <w:spacing w:after="0" w:line="1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Intangible assets, net comprised the following:</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0" w:type="dxa"/>
            <w:vAlign w:val="bottom"/>
            <w:tcBorders>
              <w:bottom w:val="single" w:sz="8" w:color="D2EEF5"/>
            </w:tcBorders>
          </w:tcPr>
          <w:p>
            <w:pPr>
              <w:spacing w:after="0"/>
              <w:rPr>
                <w:sz w:val="24"/>
                <w:szCs w:val="24"/>
                <w:color w:val="auto"/>
              </w:rPr>
            </w:pPr>
          </w:p>
        </w:tc>
        <w:tc>
          <w:tcPr>
            <w:tcW w:w="2300" w:type="dxa"/>
            <w:vAlign w:val="bottom"/>
            <w:tcBorders>
              <w:bottom w:val="single" w:sz="8" w:color="D2EEF5"/>
            </w:tcBorders>
          </w:tcPr>
          <w:p>
            <w:pPr>
              <w:spacing w:after="0"/>
              <w:rPr>
                <w:sz w:val="24"/>
                <w:szCs w:val="24"/>
                <w:color w:val="auto"/>
              </w:rPr>
            </w:pPr>
          </w:p>
        </w:tc>
        <w:tc>
          <w:tcPr>
            <w:tcW w:w="40" w:type="dxa"/>
            <w:vAlign w:val="bottom"/>
            <w:tcBorders>
              <w:bottom w:val="single" w:sz="8" w:color="D2EEF5"/>
            </w:tcBorders>
          </w:tcPr>
          <w:p>
            <w:pPr>
              <w:spacing w:after="0"/>
              <w:rPr>
                <w:sz w:val="24"/>
                <w:szCs w:val="24"/>
                <w:color w:val="auto"/>
              </w:rPr>
            </w:pPr>
          </w:p>
        </w:tc>
        <w:tc>
          <w:tcPr>
            <w:tcW w:w="20" w:type="dxa"/>
            <w:vAlign w:val="bottom"/>
            <w:tcBorders>
              <w:bottom w:val="single" w:sz="8" w:color="D2EEF5"/>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9"/>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D2EEF5"/>
            </w:tcBorders>
          </w:tcPr>
          <w:p>
            <w:pPr>
              <w:spacing w:after="0"/>
              <w:rPr>
                <w:sz w:val="24"/>
                <w:szCs w:val="24"/>
                <w:color w:val="auto"/>
              </w:rPr>
            </w:pPr>
          </w:p>
        </w:tc>
        <w:tc>
          <w:tcPr>
            <w:tcW w:w="20" w:type="dxa"/>
            <w:vAlign w:val="bottom"/>
            <w:tcBorders>
              <w:bottom w:val="single" w:sz="8" w:color="D2EEF5"/>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0" w:type="dxa"/>
            <w:vAlign w:val="bottom"/>
            <w:tcBorders>
              <w:top w:val="single" w:sz="8" w:color="D2EEF5"/>
            </w:tcBorders>
            <w:shd w:val="clear" w:color="auto" w:fill="D2EEF5"/>
          </w:tcPr>
          <w:p>
            <w:pPr>
              <w:spacing w:after="0"/>
              <w:rPr>
                <w:sz w:val="15"/>
                <w:szCs w:val="15"/>
                <w:color w:val="auto"/>
              </w:rPr>
            </w:pPr>
          </w:p>
        </w:tc>
        <w:tc>
          <w:tcPr>
            <w:tcW w:w="2300" w:type="dxa"/>
            <w:vAlign w:val="bottom"/>
            <w:tcBorders>
              <w:top w:val="single" w:sz="8" w:color="D2EEF5"/>
            </w:tcBorders>
            <w:shd w:val="clear" w:color="auto" w:fill="D2EEF5"/>
          </w:tcPr>
          <w:p>
            <w:pPr>
              <w:spacing w:after="0"/>
              <w:rPr>
                <w:sz w:val="15"/>
                <w:szCs w:val="15"/>
                <w:color w:val="auto"/>
              </w:rPr>
            </w:pPr>
          </w:p>
        </w:tc>
        <w:tc>
          <w:tcPr>
            <w:tcW w:w="40" w:type="dxa"/>
            <w:vAlign w:val="bottom"/>
            <w:tcBorders>
              <w:top w:val="single" w:sz="8" w:color="D2EEF5"/>
            </w:tcBorders>
            <w:shd w:val="clear" w:color="auto" w:fill="D2EEF5"/>
          </w:tcPr>
          <w:p>
            <w:pPr>
              <w:spacing w:after="0"/>
              <w:rPr>
                <w:sz w:val="15"/>
                <w:szCs w:val="15"/>
                <w:color w:val="auto"/>
              </w:rPr>
            </w:pPr>
          </w:p>
        </w:tc>
        <w:tc>
          <w:tcPr>
            <w:tcW w:w="20" w:type="dxa"/>
            <w:vAlign w:val="bottom"/>
            <w:tcBorders>
              <w:top w:val="single" w:sz="8" w:color="D2EEF5"/>
            </w:tcBorders>
            <w:shd w:val="clear" w:color="auto" w:fill="D2EEF5"/>
          </w:tcPr>
          <w:p>
            <w:pPr>
              <w:spacing w:after="0"/>
              <w:rPr>
                <w:sz w:val="15"/>
                <w:szCs w:val="15"/>
                <w:color w:val="auto"/>
              </w:rPr>
            </w:pPr>
          </w:p>
        </w:tc>
        <w:tc>
          <w:tcPr>
            <w:tcW w:w="20" w:type="dxa"/>
            <w:vAlign w:val="bottom"/>
            <w:tcBorders>
              <w:top w:val="single" w:sz="8" w:color="D2EEF5"/>
            </w:tcBorders>
            <w:shd w:val="clear" w:color="auto" w:fill="D2EEF5"/>
          </w:tcPr>
          <w:p>
            <w:pPr>
              <w:spacing w:after="0"/>
              <w:rPr>
                <w:sz w:val="15"/>
                <w:szCs w:val="15"/>
                <w:color w:val="auto"/>
              </w:rPr>
            </w:pPr>
          </w:p>
        </w:tc>
        <w:tc>
          <w:tcPr>
            <w:tcW w:w="220" w:type="dxa"/>
            <w:vAlign w:val="bottom"/>
            <w:tcBorders>
              <w:top w:val="single" w:sz="8" w:color="D2EEF5"/>
            </w:tcBorders>
            <w:shd w:val="clear" w:color="auto" w:fill="D2EEF5"/>
          </w:tcPr>
          <w:p>
            <w:pPr>
              <w:spacing w:after="0"/>
              <w:rPr>
                <w:sz w:val="15"/>
                <w:szCs w:val="15"/>
                <w:color w:val="auto"/>
              </w:rPr>
            </w:pPr>
          </w:p>
        </w:tc>
        <w:tc>
          <w:tcPr>
            <w:tcW w:w="960" w:type="dxa"/>
            <w:vAlign w:val="bottom"/>
            <w:tcBorders>
              <w:top w:val="single" w:sz="8" w:color="D2EEF5"/>
            </w:tcBorders>
            <w:shd w:val="clear" w:color="auto" w:fill="D2EEF5"/>
          </w:tcPr>
          <w:p>
            <w:pPr>
              <w:jc w:val="center"/>
              <w:ind w:right="140"/>
              <w:spacing w:after="0" w:line="173" w:lineRule="exact"/>
              <w:rPr>
                <w:sz w:val="20"/>
                <w:szCs w:val="20"/>
                <w:color w:val="auto"/>
              </w:rPr>
            </w:pPr>
            <w:r>
              <w:rPr>
                <w:rFonts w:ascii="Times New Roman" w:cs="Times New Roman" w:eastAsia="Times New Roman" w:hAnsi="Times New Roman"/>
                <w:sz w:val="20"/>
                <w:szCs w:val="20"/>
                <w:color w:val="auto"/>
              </w:rPr>
              <w:t>Gross</w:t>
            </w:r>
          </w:p>
        </w:tc>
        <w:tc>
          <w:tcPr>
            <w:tcW w:w="60" w:type="dxa"/>
            <w:vAlign w:val="bottom"/>
            <w:tcBorders>
              <w:top w:val="single" w:sz="8" w:color="D2EEF5"/>
            </w:tcBorders>
            <w:shd w:val="clear" w:color="auto" w:fill="D2EEF5"/>
          </w:tcPr>
          <w:p>
            <w:pPr>
              <w:spacing w:after="0"/>
              <w:rPr>
                <w:sz w:val="15"/>
                <w:szCs w:val="15"/>
                <w:color w:val="auto"/>
              </w:rPr>
            </w:pPr>
          </w:p>
        </w:tc>
        <w:tc>
          <w:tcPr>
            <w:tcW w:w="20" w:type="dxa"/>
            <w:vAlign w:val="bottom"/>
            <w:tcBorders>
              <w:top w:val="single" w:sz="8" w:color="D2EEF5"/>
            </w:tcBorders>
            <w:shd w:val="clear" w:color="auto" w:fill="D2EEF5"/>
          </w:tcPr>
          <w:p>
            <w:pPr>
              <w:spacing w:after="0"/>
              <w:rPr>
                <w:sz w:val="15"/>
                <w:szCs w:val="15"/>
                <w:color w:val="auto"/>
              </w:rPr>
            </w:pPr>
          </w:p>
        </w:tc>
        <w:tc>
          <w:tcPr>
            <w:tcW w:w="40" w:type="dxa"/>
            <w:vAlign w:val="bottom"/>
            <w:tcBorders>
              <w:top w:val="single" w:sz="8" w:color="D2EEF5"/>
            </w:tcBorders>
            <w:shd w:val="clear" w:color="auto" w:fill="D2EEF5"/>
          </w:tcPr>
          <w:p>
            <w:pPr>
              <w:spacing w:after="0"/>
              <w:rPr>
                <w:sz w:val="15"/>
                <w:szCs w:val="15"/>
                <w:color w:val="auto"/>
              </w:rPr>
            </w:pPr>
          </w:p>
        </w:tc>
        <w:tc>
          <w:tcPr>
            <w:tcW w:w="1200" w:type="dxa"/>
            <w:vAlign w:val="bottom"/>
            <w:tcBorders>
              <w:top w:val="single" w:sz="8" w:color="D2EEF5"/>
            </w:tcBorders>
            <w:gridSpan w:val="2"/>
            <w:vMerge w:val="restart"/>
            <w:shd w:val="clear" w:color="auto" w:fill="D2EEF5"/>
          </w:tcPr>
          <w:p>
            <w:pPr>
              <w:jc w:val="center"/>
              <w:spacing w:after="0"/>
              <w:rPr>
                <w:sz w:val="20"/>
                <w:szCs w:val="20"/>
                <w:color w:val="auto"/>
              </w:rPr>
            </w:pPr>
            <w:r>
              <w:rPr>
                <w:rFonts w:ascii="Times New Roman" w:cs="Times New Roman" w:eastAsia="Times New Roman" w:hAnsi="Times New Roman"/>
                <w:sz w:val="20"/>
                <w:szCs w:val="20"/>
                <w:color w:val="auto"/>
              </w:rPr>
              <w:t>Accumulated</w:t>
            </w:r>
          </w:p>
        </w:tc>
        <w:tc>
          <w:tcPr>
            <w:tcW w:w="60" w:type="dxa"/>
            <w:vAlign w:val="bottom"/>
            <w:tcBorders>
              <w:top w:val="single" w:sz="8" w:color="D2EEF5"/>
            </w:tcBorders>
            <w:shd w:val="clear" w:color="auto" w:fill="D2EEF5"/>
          </w:tcPr>
          <w:p>
            <w:pPr>
              <w:spacing w:after="0"/>
              <w:rPr>
                <w:sz w:val="15"/>
                <w:szCs w:val="15"/>
                <w:color w:val="auto"/>
              </w:rPr>
            </w:pPr>
          </w:p>
        </w:tc>
        <w:tc>
          <w:tcPr>
            <w:tcW w:w="40" w:type="dxa"/>
            <w:vAlign w:val="bottom"/>
            <w:tcBorders>
              <w:top w:val="single" w:sz="8" w:color="D2EEF5"/>
            </w:tcBorders>
            <w:shd w:val="clear" w:color="auto" w:fill="D2EEF5"/>
          </w:tcPr>
          <w:p>
            <w:pPr>
              <w:spacing w:after="0"/>
              <w:rPr>
                <w:sz w:val="15"/>
                <w:szCs w:val="15"/>
                <w:color w:val="auto"/>
              </w:rPr>
            </w:pPr>
          </w:p>
        </w:tc>
        <w:tc>
          <w:tcPr>
            <w:tcW w:w="20" w:type="dxa"/>
            <w:vAlign w:val="bottom"/>
            <w:tcBorders>
              <w:top w:val="single" w:sz="8" w:color="D2EEF5"/>
            </w:tcBorders>
            <w:shd w:val="clear" w:color="auto" w:fill="D2EEF5"/>
          </w:tcPr>
          <w:p>
            <w:pPr>
              <w:spacing w:after="0"/>
              <w:rPr>
                <w:sz w:val="15"/>
                <w:szCs w:val="15"/>
                <w:color w:val="auto"/>
              </w:rPr>
            </w:pPr>
          </w:p>
        </w:tc>
        <w:tc>
          <w:tcPr>
            <w:tcW w:w="40" w:type="dxa"/>
            <w:vAlign w:val="bottom"/>
            <w:tcBorders>
              <w:top w:val="single" w:sz="8" w:color="D2EEF5"/>
            </w:tcBorders>
            <w:shd w:val="clear" w:color="auto" w:fill="D2EEF5"/>
          </w:tcPr>
          <w:p>
            <w:pPr>
              <w:spacing w:after="0"/>
              <w:rPr>
                <w:sz w:val="15"/>
                <w:szCs w:val="15"/>
                <w:color w:val="auto"/>
              </w:rPr>
            </w:pPr>
          </w:p>
        </w:tc>
        <w:tc>
          <w:tcPr>
            <w:tcW w:w="140" w:type="dxa"/>
            <w:vAlign w:val="bottom"/>
            <w:tcBorders>
              <w:top w:val="single" w:sz="8" w:color="D2EEF5"/>
            </w:tcBorders>
            <w:shd w:val="clear" w:color="auto" w:fill="D2EEF5"/>
          </w:tcPr>
          <w:p>
            <w:pPr>
              <w:spacing w:after="0"/>
              <w:rPr>
                <w:sz w:val="15"/>
                <w:szCs w:val="15"/>
                <w:color w:val="auto"/>
              </w:rPr>
            </w:pPr>
          </w:p>
        </w:tc>
        <w:tc>
          <w:tcPr>
            <w:tcW w:w="1000" w:type="dxa"/>
            <w:vAlign w:val="bottom"/>
            <w:tcBorders>
              <w:top w:val="single" w:sz="8" w:color="D2EEF5"/>
            </w:tcBorders>
            <w:vMerge w:val="restart"/>
            <w:shd w:val="clear" w:color="auto" w:fill="D2EEF5"/>
          </w:tcPr>
          <w:p>
            <w:pPr>
              <w:jc w:val="right"/>
              <w:ind w:right="80"/>
              <w:spacing w:after="0"/>
              <w:rPr>
                <w:sz w:val="20"/>
                <w:szCs w:val="20"/>
                <w:color w:val="auto"/>
              </w:rPr>
            </w:pPr>
            <w:r>
              <w:rPr>
                <w:rFonts w:ascii="Times New Roman" w:cs="Times New Roman" w:eastAsia="Times New Roman" w:hAnsi="Times New Roman"/>
                <w:sz w:val="20"/>
                <w:szCs w:val="20"/>
                <w:color w:val="auto"/>
              </w:rPr>
              <w:t>Net Book</w:t>
            </w:r>
          </w:p>
        </w:tc>
        <w:tc>
          <w:tcPr>
            <w:tcW w:w="60" w:type="dxa"/>
            <w:vAlign w:val="bottom"/>
            <w:tcBorders>
              <w:top w:val="single" w:sz="8" w:color="D2EEF5"/>
            </w:tcBorders>
            <w:shd w:val="clear" w:color="auto" w:fill="D2EEF5"/>
          </w:tcPr>
          <w:p>
            <w:pPr>
              <w:spacing w:after="0"/>
              <w:rPr>
                <w:sz w:val="15"/>
                <w:szCs w:val="15"/>
                <w:color w:val="auto"/>
              </w:rPr>
            </w:pPr>
          </w:p>
        </w:tc>
        <w:tc>
          <w:tcPr>
            <w:tcW w:w="40" w:type="dxa"/>
            <w:vAlign w:val="bottom"/>
            <w:tcBorders>
              <w:top w:val="single" w:sz="8" w:color="D2EEF5"/>
            </w:tcBorders>
            <w:shd w:val="clear" w:color="auto" w:fill="D2EEF5"/>
          </w:tcPr>
          <w:p>
            <w:pPr>
              <w:spacing w:after="0"/>
              <w:rPr>
                <w:sz w:val="15"/>
                <w:szCs w:val="15"/>
                <w:color w:val="auto"/>
              </w:rPr>
            </w:pPr>
          </w:p>
        </w:tc>
        <w:tc>
          <w:tcPr>
            <w:tcW w:w="20" w:type="dxa"/>
            <w:vAlign w:val="bottom"/>
            <w:tcBorders>
              <w:top w:val="single" w:sz="8" w:color="D2EEF5"/>
            </w:tcBorders>
            <w:shd w:val="clear" w:color="auto" w:fill="D2EEF5"/>
          </w:tcPr>
          <w:p>
            <w:pPr>
              <w:spacing w:after="0"/>
              <w:rPr>
                <w:sz w:val="15"/>
                <w:szCs w:val="15"/>
                <w:color w:val="auto"/>
              </w:rPr>
            </w:pPr>
          </w:p>
        </w:tc>
        <w:tc>
          <w:tcPr>
            <w:tcW w:w="200" w:type="dxa"/>
            <w:vAlign w:val="bottom"/>
            <w:tcBorders>
              <w:top w:val="single" w:sz="8" w:color="D2EEF5"/>
            </w:tcBorders>
            <w:shd w:val="clear" w:color="auto" w:fill="D2EEF5"/>
          </w:tcPr>
          <w:p>
            <w:pPr>
              <w:spacing w:after="0"/>
              <w:rPr>
                <w:sz w:val="15"/>
                <w:szCs w:val="15"/>
                <w:color w:val="auto"/>
              </w:rPr>
            </w:pPr>
          </w:p>
        </w:tc>
        <w:tc>
          <w:tcPr>
            <w:tcW w:w="1020" w:type="dxa"/>
            <w:vAlign w:val="bottom"/>
            <w:tcBorders>
              <w:top w:val="single" w:sz="8" w:color="D2EEF5"/>
            </w:tcBorders>
            <w:shd w:val="clear" w:color="auto" w:fill="D2EEF5"/>
          </w:tcPr>
          <w:p>
            <w:pPr>
              <w:jc w:val="center"/>
              <w:ind w:right="80"/>
              <w:spacing w:after="0" w:line="173" w:lineRule="exact"/>
              <w:rPr>
                <w:sz w:val="20"/>
                <w:szCs w:val="20"/>
                <w:color w:val="auto"/>
              </w:rPr>
            </w:pPr>
            <w:r>
              <w:rPr>
                <w:rFonts w:ascii="Times New Roman" w:cs="Times New Roman" w:eastAsia="Times New Roman" w:hAnsi="Times New Roman"/>
                <w:sz w:val="20"/>
                <w:szCs w:val="20"/>
                <w:color w:val="auto"/>
              </w:rPr>
              <w:t>Gross</w:t>
            </w:r>
          </w:p>
        </w:tc>
        <w:tc>
          <w:tcPr>
            <w:tcW w:w="20" w:type="dxa"/>
            <w:vAlign w:val="bottom"/>
            <w:tcBorders>
              <w:top w:val="single" w:sz="8" w:color="D2EEF5"/>
            </w:tcBorders>
            <w:shd w:val="clear" w:color="auto" w:fill="D2EEF5"/>
          </w:tcPr>
          <w:p>
            <w:pPr>
              <w:spacing w:after="0"/>
              <w:rPr>
                <w:sz w:val="15"/>
                <w:szCs w:val="15"/>
                <w:color w:val="auto"/>
              </w:rPr>
            </w:pPr>
          </w:p>
        </w:tc>
        <w:tc>
          <w:tcPr>
            <w:tcW w:w="40" w:type="dxa"/>
            <w:vAlign w:val="bottom"/>
            <w:tcBorders>
              <w:top w:val="single" w:sz="8" w:color="D2EEF5"/>
            </w:tcBorders>
            <w:shd w:val="clear" w:color="auto" w:fill="D2EEF5"/>
          </w:tcPr>
          <w:p>
            <w:pPr>
              <w:spacing w:after="0"/>
              <w:rPr>
                <w:sz w:val="15"/>
                <w:szCs w:val="15"/>
                <w:color w:val="auto"/>
              </w:rPr>
            </w:pPr>
          </w:p>
        </w:tc>
        <w:tc>
          <w:tcPr>
            <w:tcW w:w="20" w:type="dxa"/>
            <w:vAlign w:val="bottom"/>
            <w:tcBorders>
              <w:top w:val="single" w:sz="8" w:color="D2EEF5"/>
            </w:tcBorders>
            <w:shd w:val="clear" w:color="auto" w:fill="D2EEF5"/>
          </w:tcPr>
          <w:p>
            <w:pPr>
              <w:spacing w:after="0"/>
              <w:rPr>
                <w:sz w:val="15"/>
                <w:szCs w:val="15"/>
                <w:color w:val="auto"/>
              </w:rPr>
            </w:pPr>
          </w:p>
        </w:tc>
        <w:tc>
          <w:tcPr>
            <w:tcW w:w="60" w:type="dxa"/>
            <w:vAlign w:val="bottom"/>
            <w:tcBorders>
              <w:top w:val="single" w:sz="8" w:color="D2EEF5"/>
            </w:tcBorders>
            <w:shd w:val="clear" w:color="auto" w:fill="D2EEF5"/>
          </w:tcPr>
          <w:p>
            <w:pPr>
              <w:spacing w:after="0"/>
              <w:rPr>
                <w:sz w:val="15"/>
                <w:szCs w:val="15"/>
                <w:color w:val="auto"/>
              </w:rPr>
            </w:pPr>
          </w:p>
        </w:tc>
        <w:tc>
          <w:tcPr>
            <w:tcW w:w="1200" w:type="dxa"/>
            <w:vAlign w:val="bottom"/>
            <w:tcBorders>
              <w:top w:val="single" w:sz="8" w:color="D2EEF5"/>
            </w:tcBorders>
            <w:gridSpan w:val="2"/>
            <w:vMerge w:val="restart"/>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rPr>
              <w:t>Accumulated</w:t>
            </w:r>
          </w:p>
        </w:tc>
        <w:tc>
          <w:tcPr>
            <w:tcW w:w="40" w:type="dxa"/>
            <w:vAlign w:val="bottom"/>
            <w:tcBorders>
              <w:top w:val="single" w:sz="8" w:color="D2EEF5"/>
            </w:tcBorders>
            <w:shd w:val="clear" w:color="auto" w:fill="D2EEF5"/>
          </w:tcPr>
          <w:p>
            <w:pPr>
              <w:spacing w:after="0"/>
              <w:rPr>
                <w:sz w:val="15"/>
                <w:szCs w:val="15"/>
                <w:color w:val="auto"/>
              </w:rPr>
            </w:pPr>
          </w:p>
        </w:tc>
        <w:tc>
          <w:tcPr>
            <w:tcW w:w="60" w:type="dxa"/>
            <w:vAlign w:val="bottom"/>
            <w:tcBorders>
              <w:top w:val="single" w:sz="8" w:color="D2EEF5"/>
            </w:tcBorders>
            <w:shd w:val="clear" w:color="auto" w:fill="D2EEF5"/>
          </w:tcPr>
          <w:p>
            <w:pPr>
              <w:spacing w:after="0"/>
              <w:rPr>
                <w:sz w:val="15"/>
                <w:szCs w:val="15"/>
                <w:color w:val="auto"/>
              </w:rPr>
            </w:pPr>
          </w:p>
        </w:tc>
        <w:tc>
          <w:tcPr>
            <w:tcW w:w="20" w:type="dxa"/>
            <w:vAlign w:val="bottom"/>
            <w:tcBorders>
              <w:top w:val="single" w:sz="8" w:color="D2EEF5"/>
            </w:tcBorders>
            <w:shd w:val="clear" w:color="auto" w:fill="D2EEF5"/>
          </w:tcPr>
          <w:p>
            <w:pPr>
              <w:spacing w:after="0"/>
              <w:rPr>
                <w:sz w:val="15"/>
                <w:szCs w:val="15"/>
                <w:color w:val="auto"/>
              </w:rPr>
            </w:pPr>
          </w:p>
        </w:tc>
        <w:tc>
          <w:tcPr>
            <w:tcW w:w="20" w:type="dxa"/>
            <w:vAlign w:val="bottom"/>
            <w:tcBorders>
              <w:top w:val="single" w:sz="8" w:color="D2EEF5"/>
            </w:tcBorders>
            <w:shd w:val="clear" w:color="auto" w:fill="D2EEF5"/>
          </w:tcPr>
          <w:p>
            <w:pPr>
              <w:spacing w:after="0"/>
              <w:rPr>
                <w:sz w:val="15"/>
                <w:szCs w:val="15"/>
                <w:color w:val="auto"/>
              </w:rPr>
            </w:pPr>
          </w:p>
        </w:tc>
        <w:tc>
          <w:tcPr>
            <w:tcW w:w="160" w:type="dxa"/>
            <w:vAlign w:val="bottom"/>
            <w:tcBorders>
              <w:top w:val="single" w:sz="8" w:color="D2EEF5"/>
            </w:tcBorders>
            <w:shd w:val="clear" w:color="auto" w:fill="D2EEF5"/>
          </w:tcPr>
          <w:p>
            <w:pPr>
              <w:spacing w:after="0"/>
              <w:rPr>
                <w:sz w:val="15"/>
                <w:szCs w:val="15"/>
                <w:color w:val="auto"/>
              </w:rPr>
            </w:pPr>
          </w:p>
        </w:tc>
        <w:tc>
          <w:tcPr>
            <w:tcW w:w="1000" w:type="dxa"/>
            <w:vAlign w:val="bottom"/>
            <w:tcBorders>
              <w:top w:val="single" w:sz="8" w:color="D2EEF5"/>
            </w:tcBorders>
            <w:vMerge w:val="restart"/>
            <w:shd w:val="clear" w:color="auto" w:fill="D2EEF5"/>
          </w:tcPr>
          <w:p>
            <w:pPr>
              <w:jc w:val="right"/>
              <w:ind w:right="80"/>
              <w:spacing w:after="0"/>
              <w:rPr>
                <w:sz w:val="20"/>
                <w:szCs w:val="20"/>
                <w:color w:val="auto"/>
              </w:rPr>
            </w:pPr>
            <w:r>
              <w:rPr>
                <w:rFonts w:ascii="Times New Roman" w:cs="Times New Roman" w:eastAsia="Times New Roman" w:hAnsi="Times New Roman"/>
                <w:sz w:val="20"/>
                <w:szCs w:val="20"/>
                <w:color w:val="auto"/>
              </w:rPr>
              <w:t>Net Book</w:t>
            </w:r>
          </w:p>
        </w:tc>
        <w:tc>
          <w:tcPr>
            <w:tcW w:w="60" w:type="dxa"/>
            <w:vAlign w:val="bottom"/>
            <w:tcBorders>
              <w:top w:val="single" w:sz="8" w:color="D2EEF5"/>
            </w:tcBorders>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0" w:type="dxa"/>
            <w:vAlign w:val="bottom"/>
            <w:shd w:val="clear" w:color="auto" w:fill="D2EEF5"/>
          </w:tcPr>
          <w:p>
            <w:pPr>
              <w:spacing w:after="0"/>
              <w:rPr>
                <w:sz w:val="17"/>
                <w:szCs w:val="17"/>
                <w:color w:val="auto"/>
              </w:rPr>
            </w:pPr>
          </w:p>
        </w:tc>
        <w:tc>
          <w:tcPr>
            <w:tcW w:w="2300" w:type="dxa"/>
            <w:vAlign w:val="bottom"/>
            <w:shd w:val="clear" w:color="auto" w:fill="D2EEF5"/>
          </w:tcPr>
          <w:p>
            <w:pPr>
              <w:spacing w:after="0"/>
              <w:rPr>
                <w:sz w:val="17"/>
                <w:szCs w:val="17"/>
                <w:color w:val="auto"/>
              </w:rPr>
            </w:pPr>
          </w:p>
        </w:tc>
        <w:tc>
          <w:tcPr>
            <w:tcW w:w="40" w:type="dxa"/>
            <w:vAlign w:val="bottom"/>
            <w:shd w:val="clear" w:color="auto" w:fill="D2EEF5"/>
          </w:tcPr>
          <w:p>
            <w:pPr>
              <w:spacing w:after="0"/>
              <w:rPr>
                <w:sz w:val="17"/>
                <w:szCs w:val="17"/>
                <w:color w:val="auto"/>
              </w:rPr>
            </w:pPr>
          </w:p>
        </w:tc>
        <w:tc>
          <w:tcPr>
            <w:tcW w:w="20" w:type="dxa"/>
            <w:vAlign w:val="bottom"/>
            <w:shd w:val="clear" w:color="auto" w:fill="D2EEF5"/>
          </w:tcPr>
          <w:p>
            <w:pPr>
              <w:spacing w:after="0"/>
              <w:rPr>
                <w:sz w:val="17"/>
                <w:szCs w:val="17"/>
                <w:color w:val="auto"/>
              </w:rPr>
            </w:pPr>
          </w:p>
        </w:tc>
        <w:tc>
          <w:tcPr>
            <w:tcW w:w="20" w:type="dxa"/>
            <w:vAlign w:val="bottom"/>
            <w:shd w:val="clear" w:color="auto" w:fill="D2EEF5"/>
          </w:tcPr>
          <w:p>
            <w:pPr>
              <w:spacing w:after="0"/>
              <w:rPr>
                <w:sz w:val="17"/>
                <w:szCs w:val="17"/>
                <w:color w:val="auto"/>
              </w:rPr>
            </w:pPr>
          </w:p>
        </w:tc>
        <w:tc>
          <w:tcPr>
            <w:tcW w:w="220" w:type="dxa"/>
            <w:vAlign w:val="bottom"/>
            <w:shd w:val="clear" w:color="auto" w:fill="D2EEF5"/>
          </w:tcPr>
          <w:p>
            <w:pPr>
              <w:spacing w:after="0"/>
              <w:rPr>
                <w:sz w:val="17"/>
                <w:szCs w:val="17"/>
                <w:color w:val="auto"/>
              </w:rPr>
            </w:pPr>
          </w:p>
        </w:tc>
        <w:tc>
          <w:tcPr>
            <w:tcW w:w="960" w:type="dxa"/>
            <w:vAlign w:val="bottom"/>
            <w:shd w:val="clear" w:color="auto" w:fill="D2EEF5"/>
          </w:tcPr>
          <w:p>
            <w:pPr>
              <w:jc w:val="center"/>
              <w:ind w:right="140"/>
              <w:spacing w:after="0" w:line="198" w:lineRule="exact"/>
              <w:rPr>
                <w:sz w:val="20"/>
                <w:szCs w:val="20"/>
                <w:color w:val="auto"/>
              </w:rPr>
            </w:pPr>
            <w:r>
              <w:rPr>
                <w:rFonts w:ascii="Times New Roman" w:cs="Times New Roman" w:eastAsia="Times New Roman" w:hAnsi="Times New Roman"/>
                <w:sz w:val="20"/>
                <w:szCs w:val="20"/>
                <w:color w:val="auto"/>
              </w:rPr>
              <w:t>Carrying</w:t>
            </w:r>
          </w:p>
        </w:tc>
        <w:tc>
          <w:tcPr>
            <w:tcW w:w="60" w:type="dxa"/>
            <w:vAlign w:val="bottom"/>
            <w:shd w:val="clear" w:color="auto" w:fill="D2EEF5"/>
          </w:tcPr>
          <w:p>
            <w:pPr>
              <w:spacing w:after="0"/>
              <w:rPr>
                <w:sz w:val="17"/>
                <w:szCs w:val="17"/>
                <w:color w:val="auto"/>
              </w:rPr>
            </w:pPr>
          </w:p>
        </w:tc>
        <w:tc>
          <w:tcPr>
            <w:tcW w:w="20" w:type="dxa"/>
            <w:vAlign w:val="bottom"/>
            <w:shd w:val="clear" w:color="auto" w:fill="D2EEF5"/>
          </w:tcPr>
          <w:p>
            <w:pPr>
              <w:spacing w:after="0"/>
              <w:rPr>
                <w:sz w:val="17"/>
                <w:szCs w:val="17"/>
                <w:color w:val="auto"/>
              </w:rPr>
            </w:pPr>
          </w:p>
        </w:tc>
        <w:tc>
          <w:tcPr>
            <w:tcW w:w="40" w:type="dxa"/>
            <w:vAlign w:val="bottom"/>
            <w:shd w:val="clear" w:color="auto" w:fill="D2EEF5"/>
          </w:tcPr>
          <w:p>
            <w:pPr>
              <w:spacing w:after="0"/>
              <w:rPr>
                <w:sz w:val="17"/>
                <w:szCs w:val="17"/>
                <w:color w:val="auto"/>
              </w:rPr>
            </w:pPr>
          </w:p>
        </w:tc>
        <w:tc>
          <w:tcPr>
            <w:tcW w:w="1200" w:type="dxa"/>
            <w:vAlign w:val="bottom"/>
            <w:gridSpan w:val="2"/>
            <w:vMerge w:val="continue"/>
            <w:shd w:val="clear" w:color="auto" w:fill="D2EEF5"/>
          </w:tcPr>
          <w:p>
            <w:pPr>
              <w:spacing w:after="0"/>
              <w:rPr>
                <w:sz w:val="17"/>
                <w:szCs w:val="17"/>
                <w:color w:val="auto"/>
              </w:rPr>
            </w:pPr>
          </w:p>
        </w:tc>
        <w:tc>
          <w:tcPr>
            <w:tcW w:w="60" w:type="dxa"/>
            <w:vAlign w:val="bottom"/>
            <w:shd w:val="clear" w:color="auto" w:fill="D2EEF5"/>
          </w:tcPr>
          <w:p>
            <w:pPr>
              <w:spacing w:after="0"/>
              <w:rPr>
                <w:sz w:val="17"/>
                <w:szCs w:val="17"/>
                <w:color w:val="auto"/>
              </w:rPr>
            </w:pPr>
          </w:p>
        </w:tc>
        <w:tc>
          <w:tcPr>
            <w:tcW w:w="40" w:type="dxa"/>
            <w:vAlign w:val="bottom"/>
            <w:shd w:val="clear" w:color="auto" w:fill="D2EEF5"/>
          </w:tcPr>
          <w:p>
            <w:pPr>
              <w:spacing w:after="0"/>
              <w:rPr>
                <w:sz w:val="17"/>
                <w:szCs w:val="17"/>
                <w:color w:val="auto"/>
              </w:rPr>
            </w:pPr>
          </w:p>
        </w:tc>
        <w:tc>
          <w:tcPr>
            <w:tcW w:w="20" w:type="dxa"/>
            <w:vAlign w:val="bottom"/>
            <w:shd w:val="clear" w:color="auto" w:fill="D2EEF5"/>
          </w:tcPr>
          <w:p>
            <w:pPr>
              <w:spacing w:after="0"/>
              <w:rPr>
                <w:sz w:val="17"/>
                <w:szCs w:val="17"/>
                <w:color w:val="auto"/>
              </w:rPr>
            </w:pPr>
          </w:p>
        </w:tc>
        <w:tc>
          <w:tcPr>
            <w:tcW w:w="40" w:type="dxa"/>
            <w:vAlign w:val="bottom"/>
            <w:shd w:val="clear" w:color="auto" w:fill="D2EEF5"/>
          </w:tcPr>
          <w:p>
            <w:pPr>
              <w:spacing w:after="0"/>
              <w:rPr>
                <w:sz w:val="17"/>
                <w:szCs w:val="17"/>
                <w:color w:val="auto"/>
              </w:rPr>
            </w:pPr>
          </w:p>
        </w:tc>
        <w:tc>
          <w:tcPr>
            <w:tcW w:w="140" w:type="dxa"/>
            <w:vAlign w:val="bottom"/>
            <w:shd w:val="clear" w:color="auto" w:fill="D2EEF5"/>
          </w:tcPr>
          <w:p>
            <w:pPr>
              <w:spacing w:after="0"/>
              <w:rPr>
                <w:sz w:val="17"/>
                <w:szCs w:val="17"/>
                <w:color w:val="auto"/>
              </w:rPr>
            </w:pPr>
          </w:p>
        </w:tc>
        <w:tc>
          <w:tcPr>
            <w:tcW w:w="1000" w:type="dxa"/>
            <w:vAlign w:val="bottom"/>
            <w:vMerge w:val="continue"/>
            <w:shd w:val="clear" w:color="auto" w:fill="D2EEF5"/>
          </w:tcPr>
          <w:p>
            <w:pPr>
              <w:spacing w:after="0"/>
              <w:rPr>
                <w:sz w:val="17"/>
                <w:szCs w:val="17"/>
                <w:color w:val="auto"/>
              </w:rPr>
            </w:pPr>
          </w:p>
        </w:tc>
        <w:tc>
          <w:tcPr>
            <w:tcW w:w="60" w:type="dxa"/>
            <w:vAlign w:val="bottom"/>
            <w:shd w:val="clear" w:color="auto" w:fill="D2EEF5"/>
          </w:tcPr>
          <w:p>
            <w:pPr>
              <w:spacing w:after="0"/>
              <w:rPr>
                <w:sz w:val="17"/>
                <w:szCs w:val="17"/>
                <w:color w:val="auto"/>
              </w:rPr>
            </w:pPr>
          </w:p>
        </w:tc>
        <w:tc>
          <w:tcPr>
            <w:tcW w:w="40" w:type="dxa"/>
            <w:vAlign w:val="bottom"/>
            <w:shd w:val="clear" w:color="auto" w:fill="D2EEF5"/>
          </w:tcPr>
          <w:p>
            <w:pPr>
              <w:spacing w:after="0"/>
              <w:rPr>
                <w:sz w:val="17"/>
                <w:szCs w:val="17"/>
                <w:color w:val="auto"/>
              </w:rPr>
            </w:pPr>
          </w:p>
        </w:tc>
        <w:tc>
          <w:tcPr>
            <w:tcW w:w="20" w:type="dxa"/>
            <w:vAlign w:val="bottom"/>
            <w:shd w:val="clear" w:color="auto" w:fill="D2EEF5"/>
          </w:tcPr>
          <w:p>
            <w:pPr>
              <w:spacing w:after="0"/>
              <w:rPr>
                <w:sz w:val="17"/>
                <w:szCs w:val="17"/>
                <w:color w:val="auto"/>
              </w:rPr>
            </w:pPr>
          </w:p>
        </w:tc>
        <w:tc>
          <w:tcPr>
            <w:tcW w:w="200" w:type="dxa"/>
            <w:vAlign w:val="bottom"/>
            <w:shd w:val="clear" w:color="auto" w:fill="D2EEF5"/>
          </w:tcPr>
          <w:p>
            <w:pPr>
              <w:spacing w:after="0"/>
              <w:rPr>
                <w:sz w:val="17"/>
                <w:szCs w:val="17"/>
                <w:color w:val="auto"/>
              </w:rPr>
            </w:pPr>
          </w:p>
        </w:tc>
        <w:tc>
          <w:tcPr>
            <w:tcW w:w="1020" w:type="dxa"/>
            <w:vAlign w:val="bottom"/>
            <w:shd w:val="clear" w:color="auto" w:fill="D2EEF5"/>
          </w:tcPr>
          <w:p>
            <w:pPr>
              <w:jc w:val="center"/>
              <w:ind w:right="80"/>
              <w:spacing w:after="0" w:line="198" w:lineRule="exact"/>
              <w:rPr>
                <w:sz w:val="20"/>
                <w:szCs w:val="20"/>
                <w:color w:val="auto"/>
              </w:rPr>
            </w:pPr>
            <w:r>
              <w:rPr>
                <w:rFonts w:ascii="Times New Roman" w:cs="Times New Roman" w:eastAsia="Times New Roman" w:hAnsi="Times New Roman"/>
                <w:sz w:val="20"/>
                <w:szCs w:val="20"/>
                <w:color w:val="auto"/>
              </w:rPr>
              <w:t>Carrying</w:t>
            </w:r>
          </w:p>
        </w:tc>
        <w:tc>
          <w:tcPr>
            <w:tcW w:w="20" w:type="dxa"/>
            <w:vAlign w:val="bottom"/>
            <w:shd w:val="clear" w:color="auto" w:fill="D2EEF5"/>
          </w:tcPr>
          <w:p>
            <w:pPr>
              <w:spacing w:after="0"/>
              <w:rPr>
                <w:sz w:val="17"/>
                <w:szCs w:val="17"/>
                <w:color w:val="auto"/>
              </w:rPr>
            </w:pPr>
          </w:p>
        </w:tc>
        <w:tc>
          <w:tcPr>
            <w:tcW w:w="40" w:type="dxa"/>
            <w:vAlign w:val="bottom"/>
            <w:shd w:val="clear" w:color="auto" w:fill="D2EEF5"/>
          </w:tcPr>
          <w:p>
            <w:pPr>
              <w:spacing w:after="0"/>
              <w:rPr>
                <w:sz w:val="17"/>
                <w:szCs w:val="17"/>
                <w:color w:val="auto"/>
              </w:rPr>
            </w:pPr>
          </w:p>
        </w:tc>
        <w:tc>
          <w:tcPr>
            <w:tcW w:w="20" w:type="dxa"/>
            <w:vAlign w:val="bottom"/>
            <w:shd w:val="clear" w:color="auto" w:fill="D2EEF5"/>
          </w:tcPr>
          <w:p>
            <w:pPr>
              <w:spacing w:after="0"/>
              <w:rPr>
                <w:sz w:val="17"/>
                <w:szCs w:val="17"/>
                <w:color w:val="auto"/>
              </w:rPr>
            </w:pPr>
          </w:p>
        </w:tc>
        <w:tc>
          <w:tcPr>
            <w:tcW w:w="60" w:type="dxa"/>
            <w:vAlign w:val="bottom"/>
            <w:shd w:val="clear" w:color="auto" w:fill="D2EEF5"/>
          </w:tcPr>
          <w:p>
            <w:pPr>
              <w:spacing w:after="0"/>
              <w:rPr>
                <w:sz w:val="17"/>
                <w:szCs w:val="17"/>
                <w:color w:val="auto"/>
              </w:rPr>
            </w:pPr>
          </w:p>
        </w:tc>
        <w:tc>
          <w:tcPr>
            <w:tcW w:w="1200" w:type="dxa"/>
            <w:vAlign w:val="bottom"/>
            <w:gridSpan w:val="2"/>
            <w:vMerge w:val="continue"/>
            <w:shd w:val="clear" w:color="auto" w:fill="D2EEF5"/>
          </w:tcPr>
          <w:p>
            <w:pPr>
              <w:spacing w:after="0"/>
              <w:rPr>
                <w:sz w:val="17"/>
                <w:szCs w:val="17"/>
                <w:color w:val="auto"/>
              </w:rPr>
            </w:pPr>
          </w:p>
        </w:tc>
        <w:tc>
          <w:tcPr>
            <w:tcW w:w="40" w:type="dxa"/>
            <w:vAlign w:val="bottom"/>
            <w:shd w:val="clear" w:color="auto" w:fill="D2EEF5"/>
          </w:tcPr>
          <w:p>
            <w:pPr>
              <w:spacing w:after="0"/>
              <w:rPr>
                <w:sz w:val="17"/>
                <w:szCs w:val="17"/>
                <w:color w:val="auto"/>
              </w:rPr>
            </w:pPr>
          </w:p>
        </w:tc>
        <w:tc>
          <w:tcPr>
            <w:tcW w:w="60" w:type="dxa"/>
            <w:vAlign w:val="bottom"/>
            <w:shd w:val="clear" w:color="auto" w:fill="D2EEF5"/>
          </w:tcPr>
          <w:p>
            <w:pPr>
              <w:spacing w:after="0"/>
              <w:rPr>
                <w:sz w:val="17"/>
                <w:szCs w:val="17"/>
                <w:color w:val="auto"/>
              </w:rPr>
            </w:pPr>
          </w:p>
        </w:tc>
        <w:tc>
          <w:tcPr>
            <w:tcW w:w="20" w:type="dxa"/>
            <w:vAlign w:val="bottom"/>
            <w:shd w:val="clear" w:color="auto" w:fill="D2EEF5"/>
          </w:tcPr>
          <w:p>
            <w:pPr>
              <w:spacing w:after="0"/>
              <w:rPr>
                <w:sz w:val="17"/>
                <w:szCs w:val="17"/>
                <w:color w:val="auto"/>
              </w:rPr>
            </w:pPr>
          </w:p>
        </w:tc>
        <w:tc>
          <w:tcPr>
            <w:tcW w:w="20" w:type="dxa"/>
            <w:vAlign w:val="bottom"/>
            <w:shd w:val="clear" w:color="auto" w:fill="D2EEF5"/>
          </w:tcPr>
          <w:p>
            <w:pPr>
              <w:spacing w:after="0"/>
              <w:rPr>
                <w:sz w:val="17"/>
                <w:szCs w:val="17"/>
                <w:color w:val="auto"/>
              </w:rPr>
            </w:pPr>
          </w:p>
        </w:tc>
        <w:tc>
          <w:tcPr>
            <w:tcW w:w="160" w:type="dxa"/>
            <w:vAlign w:val="bottom"/>
            <w:shd w:val="clear" w:color="auto" w:fill="D2EEF5"/>
          </w:tcPr>
          <w:p>
            <w:pPr>
              <w:spacing w:after="0"/>
              <w:rPr>
                <w:sz w:val="17"/>
                <w:szCs w:val="17"/>
                <w:color w:val="auto"/>
              </w:rPr>
            </w:pPr>
          </w:p>
        </w:tc>
        <w:tc>
          <w:tcPr>
            <w:tcW w:w="1000" w:type="dxa"/>
            <w:vAlign w:val="bottom"/>
            <w:vMerge w:val="continue"/>
            <w:shd w:val="clear" w:color="auto" w:fill="D2EEF5"/>
          </w:tcPr>
          <w:p>
            <w:pPr>
              <w:spacing w:after="0"/>
              <w:rPr>
                <w:sz w:val="17"/>
                <w:szCs w:val="17"/>
                <w:color w:val="auto"/>
              </w:rPr>
            </w:pPr>
          </w:p>
        </w:tc>
        <w:tc>
          <w:tcPr>
            <w:tcW w:w="60" w:type="dxa"/>
            <w:vAlign w:val="bottom"/>
            <w:shd w:val="clear" w:color="auto" w:fill="D2EEF5"/>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40" w:type="dxa"/>
            <w:vAlign w:val="bottom"/>
            <w:tcBorders>
              <w:bottom w:val="single" w:sz="8" w:color="D2EEF5"/>
            </w:tcBorders>
            <w:shd w:val="clear" w:color="auto" w:fill="D2EEF5"/>
          </w:tcPr>
          <w:p>
            <w:pPr>
              <w:spacing w:after="0"/>
              <w:rPr>
                <w:sz w:val="24"/>
                <w:szCs w:val="24"/>
                <w:color w:val="auto"/>
              </w:rPr>
            </w:pPr>
          </w:p>
        </w:tc>
        <w:tc>
          <w:tcPr>
            <w:tcW w:w="2300" w:type="dxa"/>
            <w:vAlign w:val="bottom"/>
            <w:tcBorders>
              <w:bottom w:val="single" w:sz="8" w:color="D2EEF5"/>
            </w:tcBorders>
            <w:shd w:val="clear" w:color="auto" w:fill="D2EEF5"/>
          </w:tcPr>
          <w:p>
            <w:pPr>
              <w:spacing w:after="0"/>
              <w:rPr>
                <w:sz w:val="24"/>
                <w:szCs w:val="24"/>
                <w:color w:val="auto"/>
              </w:rPr>
            </w:pPr>
          </w:p>
        </w:tc>
        <w:tc>
          <w:tcPr>
            <w:tcW w:w="40" w:type="dxa"/>
            <w:vAlign w:val="bottom"/>
            <w:tcBorders>
              <w:bottom w:val="single" w:sz="8" w:color="D2EEF5"/>
            </w:tcBorders>
            <w:shd w:val="clear" w:color="auto" w:fill="D2EEF5"/>
          </w:tcPr>
          <w:p>
            <w:pPr>
              <w:spacing w:after="0"/>
              <w:rPr>
                <w:sz w:val="24"/>
                <w:szCs w:val="24"/>
                <w:color w:val="auto"/>
              </w:rPr>
            </w:pPr>
          </w:p>
        </w:tc>
        <w:tc>
          <w:tcPr>
            <w:tcW w:w="20" w:type="dxa"/>
            <w:vAlign w:val="bottom"/>
            <w:tcBorders>
              <w:bottom w:val="single" w:sz="8" w:color="D2EEF5"/>
            </w:tcBorders>
            <w:shd w:val="clear" w:color="auto" w:fill="D2EEF5"/>
          </w:tcPr>
          <w:p>
            <w:pPr>
              <w:spacing w:after="0"/>
              <w:rPr>
                <w:sz w:val="24"/>
                <w:szCs w:val="24"/>
                <w:color w:val="auto"/>
              </w:rPr>
            </w:pPr>
          </w:p>
        </w:tc>
        <w:tc>
          <w:tcPr>
            <w:tcW w:w="20" w:type="dxa"/>
            <w:vAlign w:val="bottom"/>
            <w:tcBorders>
              <w:bottom w:val="single" w:sz="8" w:color="auto"/>
            </w:tcBorders>
            <w:shd w:val="clear" w:color="auto" w:fill="D2EEF5"/>
          </w:tcPr>
          <w:p>
            <w:pPr>
              <w:spacing w:after="0"/>
              <w:rPr>
                <w:sz w:val="24"/>
                <w:szCs w:val="24"/>
                <w:color w:val="auto"/>
              </w:rPr>
            </w:pPr>
          </w:p>
        </w:tc>
        <w:tc>
          <w:tcPr>
            <w:tcW w:w="220" w:type="dxa"/>
            <w:vAlign w:val="bottom"/>
            <w:tcBorders>
              <w:bottom w:val="single" w:sz="8" w:color="auto"/>
            </w:tcBorders>
            <w:shd w:val="clear" w:color="auto" w:fill="D2EEF5"/>
          </w:tcPr>
          <w:p>
            <w:pPr>
              <w:spacing w:after="0"/>
              <w:rPr>
                <w:sz w:val="24"/>
                <w:szCs w:val="24"/>
                <w:color w:val="auto"/>
              </w:rPr>
            </w:pPr>
          </w:p>
        </w:tc>
        <w:tc>
          <w:tcPr>
            <w:tcW w:w="960" w:type="dxa"/>
            <w:vAlign w:val="bottom"/>
            <w:tcBorders>
              <w:bottom w:val="single" w:sz="8" w:color="auto"/>
            </w:tcBorders>
            <w:shd w:val="clear" w:color="auto" w:fill="D2EEF5"/>
          </w:tcPr>
          <w:p>
            <w:pPr>
              <w:jc w:val="center"/>
              <w:ind w:right="160"/>
              <w:spacing w:after="0"/>
              <w:rPr>
                <w:sz w:val="20"/>
                <w:szCs w:val="20"/>
                <w:color w:val="auto"/>
              </w:rPr>
            </w:pPr>
            <w:r>
              <w:rPr>
                <w:rFonts w:ascii="Times New Roman" w:cs="Times New Roman" w:eastAsia="Times New Roman" w:hAnsi="Times New Roman"/>
                <w:sz w:val="20"/>
                <w:szCs w:val="20"/>
                <w:color w:val="auto"/>
              </w:rPr>
              <w:t>Amount</w:t>
            </w:r>
          </w:p>
        </w:tc>
        <w:tc>
          <w:tcPr>
            <w:tcW w:w="6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40" w:type="dxa"/>
            <w:vAlign w:val="bottom"/>
            <w:tcBorders>
              <w:bottom w:val="single" w:sz="8" w:color="auto"/>
            </w:tcBorders>
            <w:shd w:val="clear" w:color="auto" w:fill="D2EEF5"/>
          </w:tcPr>
          <w:p>
            <w:pPr>
              <w:spacing w:after="0"/>
              <w:rPr>
                <w:sz w:val="24"/>
                <w:szCs w:val="24"/>
                <w:color w:val="auto"/>
              </w:rPr>
            </w:pPr>
          </w:p>
        </w:tc>
        <w:tc>
          <w:tcPr>
            <w:tcW w:w="1200" w:type="dxa"/>
            <w:vAlign w:val="bottom"/>
            <w:tcBorders>
              <w:bottom w:val="single" w:sz="8" w:color="auto"/>
            </w:tcBorders>
            <w:gridSpan w:val="2"/>
            <w:shd w:val="clear" w:color="auto" w:fill="D2EEF5"/>
          </w:tcPr>
          <w:p>
            <w:pPr>
              <w:jc w:val="center"/>
              <w:spacing w:after="0"/>
              <w:rPr>
                <w:sz w:val="20"/>
                <w:szCs w:val="20"/>
                <w:color w:val="auto"/>
              </w:rPr>
            </w:pPr>
            <w:r>
              <w:rPr>
                <w:rFonts w:ascii="Times New Roman" w:cs="Times New Roman" w:eastAsia="Times New Roman" w:hAnsi="Times New Roman"/>
                <w:sz w:val="20"/>
                <w:szCs w:val="20"/>
                <w:color w:val="auto"/>
              </w:rPr>
              <w:t>Amortization</w:t>
            </w:r>
          </w:p>
        </w:tc>
        <w:tc>
          <w:tcPr>
            <w:tcW w:w="60" w:type="dxa"/>
            <w:vAlign w:val="bottom"/>
            <w:tcBorders>
              <w:bottom w:val="single" w:sz="8" w:color="auto"/>
            </w:tcBorders>
            <w:shd w:val="clear" w:color="auto" w:fill="D2EEF5"/>
          </w:tcPr>
          <w:p>
            <w:pPr>
              <w:spacing w:after="0"/>
              <w:rPr>
                <w:sz w:val="24"/>
                <w:szCs w:val="24"/>
                <w:color w:val="auto"/>
              </w:rPr>
            </w:pPr>
          </w:p>
        </w:tc>
        <w:tc>
          <w:tcPr>
            <w:tcW w:w="4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40" w:type="dxa"/>
            <w:vAlign w:val="bottom"/>
            <w:tcBorders>
              <w:bottom w:val="single" w:sz="8" w:color="auto"/>
            </w:tcBorders>
            <w:shd w:val="clear" w:color="auto" w:fill="D2EEF5"/>
          </w:tcPr>
          <w:p>
            <w:pPr>
              <w:spacing w:after="0"/>
              <w:rPr>
                <w:sz w:val="24"/>
                <w:szCs w:val="24"/>
                <w:color w:val="auto"/>
              </w:rPr>
            </w:pPr>
          </w:p>
        </w:tc>
        <w:tc>
          <w:tcPr>
            <w:tcW w:w="140" w:type="dxa"/>
            <w:vAlign w:val="bottom"/>
            <w:tcBorders>
              <w:bottom w:val="single" w:sz="8" w:color="auto"/>
            </w:tcBorders>
            <w:shd w:val="clear" w:color="auto" w:fill="D2EEF5"/>
          </w:tcPr>
          <w:p>
            <w:pPr>
              <w:spacing w:after="0"/>
              <w:rPr>
                <w:sz w:val="24"/>
                <w:szCs w:val="24"/>
                <w:color w:val="auto"/>
              </w:rPr>
            </w:pPr>
          </w:p>
        </w:tc>
        <w:tc>
          <w:tcPr>
            <w:tcW w:w="1000" w:type="dxa"/>
            <w:vAlign w:val="bottom"/>
            <w:tcBorders>
              <w:bottom w:val="single" w:sz="8" w:color="auto"/>
            </w:tcBorders>
            <w:shd w:val="clear" w:color="auto" w:fill="D2EEF5"/>
          </w:tcPr>
          <w:p>
            <w:pPr>
              <w:jc w:val="right"/>
              <w:ind w:right="240"/>
              <w:spacing w:after="0"/>
              <w:rPr>
                <w:sz w:val="20"/>
                <w:szCs w:val="20"/>
                <w:color w:val="auto"/>
              </w:rPr>
            </w:pPr>
            <w:r>
              <w:rPr>
                <w:rFonts w:ascii="Times New Roman" w:cs="Times New Roman" w:eastAsia="Times New Roman" w:hAnsi="Times New Roman"/>
                <w:sz w:val="20"/>
                <w:szCs w:val="20"/>
                <w:color w:val="auto"/>
              </w:rPr>
              <w:t>Value</w:t>
            </w:r>
          </w:p>
        </w:tc>
        <w:tc>
          <w:tcPr>
            <w:tcW w:w="60" w:type="dxa"/>
            <w:vAlign w:val="bottom"/>
            <w:tcBorders>
              <w:bottom w:val="single" w:sz="8" w:color="auto"/>
            </w:tcBorders>
            <w:shd w:val="clear" w:color="auto" w:fill="D2EEF5"/>
          </w:tcPr>
          <w:p>
            <w:pPr>
              <w:spacing w:after="0"/>
              <w:rPr>
                <w:sz w:val="24"/>
                <w:szCs w:val="24"/>
                <w:color w:val="auto"/>
              </w:rPr>
            </w:pPr>
          </w:p>
        </w:tc>
        <w:tc>
          <w:tcPr>
            <w:tcW w:w="4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200" w:type="dxa"/>
            <w:vAlign w:val="bottom"/>
            <w:tcBorders>
              <w:bottom w:val="single" w:sz="8" w:color="auto"/>
            </w:tcBorders>
            <w:shd w:val="clear" w:color="auto" w:fill="D2EEF5"/>
          </w:tcPr>
          <w:p>
            <w:pPr>
              <w:spacing w:after="0"/>
              <w:rPr>
                <w:sz w:val="24"/>
                <w:szCs w:val="24"/>
                <w:color w:val="auto"/>
              </w:rPr>
            </w:pPr>
          </w:p>
        </w:tc>
        <w:tc>
          <w:tcPr>
            <w:tcW w:w="1020" w:type="dxa"/>
            <w:vAlign w:val="bottom"/>
            <w:tcBorders>
              <w:bottom w:val="single" w:sz="8" w:color="auto"/>
            </w:tcBorders>
            <w:shd w:val="clear" w:color="auto" w:fill="D2EEF5"/>
          </w:tcPr>
          <w:p>
            <w:pPr>
              <w:jc w:val="center"/>
              <w:ind w:right="100"/>
              <w:spacing w:after="0"/>
              <w:rPr>
                <w:sz w:val="20"/>
                <w:szCs w:val="20"/>
                <w:color w:val="auto"/>
              </w:rPr>
            </w:pPr>
            <w:r>
              <w:rPr>
                <w:rFonts w:ascii="Times New Roman" w:cs="Times New Roman" w:eastAsia="Times New Roman" w:hAnsi="Times New Roman"/>
                <w:sz w:val="20"/>
                <w:szCs w:val="20"/>
                <w:color w:val="auto"/>
              </w:rPr>
              <w:t>Amount</w:t>
            </w:r>
          </w:p>
        </w:tc>
        <w:tc>
          <w:tcPr>
            <w:tcW w:w="20" w:type="dxa"/>
            <w:vAlign w:val="bottom"/>
            <w:tcBorders>
              <w:bottom w:val="single" w:sz="8" w:color="auto"/>
            </w:tcBorders>
            <w:shd w:val="clear" w:color="auto" w:fill="D2EEF5"/>
          </w:tcPr>
          <w:p>
            <w:pPr>
              <w:spacing w:after="0"/>
              <w:rPr>
                <w:sz w:val="24"/>
                <w:szCs w:val="24"/>
                <w:color w:val="auto"/>
              </w:rPr>
            </w:pPr>
          </w:p>
        </w:tc>
        <w:tc>
          <w:tcPr>
            <w:tcW w:w="4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60" w:type="dxa"/>
            <w:vAlign w:val="bottom"/>
            <w:tcBorders>
              <w:bottom w:val="single" w:sz="8" w:color="auto"/>
            </w:tcBorders>
            <w:shd w:val="clear" w:color="auto" w:fill="D2EEF5"/>
          </w:tcPr>
          <w:p>
            <w:pPr>
              <w:spacing w:after="0"/>
              <w:rPr>
                <w:sz w:val="24"/>
                <w:szCs w:val="24"/>
                <w:color w:val="auto"/>
              </w:rPr>
            </w:pPr>
          </w:p>
        </w:tc>
        <w:tc>
          <w:tcPr>
            <w:tcW w:w="1200" w:type="dxa"/>
            <w:vAlign w:val="bottom"/>
            <w:tcBorders>
              <w:bottom w:val="single" w:sz="8" w:color="auto"/>
            </w:tcBorders>
            <w:gridSpan w:val="2"/>
            <w:shd w:val="clear" w:color="auto" w:fill="D2EEF5"/>
          </w:tcPr>
          <w:p>
            <w:pPr>
              <w:jc w:val="right"/>
              <w:spacing w:after="0"/>
              <w:rPr>
                <w:sz w:val="20"/>
                <w:szCs w:val="20"/>
                <w:color w:val="auto"/>
              </w:rPr>
            </w:pPr>
            <w:r>
              <w:rPr>
                <w:rFonts w:ascii="Times New Roman" w:cs="Times New Roman" w:eastAsia="Times New Roman" w:hAnsi="Times New Roman"/>
                <w:sz w:val="20"/>
                <w:szCs w:val="20"/>
                <w:color w:val="auto"/>
              </w:rPr>
              <w:t>Amortization</w:t>
            </w:r>
          </w:p>
        </w:tc>
        <w:tc>
          <w:tcPr>
            <w:tcW w:w="40" w:type="dxa"/>
            <w:vAlign w:val="bottom"/>
            <w:tcBorders>
              <w:bottom w:val="single" w:sz="8" w:color="auto"/>
            </w:tcBorders>
            <w:shd w:val="clear" w:color="auto" w:fill="D2EEF5"/>
          </w:tcPr>
          <w:p>
            <w:pPr>
              <w:spacing w:after="0"/>
              <w:rPr>
                <w:sz w:val="24"/>
                <w:szCs w:val="24"/>
                <w:color w:val="auto"/>
              </w:rPr>
            </w:pPr>
          </w:p>
        </w:tc>
        <w:tc>
          <w:tcPr>
            <w:tcW w:w="6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20" w:type="dxa"/>
            <w:vAlign w:val="bottom"/>
            <w:tcBorders>
              <w:bottom w:val="single" w:sz="8" w:color="auto"/>
            </w:tcBorders>
            <w:shd w:val="clear" w:color="auto" w:fill="D2EEF5"/>
          </w:tcPr>
          <w:p>
            <w:pPr>
              <w:spacing w:after="0"/>
              <w:rPr>
                <w:sz w:val="24"/>
                <w:szCs w:val="24"/>
                <w:color w:val="auto"/>
              </w:rPr>
            </w:pPr>
          </w:p>
        </w:tc>
        <w:tc>
          <w:tcPr>
            <w:tcW w:w="160" w:type="dxa"/>
            <w:vAlign w:val="bottom"/>
            <w:tcBorders>
              <w:bottom w:val="single" w:sz="8" w:color="auto"/>
            </w:tcBorders>
            <w:shd w:val="clear" w:color="auto" w:fill="D2EEF5"/>
          </w:tcPr>
          <w:p>
            <w:pPr>
              <w:spacing w:after="0"/>
              <w:rPr>
                <w:sz w:val="24"/>
                <w:szCs w:val="24"/>
                <w:color w:val="auto"/>
              </w:rPr>
            </w:pPr>
          </w:p>
        </w:tc>
        <w:tc>
          <w:tcPr>
            <w:tcW w:w="1000" w:type="dxa"/>
            <w:vAlign w:val="bottom"/>
            <w:tcBorders>
              <w:bottom w:val="single" w:sz="8" w:color="auto"/>
            </w:tcBorders>
            <w:shd w:val="clear" w:color="auto" w:fill="D2EEF5"/>
          </w:tcPr>
          <w:p>
            <w:pPr>
              <w:jc w:val="right"/>
              <w:ind w:right="240"/>
              <w:spacing w:after="0"/>
              <w:rPr>
                <w:sz w:val="20"/>
                <w:szCs w:val="20"/>
                <w:color w:val="auto"/>
              </w:rPr>
            </w:pPr>
            <w:r>
              <w:rPr>
                <w:rFonts w:ascii="Times New Roman" w:cs="Times New Roman" w:eastAsia="Times New Roman" w:hAnsi="Times New Roman"/>
                <w:sz w:val="20"/>
                <w:szCs w:val="20"/>
                <w:color w:val="auto"/>
              </w:rPr>
              <w:t>Value</w:t>
            </w:r>
          </w:p>
        </w:tc>
        <w:tc>
          <w:tcPr>
            <w:tcW w:w="60" w:type="dxa"/>
            <w:vAlign w:val="bottom"/>
            <w:tcBorders>
              <w:bottom w:val="single" w:sz="8" w:color="auto"/>
            </w:tcBorders>
            <w:shd w:val="clear" w:color="auto" w:fill="D2EEF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w w:val="99"/>
              </w:rPr>
              <w:t>Finite-lived intangible assets:</w:t>
            </w: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0" w:type="dxa"/>
            <w:vAlign w:val="bottom"/>
            <w:vMerge w:val="continue"/>
          </w:tcPr>
          <w:p>
            <w:pPr>
              <w:spacing w:after="0"/>
              <w:rPr>
                <w:sz w:val="18"/>
                <w:szCs w:val="18"/>
                <w:color w:val="auto"/>
              </w:rPr>
            </w:pPr>
          </w:p>
        </w:tc>
        <w:tc>
          <w:tcPr>
            <w:tcW w:w="23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40" w:type="dxa"/>
            <w:vAlign w:val="bottom"/>
            <w:shd w:val="clear" w:color="auto" w:fill="D2EEF5"/>
          </w:tcPr>
          <w:p>
            <w:pPr>
              <w:spacing w:after="0"/>
              <w:rPr>
                <w:sz w:val="24"/>
                <w:szCs w:val="24"/>
                <w:color w:val="auto"/>
              </w:rPr>
            </w:pPr>
          </w:p>
        </w:tc>
        <w:tc>
          <w:tcPr>
            <w:tcW w:w="2300" w:type="dxa"/>
            <w:vAlign w:val="bottom"/>
            <w:shd w:val="clear" w:color="auto" w:fill="D2EEF5"/>
          </w:tcPr>
          <w:p>
            <w:pPr>
              <w:ind w:left="140"/>
              <w:spacing w:after="0"/>
              <w:rPr>
                <w:sz w:val="20"/>
                <w:szCs w:val="20"/>
                <w:color w:val="auto"/>
              </w:rPr>
            </w:pPr>
            <w:r>
              <w:rPr>
                <w:rFonts w:ascii="Times New Roman" w:cs="Times New Roman" w:eastAsia="Times New Roman" w:hAnsi="Times New Roman"/>
                <w:sz w:val="20"/>
                <w:szCs w:val="20"/>
                <w:color w:val="auto"/>
              </w:rPr>
              <w:t>Computer software</w:t>
            </w:r>
          </w:p>
        </w:tc>
        <w:tc>
          <w:tcPr>
            <w:tcW w:w="4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2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580" w:type="dxa"/>
            <w:vAlign w:val="bottom"/>
            <w:gridSpan w:val="2"/>
            <w:shd w:val="clear" w:color="auto" w:fill="D2EEF5"/>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w:t>
            </w:r>
          </w:p>
        </w:tc>
        <w:tc>
          <w:tcPr>
            <w:tcW w:w="720" w:type="dxa"/>
            <w:vAlign w:val="bottom"/>
            <w:gridSpan w:val="2"/>
            <w:shd w:val="clear" w:color="auto" w:fill="D2EEF5"/>
          </w:tcPr>
          <w:p>
            <w:pPr>
              <w:ind w:left="440"/>
              <w:spacing w:after="0"/>
              <w:rPr>
                <w:sz w:val="20"/>
                <w:szCs w:val="20"/>
                <w:color w:val="auto"/>
              </w:rPr>
            </w:pPr>
            <w:r>
              <w:rPr>
                <w:rFonts w:ascii="Times New Roman" w:cs="Times New Roman" w:eastAsia="Times New Roman" w:hAnsi="Times New Roman"/>
                <w:sz w:val="20"/>
                <w:szCs w:val="20"/>
                <w:b w:val="1"/>
                <w:bCs w:val="1"/>
                <w:color w:val="auto"/>
              </w:rPr>
              <w:t>—</w:t>
            </w:r>
          </w:p>
        </w:tc>
        <w:tc>
          <w:tcPr>
            <w:tcW w:w="4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40" w:type="dxa"/>
            <w:vAlign w:val="bottom"/>
            <w:shd w:val="clear" w:color="auto" w:fill="D2EEF5"/>
          </w:tcPr>
          <w:p>
            <w:pPr>
              <w:spacing w:after="0"/>
              <w:rPr>
                <w:sz w:val="24"/>
                <w:szCs w:val="24"/>
                <w:color w:val="auto"/>
              </w:rPr>
            </w:pPr>
          </w:p>
        </w:tc>
        <w:tc>
          <w:tcPr>
            <w:tcW w:w="1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0" w:type="dxa"/>
            <w:vAlign w:val="bottom"/>
            <w:gridSpan w:val="2"/>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2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8,982</w:t>
            </w:r>
          </w:p>
        </w:tc>
        <w:tc>
          <w:tcPr>
            <w:tcW w:w="60" w:type="dxa"/>
            <w:vAlign w:val="bottom"/>
            <w:gridSpan w:val="2"/>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340" w:type="dxa"/>
            <w:vAlign w:val="bottom"/>
            <w:gridSpan w:val="2"/>
            <w:shd w:val="clear" w:color="auto" w:fill="D2EEF5"/>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960" w:type="dxa"/>
            <w:vAlign w:val="bottom"/>
            <w:gridSpan w:val="2"/>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(8,625)</w:t>
            </w:r>
          </w:p>
        </w:tc>
        <w:tc>
          <w:tcPr>
            <w:tcW w:w="6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1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357</w:t>
            </w:r>
          </w:p>
        </w:tc>
        <w:tc>
          <w:tcPr>
            <w:tcW w:w="60" w:type="dxa"/>
            <w:vAlign w:val="bottom"/>
            <w:shd w:val="clear" w:color="auto" w:fill="D2EEF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0" w:type="dxa"/>
            <w:vAlign w:val="bottom"/>
            <w:tcBorders>
              <w:bottom w:val="single" w:sz="8" w:color="D2EEF5"/>
            </w:tcBorders>
          </w:tcPr>
          <w:p>
            <w:pPr>
              <w:spacing w:after="0"/>
              <w:rPr>
                <w:sz w:val="24"/>
                <w:szCs w:val="24"/>
                <w:color w:val="auto"/>
              </w:rPr>
            </w:pPr>
          </w:p>
        </w:tc>
        <w:tc>
          <w:tcPr>
            <w:tcW w:w="2380" w:type="dxa"/>
            <w:vAlign w:val="bottom"/>
            <w:tcBorders>
              <w:bottom w:val="single" w:sz="8" w:color="D2EEF5"/>
            </w:tcBorders>
            <w:gridSpan w:val="4"/>
          </w:tcPr>
          <w:p>
            <w:pPr>
              <w:ind w:left="140"/>
              <w:spacing w:after="0"/>
              <w:rPr>
                <w:sz w:val="20"/>
                <w:szCs w:val="20"/>
                <w:color w:val="auto"/>
              </w:rPr>
            </w:pPr>
            <w:r>
              <w:rPr>
                <w:rFonts w:ascii="Times New Roman" w:cs="Times New Roman" w:eastAsia="Times New Roman" w:hAnsi="Times New Roman"/>
                <w:sz w:val="20"/>
                <w:szCs w:val="20"/>
                <w:color w:val="auto"/>
              </w:rPr>
              <w:t>Customer relationships</w:t>
            </w:r>
          </w:p>
        </w:tc>
        <w:tc>
          <w:tcPr>
            <w:tcW w:w="220" w:type="dxa"/>
            <w:vAlign w:val="bottom"/>
            <w:tcBorders>
              <w:bottom w:val="single" w:sz="8" w:color="D2EEF5"/>
            </w:tcBorders>
          </w:tcPr>
          <w:p>
            <w:pPr>
              <w:spacing w:after="0"/>
              <w:rPr>
                <w:sz w:val="24"/>
                <w:szCs w:val="24"/>
                <w:color w:val="auto"/>
              </w:rPr>
            </w:pPr>
          </w:p>
        </w:tc>
        <w:tc>
          <w:tcPr>
            <w:tcW w:w="960" w:type="dxa"/>
            <w:vAlign w:val="bottom"/>
            <w:tcBorders>
              <w:bottom w:val="single" w:sz="8" w:color="D2EEF5"/>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Borders>
              <w:bottom w:val="single" w:sz="8" w:color="D2EEF5"/>
            </w:tcBorders>
          </w:tcPr>
          <w:p>
            <w:pPr>
              <w:spacing w:after="0"/>
              <w:rPr>
                <w:sz w:val="24"/>
                <w:szCs w:val="24"/>
                <w:color w:val="auto"/>
              </w:rPr>
            </w:pPr>
          </w:p>
        </w:tc>
        <w:tc>
          <w:tcPr>
            <w:tcW w:w="20" w:type="dxa"/>
            <w:vAlign w:val="bottom"/>
            <w:tcBorders>
              <w:bottom w:val="single" w:sz="8" w:color="D2EEF5"/>
            </w:tcBorders>
          </w:tcPr>
          <w:p>
            <w:pPr>
              <w:spacing w:after="0"/>
              <w:rPr>
                <w:sz w:val="24"/>
                <w:szCs w:val="24"/>
                <w:color w:val="auto"/>
              </w:rPr>
            </w:pPr>
          </w:p>
        </w:tc>
        <w:tc>
          <w:tcPr>
            <w:tcW w:w="40" w:type="dxa"/>
            <w:vAlign w:val="bottom"/>
            <w:tcBorders>
              <w:bottom w:val="single" w:sz="8" w:color="D2EEF5"/>
            </w:tcBorders>
          </w:tcPr>
          <w:p>
            <w:pPr>
              <w:spacing w:after="0"/>
              <w:rPr>
                <w:sz w:val="24"/>
                <w:szCs w:val="24"/>
                <w:color w:val="auto"/>
              </w:rPr>
            </w:pPr>
          </w:p>
        </w:tc>
        <w:tc>
          <w:tcPr>
            <w:tcW w:w="540" w:type="dxa"/>
            <w:vAlign w:val="bottom"/>
            <w:tcBorders>
              <w:bottom w:val="single" w:sz="8" w:color="D2EEF5"/>
            </w:tcBorders>
          </w:tcPr>
          <w:p>
            <w:pPr>
              <w:spacing w:after="0"/>
              <w:rPr>
                <w:sz w:val="24"/>
                <w:szCs w:val="24"/>
                <w:color w:val="auto"/>
              </w:rPr>
            </w:pPr>
          </w:p>
        </w:tc>
        <w:tc>
          <w:tcPr>
            <w:tcW w:w="820" w:type="dxa"/>
            <w:vAlign w:val="bottom"/>
            <w:tcBorders>
              <w:bottom w:val="single" w:sz="8" w:color="D2EEF5"/>
            </w:tcBorders>
            <w:gridSpan w:val="5"/>
          </w:tcPr>
          <w:p>
            <w:pPr>
              <w:ind w:left="440"/>
              <w:spacing w:after="0"/>
              <w:rPr>
                <w:sz w:val="20"/>
                <w:szCs w:val="20"/>
                <w:color w:val="auto"/>
              </w:rPr>
            </w:pPr>
            <w:r>
              <w:rPr>
                <w:rFonts w:ascii="Times New Roman" w:cs="Times New Roman" w:eastAsia="Times New Roman" w:hAnsi="Times New Roman"/>
                <w:sz w:val="20"/>
                <w:szCs w:val="20"/>
                <w:b w:val="1"/>
                <w:bCs w:val="1"/>
                <w:color w:val="auto"/>
              </w:rPr>
              <w:t>—</w:t>
            </w:r>
          </w:p>
        </w:tc>
        <w:tc>
          <w:tcPr>
            <w:tcW w:w="140" w:type="dxa"/>
            <w:vAlign w:val="bottom"/>
            <w:tcBorders>
              <w:bottom w:val="single" w:sz="8" w:color="D2EEF5"/>
            </w:tcBorders>
          </w:tcPr>
          <w:p>
            <w:pPr>
              <w:spacing w:after="0"/>
              <w:rPr>
                <w:sz w:val="24"/>
                <w:szCs w:val="24"/>
                <w:color w:val="auto"/>
              </w:rPr>
            </w:pPr>
          </w:p>
        </w:tc>
        <w:tc>
          <w:tcPr>
            <w:tcW w:w="1000" w:type="dxa"/>
            <w:vAlign w:val="bottom"/>
            <w:tcBorders>
              <w:bottom w:val="single" w:sz="8" w:color="D2EEF5"/>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Borders>
              <w:bottom w:val="single" w:sz="8" w:color="D2EEF5"/>
            </w:tcBorders>
          </w:tcPr>
          <w:p>
            <w:pPr>
              <w:spacing w:after="0"/>
              <w:rPr>
                <w:sz w:val="24"/>
                <w:szCs w:val="24"/>
                <w:color w:val="auto"/>
              </w:rPr>
            </w:pPr>
          </w:p>
        </w:tc>
        <w:tc>
          <w:tcPr>
            <w:tcW w:w="40" w:type="dxa"/>
            <w:vAlign w:val="bottom"/>
            <w:tcBorders>
              <w:bottom w:val="single" w:sz="8" w:color="D2EEF5"/>
            </w:tcBorders>
          </w:tcPr>
          <w:p>
            <w:pPr>
              <w:spacing w:after="0"/>
              <w:rPr>
                <w:sz w:val="24"/>
                <w:szCs w:val="24"/>
                <w:color w:val="auto"/>
              </w:rPr>
            </w:pPr>
          </w:p>
        </w:tc>
        <w:tc>
          <w:tcPr>
            <w:tcW w:w="20" w:type="dxa"/>
            <w:vAlign w:val="bottom"/>
            <w:tcBorders>
              <w:bottom w:val="single" w:sz="8" w:color="D2EEF5"/>
            </w:tcBorders>
          </w:tcPr>
          <w:p>
            <w:pPr>
              <w:spacing w:after="0"/>
              <w:rPr>
                <w:sz w:val="24"/>
                <w:szCs w:val="24"/>
                <w:color w:val="auto"/>
              </w:rPr>
            </w:pPr>
          </w:p>
        </w:tc>
        <w:tc>
          <w:tcPr>
            <w:tcW w:w="200" w:type="dxa"/>
            <w:vAlign w:val="bottom"/>
            <w:tcBorders>
              <w:bottom w:val="single" w:sz="8" w:color="D2EEF5"/>
            </w:tcBorders>
          </w:tcPr>
          <w:p>
            <w:pPr>
              <w:spacing w:after="0"/>
              <w:rPr>
                <w:sz w:val="24"/>
                <w:szCs w:val="24"/>
                <w:color w:val="auto"/>
              </w:rPr>
            </w:pPr>
          </w:p>
        </w:tc>
        <w:tc>
          <w:tcPr>
            <w:tcW w:w="1020" w:type="dxa"/>
            <w:vAlign w:val="bottom"/>
            <w:tcBorders>
              <w:bottom w:val="single" w:sz="8" w:color="D2EEF5"/>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99,806</w:t>
            </w:r>
          </w:p>
        </w:tc>
        <w:tc>
          <w:tcPr>
            <w:tcW w:w="20" w:type="dxa"/>
            <w:vAlign w:val="bottom"/>
            <w:tcBorders>
              <w:bottom w:val="single" w:sz="8" w:color="D2EEF5"/>
            </w:tcBorders>
          </w:tcPr>
          <w:p>
            <w:pPr>
              <w:spacing w:after="0"/>
              <w:rPr>
                <w:sz w:val="24"/>
                <w:szCs w:val="24"/>
                <w:color w:val="auto"/>
              </w:rPr>
            </w:pPr>
          </w:p>
        </w:tc>
        <w:tc>
          <w:tcPr>
            <w:tcW w:w="40" w:type="dxa"/>
            <w:vAlign w:val="bottom"/>
            <w:tcBorders>
              <w:bottom w:val="single" w:sz="8" w:color="D2EEF5"/>
            </w:tcBorders>
          </w:tcPr>
          <w:p>
            <w:pPr>
              <w:spacing w:after="0"/>
              <w:rPr>
                <w:sz w:val="24"/>
                <w:szCs w:val="24"/>
                <w:color w:val="auto"/>
              </w:rPr>
            </w:pPr>
          </w:p>
        </w:tc>
        <w:tc>
          <w:tcPr>
            <w:tcW w:w="20" w:type="dxa"/>
            <w:vAlign w:val="bottom"/>
            <w:tcBorders>
              <w:bottom w:val="single" w:sz="8" w:color="D2EEF5"/>
            </w:tcBorders>
          </w:tcPr>
          <w:p>
            <w:pPr>
              <w:spacing w:after="0"/>
              <w:rPr>
                <w:sz w:val="24"/>
                <w:szCs w:val="24"/>
                <w:color w:val="auto"/>
              </w:rPr>
            </w:pPr>
          </w:p>
        </w:tc>
        <w:tc>
          <w:tcPr>
            <w:tcW w:w="60" w:type="dxa"/>
            <w:vAlign w:val="bottom"/>
            <w:tcBorders>
              <w:bottom w:val="single" w:sz="8" w:color="D2EEF5"/>
            </w:tcBorders>
          </w:tcPr>
          <w:p>
            <w:pPr>
              <w:spacing w:after="0"/>
              <w:rPr>
                <w:sz w:val="24"/>
                <w:szCs w:val="24"/>
                <w:color w:val="auto"/>
              </w:rPr>
            </w:pPr>
          </w:p>
        </w:tc>
        <w:tc>
          <w:tcPr>
            <w:tcW w:w="280" w:type="dxa"/>
            <w:vAlign w:val="bottom"/>
            <w:tcBorders>
              <w:bottom w:val="single" w:sz="8" w:color="D2EEF5"/>
            </w:tcBorders>
          </w:tcPr>
          <w:p>
            <w:pPr>
              <w:spacing w:after="0"/>
              <w:rPr>
                <w:sz w:val="24"/>
                <w:szCs w:val="24"/>
                <w:color w:val="auto"/>
              </w:rPr>
            </w:pPr>
          </w:p>
        </w:tc>
        <w:tc>
          <w:tcPr>
            <w:tcW w:w="960" w:type="dxa"/>
            <w:vAlign w:val="bottom"/>
            <w:tcBorders>
              <w:bottom w:val="single" w:sz="8" w:color="D2EEF5"/>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(39,230)</w:t>
            </w:r>
          </w:p>
        </w:tc>
        <w:tc>
          <w:tcPr>
            <w:tcW w:w="60" w:type="dxa"/>
            <w:vAlign w:val="bottom"/>
            <w:tcBorders>
              <w:bottom w:val="single" w:sz="8" w:color="D2EEF5"/>
            </w:tcBorders>
          </w:tcPr>
          <w:p>
            <w:pPr>
              <w:spacing w:after="0"/>
              <w:rPr>
                <w:sz w:val="24"/>
                <w:szCs w:val="24"/>
                <w:color w:val="auto"/>
              </w:rPr>
            </w:pPr>
          </w:p>
        </w:tc>
        <w:tc>
          <w:tcPr>
            <w:tcW w:w="20" w:type="dxa"/>
            <w:vAlign w:val="bottom"/>
            <w:tcBorders>
              <w:bottom w:val="single" w:sz="8" w:color="D2EEF5"/>
            </w:tcBorders>
          </w:tcPr>
          <w:p>
            <w:pPr>
              <w:spacing w:after="0"/>
              <w:rPr>
                <w:sz w:val="24"/>
                <w:szCs w:val="24"/>
                <w:color w:val="auto"/>
              </w:rPr>
            </w:pPr>
          </w:p>
        </w:tc>
        <w:tc>
          <w:tcPr>
            <w:tcW w:w="20" w:type="dxa"/>
            <w:vAlign w:val="bottom"/>
            <w:tcBorders>
              <w:bottom w:val="single" w:sz="8" w:color="D2EEF5"/>
            </w:tcBorders>
          </w:tcPr>
          <w:p>
            <w:pPr>
              <w:spacing w:after="0"/>
              <w:rPr>
                <w:sz w:val="24"/>
                <w:szCs w:val="24"/>
                <w:color w:val="auto"/>
              </w:rPr>
            </w:pPr>
          </w:p>
        </w:tc>
        <w:tc>
          <w:tcPr>
            <w:tcW w:w="160" w:type="dxa"/>
            <w:vAlign w:val="bottom"/>
            <w:tcBorders>
              <w:bottom w:val="single" w:sz="8" w:color="D2EEF5"/>
            </w:tcBorders>
          </w:tcPr>
          <w:p>
            <w:pPr>
              <w:spacing w:after="0"/>
              <w:rPr>
                <w:sz w:val="24"/>
                <w:szCs w:val="24"/>
                <w:color w:val="auto"/>
              </w:rPr>
            </w:pPr>
          </w:p>
        </w:tc>
        <w:tc>
          <w:tcPr>
            <w:tcW w:w="1000" w:type="dxa"/>
            <w:vAlign w:val="bottom"/>
            <w:tcBorders>
              <w:bottom w:val="single" w:sz="8" w:color="D2EEF5"/>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60,576</w:t>
            </w:r>
          </w:p>
        </w:tc>
        <w:tc>
          <w:tcPr>
            <w:tcW w:w="60" w:type="dxa"/>
            <w:vAlign w:val="bottom"/>
            <w:tcBorders>
              <w:bottom w:val="single" w:sz="8" w:color="D2EEF5"/>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0" w:type="dxa"/>
            <w:vAlign w:val="bottom"/>
            <w:shd w:val="clear" w:color="auto" w:fill="D2EEF5"/>
          </w:tcPr>
          <w:p>
            <w:pPr>
              <w:spacing w:after="0"/>
              <w:rPr>
                <w:sz w:val="14"/>
                <w:szCs w:val="14"/>
                <w:color w:val="auto"/>
              </w:rPr>
            </w:pPr>
          </w:p>
        </w:tc>
        <w:tc>
          <w:tcPr>
            <w:tcW w:w="2360" w:type="dxa"/>
            <w:vAlign w:val="bottom"/>
            <w:gridSpan w:val="3"/>
            <w:shd w:val="clear" w:color="auto" w:fill="D2EEF5"/>
          </w:tcPr>
          <w:p>
            <w:pPr>
              <w:ind w:left="140"/>
              <w:spacing w:after="0" w:line="171" w:lineRule="exact"/>
              <w:rPr>
                <w:sz w:val="20"/>
                <w:szCs w:val="20"/>
                <w:color w:val="auto"/>
              </w:rPr>
            </w:pPr>
            <w:r>
              <w:rPr>
                <w:rFonts w:ascii="Times New Roman" w:cs="Times New Roman" w:eastAsia="Times New Roman" w:hAnsi="Times New Roman"/>
                <w:sz w:val="19"/>
                <w:szCs w:val="19"/>
                <w:color w:val="auto"/>
              </w:rPr>
              <w:t>Technology, formulations</w:t>
            </w:r>
          </w:p>
        </w:tc>
        <w:tc>
          <w:tcPr>
            <w:tcW w:w="20" w:type="dxa"/>
            <w:vAlign w:val="bottom"/>
            <w:shd w:val="clear" w:color="auto" w:fill="D2EEF5"/>
          </w:tcPr>
          <w:p>
            <w:pPr>
              <w:spacing w:after="0"/>
              <w:rPr>
                <w:sz w:val="14"/>
                <w:szCs w:val="14"/>
                <w:color w:val="auto"/>
              </w:rPr>
            </w:pPr>
          </w:p>
        </w:tc>
        <w:tc>
          <w:tcPr>
            <w:tcW w:w="220" w:type="dxa"/>
            <w:vAlign w:val="bottom"/>
            <w:shd w:val="clear" w:color="auto" w:fill="D2EEF5"/>
          </w:tcPr>
          <w:p>
            <w:pPr>
              <w:spacing w:after="0"/>
              <w:rPr>
                <w:sz w:val="14"/>
                <w:szCs w:val="14"/>
                <w:color w:val="auto"/>
              </w:rPr>
            </w:pPr>
          </w:p>
        </w:tc>
        <w:tc>
          <w:tcPr>
            <w:tcW w:w="960" w:type="dxa"/>
            <w:vAlign w:val="bottom"/>
            <w:vMerge w:val="restart"/>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shd w:val="clear" w:color="auto" w:fill="D2EEF5"/>
          </w:tcPr>
          <w:p>
            <w:pPr>
              <w:spacing w:after="0"/>
              <w:rPr>
                <w:sz w:val="14"/>
                <w:szCs w:val="14"/>
                <w:color w:val="auto"/>
              </w:rPr>
            </w:pPr>
          </w:p>
        </w:tc>
        <w:tc>
          <w:tcPr>
            <w:tcW w:w="20" w:type="dxa"/>
            <w:vAlign w:val="bottom"/>
            <w:shd w:val="clear" w:color="auto" w:fill="D2EEF5"/>
          </w:tcPr>
          <w:p>
            <w:pPr>
              <w:spacing w:after="0"/>
              <w:rPr>
                <w:sz w:val="14"/>
                <w:szCs w:val="14"/>
                <w:color w:val="auto"/>
              </w:rPr>
            </w:pPr>
          </w:p>
        </w:tc>
        <w:tc>
          <w:tcPr>
            <w:tcW w:w="40" w:type="dxa"/>
            <w:vAlign w:val="bottom"/>
            <w:shd w:val="clear" w:color="auto" w:fill="D2EEF5"/>
          </w:tcPr>
          <w:p>
            <w:pPr>
              <w:spacing w:after="0"/>
              <w:rPr>
                <w:sz w:val="14"/>
                <w:szCs w:val="14"/>
                <w:color w:val="auto"/>
              </w:rPr>
            </w:pPr>
          </w:p>
        </w:tc>
        <w:tc>
          <w:tcPr>
            <w:tcW w:w="540" w:type="dxa"/>
            <w:vAlign w:val="bottom"/>
            <w:shd w:val="clear" w:color="auto" w:fill="D2EEF5"/>
          </w:tcPr>
          <w:p>
            <w:pPr>
              <w:spacing w:after="0"/>
              <w:rPr>
                <w:sz w:val="14"/>
                <w:szCs w:val="14"/>
                <w:color w:val="auto"/>
              </w:rPr>
            </w:pPr>
          </w:p>
        </w:tc>
        <w:tc>
          <w:tcPr>
            <w:tcW w:w="720" w:type="dxa"/>
            <w:vAlign w:val="bottom"/>
            <w:gridSpan w:val="2"/>
            <w:vMerge w:val="restart"/>
            <w:shd w:val="clear" w:color="auto" w:fill="D2EEF5"/>
          </w:tcPr>
          <w:p>
            <w:pPr>
              <w:ind w:left="440"/>
              <w:spacing w:after="0"/>
              <w:rPr>
                <w:sz w:val="20"/>
                <w:szCs w:val="20"/>
                <w:color w:val="auto"/>
              </w:rPr>
            </w:pPr>
            <w:r>
              <w:rPr>
                <w:rFonts w:ascii="Times New Roman" w:cs="Times New Roman" w:eastAsia="Times New Roman" w:hAnsi="Times New Roman"/>
                <w:sz w:val="20"/>
                <w:szCs w:val="20"/>
                <w:b w:val="1"/>
                <w:bCs w:val="1"/>
                <w:color w:val="auto"/>
              </w:rPr>
              <w:t>—</w:t>
            </w:r>
          </w:p>
        </w:tc>
        <w:tc>
          <w:tcPr>
            <w:tcW w:w="40" w:type="dxa"/>
            <w:vAlign w:val="bottom"/>
            <w:shd w:val="clear" w:color="auto" w:fill="D2EEF5"/>
          </w:tcPr>
          <w:p>
            <w:pPr>
              <w:spacing w:after="0"/>
              <w:rPr>
                <w:sz w:val="14"/>
                <w:szCs w:val="14"/>
                <w:color w:val="auto"/>
              </w:rPr>
            </w:pPr>
          </w:p>
        </w:tc>
        <w:tc>
          <w:tcPr>
            <w:tcW w:w="20" w:type="dxa"/>
            <w:vAlign w:val="bottom"/>
            <w:shd w:val="clear" w:color="auto" w:fill="D2EEF5"/>
          </w:tcPr>
          <w:p>
            <w:pPr>
              <w:spacing w:after="0"/>
              <w:rPr>
                <w:sz w:val="14"/>
                <w:szCs w:val="14"/>
                <w:color w:val="auto"/>
              </w:rPr>
            </w:pPr>
          </w:p>
        </w:tc>
        <w:tc>
          <w:tcPr>
            <w:tcW w:w="40" w:type="dxa"/>
            <w:vAlign w:val="bottom"/>
            <w:shd w:val="clear" w:color="auto" w:fill="D2EEF5"/>
          </w:tcPr>
          <w:p>
            <w:pPr>
              <w:spacing w:after="0"/>
              <w:rPr>
                <w:sz w:val="14"/>
                <w:szCs w:val="14"/>
                <w:color w:val="auto"/>
              </w:rPr>
            </w:pPr>
          </w:p>
        </w:tc>
        <w:tc>
          <w:tcPr>
            <w:tcW w:w="140" w:type="dxa"/>
            <w:vAlign w:val="bottom"/>
            <w:shd w:val="clear" w:color="auto" w:fill="D2EEF5"/>
          </w:tcPr>
          <w:p>
            <w:pPr>
              <w:spacing w:after="0"/>
              <w:rPr>
                <w:sz w:val="14"/>
                <w:szCs w:val="14"/>
                <w:color w:val="auto"/>
              </w:rPr>
            </w:pPr>
          </w:p>
        </w:tc>
        <w:tc>
          <w:tcPr>
            <w:tcW w:w="1000" w:type="dxa"/>
            <w:vAlign w:val="bottom"/>
            <w:vMerge w:val="restart"/>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shd w:val="clear" w:color="auto" w:fill="D2EEF5"/>
          </w:tcPr>
          <w:p>
            <w:pPr>
              <w:spacing w:after="0"/>
              <w:rPr>
                <w:sz w:val="14"/>
                <w:szCs w:val="14"/>
                <w:color w:val="auto"/>
              </w:rPr>
            </w:pPr>
          </w:p>
        </w:tc>
        <w:tc>
          <w:tcPr>
            <w:tcW w:w="40" w:type="dxa"/>
            <w:vAlign w:val="bottom"/>
            <w:shd w:val="clear" w:color="auto" w:fill="D2EEF5"/>
          </w:tcPr>
          <w:p>
            <w:pPr>
              <w:spacing w:after="0"/>
              <w:rPr>
                <w:sz w:val="14"/>
                <w:szCs w:val="14"/>
                <w:color w:val="auto"/>
              </w:rPr>
            </w:pPr>
          </w:p>
        </w:tc>
        <w:tc>
          <w:tcPr>
            <w:tcW w:w="20" w:type="dxa"/>
            <w:vAlign w:val="bottom"/>
            <w:shd w:val="clear" w:color="auto" w:fill="D2EEF5"/>
          </w:tcPr>
          <w:p>
            <w:pPr>
              <w:spacing w:after="0"/>
              <w:rPr>
                <w:sz w:val="14"/>
                <w:szCs w:val="14"/>
                <w:color w:val="auto"/>
              </w:rPr>
            </w:pPr>
          </w:p>
        </w:tc>
        <w:tc>
          <w:tcPr>
            <w:tcW w:w="200" w:type="dxa"/>
            <w:vAlign w:val="bottom"/>
            <w:shd w:val="clear" w:color="auto" w:fill="D2EEF5"/>
          </w:tcPr>
          <w:p>
            <w:pPr>
              <w:spacing w:after="0"/>
              <w:rPr>
                <w:sz w:val="14"/>
                <w:szCs w:val="14"/>
                <w:color w:val="auto"/>
              </w:rPr>
            </w:pPr>
          </w:p>
        </w:tc>
        <w:tc>
          <w:tcPr>
            <w:tcW w:w="1020" w:type="dxa"/>
            <w:vAlign w:val="bottom"/>
            <w:vMerge w:val="restart"/>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110,381</w:t>
            </w:r>
          </w:p>
        </w:tc>
        <w:tc>
          <w:tcPr>
            <w:tcW w:w="20" w:type="dxa"/>
            <w:vAlign w:val="bottom"/>
            <w:shd w:val="clear" w:color="auto" w:fill="D2EEF5"/>
          </w:tcPr>
          <w:p>
            <w:pPr>
              <w:spacing w:after="0"/>
              <w:rPr>
                <w:sz w:val="14"/>
                <w:szCs w:val="14"/>
                <w:color w:val="auto"/>
              </w:rPr>
            </w:pPr>
          </w:p>
        </w:tc>
        <w:tc>
          <w:tcPr>
            <w:tcW w:w="40" w:type="dxa"/>
            <w:vAlign w:val="bottom"/>
            <w:shd w:val="clear" w:color="auto" w:fill="D2EEF5"/>
          </w:tcPr>
          <w:p>
            <w:pPr>
              <w:spacing w:after="0"/>
              <w:rPr>
                <w:sz w:val="14"/>
                <w:szCs w:val="14"/>
                <w:color w:val="auto"/>
              </w:rPr>
            </w:pPr>
          </w:p>
        </w:tc>
        <w:tc>
          <w:tcPr>
            <w:tcW w:w="20" w:type="dxa"/>
            <w:vAlign w:val="bottom"/>
            <w:shd w:val="clear" w:color="auto" w:fill="D2EEF5"/>
          </w:tcPr>
          <w:p>
            <w:pPr>
              <w:spacing w:after="0"/>
              <w:rPr>
                <w:sz w:val="14"/>
                <w:szCs w:val="14"/>
                <w:color w:val="auto"/>
              </w:rPr>
            </w:pPr>
          </w:p>
        </w:tc>
        <w:tc>
          <w:tcPr>
            <w:tcW w:w="60" w:type="dxa"/>
            <w:vAlign w:val="bottom"/>
            <w:shd w:val="clear" w:color="auto" w:fill="D2EEF5"/>
          </w:tcPr>
          <w:p>
            <w:pPr>
              <w:spacing w:after="0"/>
              <w:rPr>
                <w:sz w:val="14"/>
                <w:szCs w:val="14"/>
                <w:color w:val="auto"/>
              </w:rPr>
            </w:pPr>
          </w:p>
        </w:tc>
        <w:tc>
          <w:tcPr>
            <w:tcW w:w="280" w:type="dxa"/>
            <w:vAlign w:val="bottom"/>
            <w:shd w:val="clear" w:color="auto" w:fill="D2EEF5"/>
          </w:tcPr>
          <w:p>
            <w:pPr>
              <w:spacing w:after="0"/>
              <w:rPr>
                <w:sz w:val="14"/>
                <w:szCs w:val="14"/>
                <w:color w:val="auto"/>
              </w:rPr>
            </w:pPr>
          </w:p>
        </w:tc>
        <w:tc>
          <w:tcPr>
            <w:tcW w:w="960" w:type="dxa"/>
            <w:vAlign w:val="bottom"/>
            <w:gridSpan w:val="2"/>
            <w:vMerge w:val="restart"/>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(33,401)</w:t>
            </w:r>
          </w:p>
        </w:tc>
        <w:tc>
          <w:tcPr>
            <w:tcW w:w="60" w:type="dxa"/>
            <w:vAlign w:val="bottom"/>
            <w:shd w:val="clear" w:color="auto" w:fill="D2EEF5"/>
          </w:tcPr>
          <w:p>
            <w:pPr>
              <w:spacing w:after="0"/>
              <w:rPr>
                <w:sz w:val="14"/>
                <w:szCs w:val="14"/>
                <w:color w:val="auto"/>
              </w:rPr>
            </w:pPr>
          </w:p>
        </w:tc>
        <w:tc>
          <w:tcPr>
            <w:tcW w:w="20" w:type="dxa"/>
            <w:vAlign w:val="bottom"/>
            <w:shd w:val="clear" w:color="auto" w:fill="D2EEF5"/>
          </w:tcPr>
          <w:p>
            <w:pPr>
              <w:spacing w:after="0"/>
              <w:rPr>
                <w:sz w:val="14"/>
                <w:szCs w:val="14"/>
                <w:color w:val="auto"/>
              </w:rPr>
            </w:pPr>
          </w:p>
        </w:tc>
        <w:tc>
          <w:tcPr>
            <w:tcW w:w="20" w:type="dxa"/>
            <w:vAlign w:val="bottom"/>
            <w:shd w:val="clear" w:color="auto" w:fill="D2EEF5"/>
          </w:tcPr>
          <w:p>
            <w:pPr>
              <w:spacing w:after="0"/>
              <w:rPr>
                <w:sz w:val="14"/>
                <w:szCs w:val="14"/>
                <w:color w:val="auto"/>
              </w:rPr>
            </w:pPr>
          </w:p>
        </w:tc>
        <w:tc>
          <w:tcPr>
            <w:tcW w:w="160" w:type="dxa"/>
            <w:vAlign w:val="bottom"/>
            <w:shd w:val="clear" w:color="auto" w:fill="D2EEF5"/>
          </w:tcPr>
          <w:p>
            <w:pPr>
              <w:spacing w:after="0"/>
              <w:rPr>
                <w:sz w:val="14"/>
                <w:szCs w:val="14"/>
                <w:color w:val="auto"/>
              </w:rPr>
            </w:pPr>
          </w:p>
        </w:tc>
        <w:tc>
          <w:tcPr>
            <w:tcW w:w="1000" w:type="dxa"/>
            <w:vAlign w:val="bottom"/>
            <w:vMerge w:val="restart"/>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76,980</w:t>
            </w:r>
          </w:p>
        </w:tc>
        <w:tc>
          <w:tcPr>
            <w:tcW w:w="60" w:type="dxa"/>
            <w:vAlign w:val="bottom"/>
            <w:shd w:val="clear" w:color="auto" w:fill="D2EEF5"/>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40" w:type="dxa"/>
            <w:vAlign w:val="bottom"/>
            <w:shd w:val="clear" w:color="auto" w:fill="D2EEF5"/>
          </w:tcPr>
          <w:p>
            <w:pPr>
              <w:spacing w:after="0"/>
              <w:rPr>
                <w:sz w:val="22"/>
                <w:szCs w:val="22"/>
                <w:color w:val="auto"/>
              </w:rPr>
            </w:pPr>
          </w:p>
        </w:tc>
        <w:tc>
          <w:tcPr>
            <w:tcW w:w="2360" w:type="dxa"/>
            <w:vAlign w:val="bottom"/>
            <w:gridSpan w:val="3"/>
            <w:shd w:val="clear" w:color="auto" w:fill="D2EEF5"/>
          </w:tcPr>
          <w:p>
            <w:pPr>
              <w:ind w:left="140"/>
              <w:spacing w:after="0"/>
              <w:rPr>
                <w:sz w:val="20"/>
                <w:szCs w:val="20"/>
                <w:color w:val="auto"/>
              </w:rPr>
            </w:pPr>
            <w:r>
              <w:rPr>
                <w:rFonts w:ascii="Times New Roman" w:cs="Times New Roman" w:eastAsia="Times New Roman" w:hAnsi="Times New Roman"/>
                <w:sz w:val="20"/>
                <w:szCs w:val="20"/>
                <w:color w:val="auto"/>
              </w:rPr>
              <w:t>and recipes</w:t>
            </w:r>
          </w:p>
        </w:tc>
        <w:tc>
          <w:tcPr>
            <w:tcW w:w="20" w:type="dxa"/>
            <w:vAlign w:val="bottom"/>
            <w:shd w:val="clear" w:color="auto" w:fill="D2EEF5"/>
          </w:tcPr>
          <w:p>
            <w:pPr>
              <w:spacing w:after="0"/>
              <w:rPr>
                <w:sz w:val="22"/>
                <w:szCs w:val="22"/>
                <w:color w:val="auto"/>
              </w:rPr>
            </w:pPr>
          </w:p>
        </w:tc>
        <w:tc>
          <w:tcPr>
            <w:tcW w:w="220" w:type="dxa"/>
            <w:vAlign w:val="bottom"/>
            <w:shd w:val="clear" w:color="auto" w:fill="D2EEF5"/>
          </w:tcPr>
          <w:p>
            <w:pPr>
              <w:spacing w:after="0"/>
              <w:rPr>
                <w:sz w:val="22"/>
                <w:szCs w:val="22"/>
                <w:color w:val="auto"/>
              </w:rPr>
            </w:pPr>
          </w:p>
        </w:tc>
        <w:tc>
          <w:tcPr>
            <w:tcW w:w="960" w:type="dxa"/>
            <w:vAlign w:val="bottom"/>
            <w:vMerge w:val="continue"/>
            <w:shd w:val="clear" w:color="auto" w:fill="D2EEF5"/>
          </w:tcPr>
          <w:p>
            <w:pPr>
              <w:spacing w:after="0"/>
              <w:rPr>
                <w:sz w:val="22"/>
                <w:szCs w:val="22"/>
                <w:color w:val="auto"/>
              </w:rPr>
            </w:pPr>
          </w:p>
        </w:tc>
        <w:tc>
          <w:tcPr>
            <w:tcW w:w="60" w:type="dxa"/>
            <w:vAlign w:val="bottom"/>
            <w:shd w:val="clear" w:color="auto" w:fill="D2EEF5"/>
          </w:tcPr>
          <w:p>
            <w:pPr>
              <w:spacing w:after="0"/>
              <w:rPr>
                <w:sz w:val="22"/>
                <w:szCs w:val="22"/>
                <w:color w:val="auto"/>
              </w:rPr>
            </w:pPr>
          </w:p>
        </w:tc>
        <w:tc>
          <w:tcPr>
            <w:tcW w:w="20" w:type="dxa"/>
            <w:vAlign w:val="bottom"/>
            <w:shd w:val="clear" w:color="auto" w:fill="D2EEF5"/>
          </w:tcPr>
          <w:p>
            <w:pPr>
              <w:spacing w:after="0"/>
              <w:rPr>
                <w:sz w:val="22"/>
                <w:szCs w:val="22"/>
                <w:color w:val="auto"/>
              </w:rPr>
            </w:pPr>
          </w:p>
        </w:tc>
        <w:tc>
          <w:tcPr>
            <w:tcW w:w="40" w:type="dxa"/>
            <w:vAlign w:val="bottom"/>
            <w:shd w:val="clear" w:color="auto" w:fill="D2EEF5"/>
          </w:tcPr>
          <w:p>
            <w:pPr>
              <w:spacing w:after="0"/>
              <w:rPr>
                <w:sz w:val="22"/>
                <w:szCs w:val="22"/>
                <w:color w:val="auto"/>
              </w:rPr>
            </w:pPr>
          </w:p>
        </w:tc>
        <w:tc>
          <w:tcPr>
            <w:tcW w:w="540" w:type="dxa"/>
            <w:vAlign w:val="bottom"/>
            <w:shd w:val="clear" w:color="auto" w:fill="D2EEF5"/>
          </w:tcPr>
          <w:p>
            <w:pPr>
              <w:spacing w:after="0"/>
              <w:rPr>
                <w:sz w:val="22"/>
                <w:szCs w:val="22"/>
                <w:color w:val="auto"/>
              </w:rPr>
            </w:pPr>
          </w:p>
        </w:tc>
        <w:tc>
          <w:tcPr>
            <w:tcW w:w="720" w:type="dxa"/>
            <w:vAlign w:val="bottom"/>
            <w:gridSpan w:val="2"/>
            <w:vMerge w:val="continue"/>
            <w:shd w:val="clear" w:color="auto" w:fill="D2EEF5"/>
          </w:tcPr>
          <w:p>
            <w:pPr>
              <w:spacing w:after="0"/>
              <w:rPr>
                <w:sz w:val="22"/>
                <w:szCs w:val="22"/>
                <w:color w:val="auto"/>
              </w:rPr>
            </w:pPr>
          </w:p>
        </w:tc>
        <w:tc>
          <w:tcPr>
            <w:tcW w:w="40" w:type="dxa"/>
            <w:vAlign w:val="bottom"/>
            <w:shd w:val="clear" w:color="auto" w:fill="D2EEF5"/>
          </w:tcPr>
          <w:p>
            <w:pPr>
              <w:spacing w:after="0"/>
              <w:rPr>
                <w:sz w:val="22"/>
                <w:szCs w:val="22"/>
                <w:color w:val="auto"/>
              </w:rPr>
            </w:pPr>
          </w:p>
        </w:tc>
        <w:tc>
          <w:tcPr>
            <w:tcW w:w="20" w:type="dxa"/>
            <w:vAlign w:val="bottom"/>
            <w:shd w:val="clear" w:color="auto" w:fill="D2EEF5"/>
          </w:tcPr>
          <w:p>
            <w:pPr>
              <w:spacing w:after="0"/>
              <w:rPr>
                <w:sz w:val="22"/>
                <w:szCs w:val="22"/>
                <w:color w:val="auto"/>
              </w:rPr>
            </w:pPr>
          </w:p>
        </w:tc>
        <w:tc>
          <w:tcPr>
            <w:tcW w:w="40" w:type="dxa"/>
            <w:vAlign w:val="bottom"/>
            <w:shd w:val="clear" w:color="auto" w:fill="D2EEF5"/>
          </w:tcPr>
          <w:p>
            <w:pPr>
              <w:spacing w:after="0"/>
              <w:rPr>
                <w:sz w:val="22"/>
                <w:szCs w:val="22"/>
                <w:color w:val="auto"/>
              </w:rPr>
            </w:pPr>
          </w:p>
        </w:tc>
        <w:tc>
          <w:tcPr>
            <w:tcW w:w="140" w:type="dxa"/>
            <w:vAlign w:val="bottom"/>
            <w:shd w:val="clear" w:color="auto" w:fill="D2EEF5"/>
          </w:tcPr>
          <w:p>
            <w:pPr>
              <w:spacing w:after="0"/>
              <w:rPr>
                <w:sz w:val="22"/>
                <w:szCs w:val="22"/>
                <w:color w:val="auto"/>
              </w:rPr>
            </w:pPr>
          </w:p>
        </w:tc>
        <w:tc>
          <w:tcPr>
            <w:tcW w:w="1000" w:type="dxa"/>
            <w:vAlign w:val="bottom"/>
            <w:vMerge w:val="continue"/>
            <w:shd w:val="clear" w:color="auto" w:fill="D2EEF5"/>
          </w:tcPr>
          <w:p>
            <w:pPr>
              <w:spacing w:after="0"/>
              <w:rPr>
                <w:sz w:val="22"/>
                <w:szCs w:val="22"/>
                <w:color w:val="auto"/>
              </w:rPr>
            </w:pPr>
          </w:p>
        </w:tc>
        <w:tc>
          <w:tcPr>
            <w:tcW w:w="60" w:type="dxa"/>
            <w:vAlign w:val="bottom"/>
            <w:shd w:val="clear" w:color="auto" w:fill="D2EEF5"/>
          </w:tcPr>
          <w:p>
            <w:pPr>
              <w:spacing w:after="0"/>
              <w:rPr>
                <w:sz w:val="22"/>
                <w:szCs w:val="22"/>
                <w:color w:val="auto"/>
              </w:rPr>
            </w:pPr>
          </w:p>
        </w:tc>
        <w:tc>
          <w:tcPr>
            <w:tcW w:w="40" w:type="dxa"/>
            <w:vAlign w:val="bottom"/>
            <w:shd w:val="clear" w:color="auto" w:fill="D2EEF5"/>
          </w:tcPr>
          <w:p>
            <w:pPr>
              <w:spacing w:after="0"/>
              <w:rPr>
                <w:sz w:val="22"/>
                <w:szCs w:val="22"/>
                <w:color w:val="auto"/>
              </w:rPr>
            </w:pPr>
          </w:p>
        </w:tc>
        <w:tc>
          <w:tcPr>
            <w:tcW w:w="20" w:type="dxa"/>
            <w:vAlign w:val="bottom"/>
            <w:shd w:val="clear" w:color="auto" w:fill="D2EEF5"/>
          </w:tcPr>
          <w:p>
            <w:pPr>
              <w:spacing w:after="0"/>
              <w:rPr>
                <w:sz w:val="22"/>
                <w:szCs w:val="22"/>
                <w:color w:val="auto"/>
              </w:rPr>
            </w:pPr>
          </w:p>
        </w:tc>
        <w:tc>
          <w:tcPr>
            <w:tcW w:w="200" w:type="dxa"/>
            <w:vAlign w:val="bottom"/>
            <w:shd w:val="clear" w:color="auto" w:fill="D2EEF5"/>
          </w:tcPr>
          <w:p>
            <w:pPr>
              <w:spacing w:after="0"/>
              <w:rPr>
                <w:sz w:val="22"/>
                <w:szCs w:val="22"/>
                <w:color w:val="auto"/>
              </w:rPr>
            </w:pPr>
          </w:p>
        </w:tc>
        <w:tc>
          <w:tcPr>
            <w:tcW w:w="1020" w:type="dxa"/>
            <w:vAlign w:val="bottom"/>
            <w:vMerge w:val="continue"/>
            <w:shd w:val="clear" w:color="auto" w:fill="D2EEF5"/>
          </w:tcPr>
          <w:p>
            <w:pPr>
              <w:spacing w:after="0"/>
              <w:rPr>
                <w:sz w:val="22"/>
                <w:szCs w:val="22"/>
                <w:color w:val="auto"/>
              </w:rPr>
            </w:pPr>
          </w:p>
        </w:tc>
        <w:tc>
          <w:tcPr>
            <w:tcW w:w="20" w:type="dxa"/>
            <w:vAlign w:val="bottom"/>
            <w:shd w:val="clear" w:color="auto" w:fill="D2EEF5"/>
          </w:tcPr>
          <w:p>
            <w:pPr>
              <w:spacing w:after="0"/>
              <w:rPr>
                <w:sz w:val="22"/>
                <w:szCs w:val="22"/>
                <w:color w:val="auto"/>
              </w:rPr>
            </w:pPr>
          </w:p>
        </w:tc>
        <w:tc>
          <w:tcPr>
            <w:tcW w:w="40" w:type="dxa"/>
            <w:vAlign w:val="bottom"/>
            <w:shd w:val="clear" w:color="auto" w:fill="D2EEF5"/>
          </w:tcPr>
          <w:p>
            <w:pPr>
              <w:spacing w:after="0"/>
              <w:rPr>
                <w:sz w:val="22"/>
                <w:szCs w:val="22"/>
                <w:color w:val="auto"/>
              </w:rPr>
            </w:pPr>
          </w:p>
        </w:tc>
        <w:tc>
          <w:tcPr>
            <w:tcW w:w="20" w:type="dxa"/>
            <w:vAlign w:val="bottom"/>
            <w:shd w:val="clear" w:color="auto" w:fill="D2EEF5"/>
          </w:tcPr>
          <w:p>
            <w:pPr>
              <w:spacing w:after="0"/>
              <w:rPr>
                <w:sz w:val="22"/>
                <w:szCs w:val="22"/>
                <w:color w:val="auto"/>
              </w:rPr>
            </w:pPr>
          </w:p>
        </w:tc>
        <w:tc>
          <w:tcPr>
            <w:tcW w:w="60" w:type="dxa"/>
            <w:vAlign w:val="bottom"/>
            <w:shd w:val="clear" w:color="auto" w:fill="D2EEF5"/>
          </w:tcPr>
          <w:p>
            <w:pPr>
              <w:spacing w:after="0"/>
              <w:rPr>
                <w:sz w:val="22"/>
                <w:szCs w:val="22"/>
                <w:color w:val="auto"/>
              </w:rPr>
            </w:pPr>
          </w:p>
        </w:tc>
        <w:tc>
          <w:tcPr>
            <w:tcW w:w="280" w:type="dxa"/>
            <w:vAlign w:val="bottom"/>
            <w:shd w:val="clear" w:color="auto" w:fill="D2EEF5"/>
          </w:tcPr>
          <w:p>
            <w:pPr>
              <w:spacing w:after="0"/>
              <w:rPr>
                <w:sz w:val="22"/>
                <w:szCs w:val="22"/>
                <w:color w:val="auto"/>
              </w:rPr>
            </w:pPr>
          </w:p>
        </w:tc>
        <w:tc>
          <w:tcPr>
            <w:tcW w:w="960" w:type="dxa"/>
            <w:vAlign w:val="bottom"/>
            <w:gridSpan w:val="2"/>
            <w:vMerge w:val="continue"/>
            <w:shd w:val="clear" w:color="auto" w:fill="D2EEF5"/>
          </w:tcPr>
          <w:p>
            <w:pPr>
              <w:spacing w:after="0"/>
              <w:rPr>
                <w:sz w:val="22"/>
                <w:szCs w:val="22"/>
                <w:color w:val="auto"/>
              </w:rPr>
            </w:pPr>
          </w:p>
        </w:tc>
        <w:tc>
          <w:tcPr>
            <w:tcW w:w="60" w:type="dxa"/>
            <w:vAlign w:val="bottom"/>
            <w:shd w:val="clear" w:color="auto" w:fill="D2EEF5"/>
          </w:tcPr>
          <w:p>
            <w:pPr>
              <w:spacing w:after="0"/>
              <w:rPr>
                <w:sz w:val="22"/>
                <w:szCs w:val="22"/>
                <w:color w:val="auto"/>
              </w:rPr>
            </w:pPr>
          </w:p>
        </w:tc>
        <w:tc>
          <w:tcPr>
            <w:tcW w:w="20" w:type="dxa"/>
            <w:vAlign w:val="bottom"/>
            <w:shd w:val="clear" w:color="auto" w:fill="D2EEF5"/>
          </w:tcPr>
          <w:p>
            <w:pPr>
              <w:spacing w:after="0"/>
              <w:rPr>
                <w:sz w:val="22"/>
                <w:szCs w:val="22"/>
                <w:color w:val="auto"/>
              </w:rPr>
            </w:pPr>
          </w:p>
        </w:tc>
        <w:tc>
          <w:tcPr>
            <w:tcW w:w="20" w:type="dxa"/>
            <w:vAlign w:val="bottom"/>
            <w:shd w:val="clear" w:color="auto" w:fill="D2EEF5"/>
          </w:tcPr>
          <w:p>
            <w:pPr>
              <w:spacing w:after="0"/>
              <w:rPr>
                <w:sz w:val="22"/>
                <w:szCs w:val="22"/>
                <w:color w:val="auto"/>
              </w:rPr>
            </w:pPr>
          </w:p>
        </w:tc>
        <w:tc>
          <w:tcPr>
            <w:tcW w:w="160" w:type="dxa"/>
            <w:vAlign w:val="bottom"/>
            <w:shd w:val="clear" w:color="auto" w:fill="D2EEF5"/>
          </w:tcPr>
          <w:p>
            <w:pPr>
              <w:spacing w:after="0"/>
              <w:rPr>
                <w:sz w:val="22"/>
                <w:szCs w:val="22"/>
                <w:color w:val="auto"/>
              </w:rPr>
            </w:pPr>
          </w:p>
        </w:tc>
        <w:tc>
          <w:tcPr>
            <w:tcW w:w="1000" w:type="dxa"/>
            <w:vAlign w:val="bottom"/>
            <w:vMerge w:val="continue"/>
            <w:shd w:val="clear" w:color="auto" w:fill="D2EEF5"/>
          </w:tcPr>
          <w:p>
            <w:pPr>
              <w:spacing w:after="0"/>
              <w:rPr>
                <w:sz w:val="22"/>
                <w:szCs w:val="22"/>
                <w:color w:val="auto"/>
              </w:rPr>
            </w:pPr>
          </w:p>
        </w:tc>
        <w:tc>
          <w:tcPr>
            <w:tcW w:w="60" w:type="dxa"/>
            <w:vAlign w:val="bottom"/>
            <w:shd w:val="clear" w:color="auto" w:fill="D2EEF5"/>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380" w:type="dxa"/>
            <w:vAlign w:val="bottom"/>
            <w:gridSpan w:val="4"/>
          </w:tcPr>
          <w:p>
            <w:pPr>
              <w:ind w:left="140"/>
              <w:spacing w:after="0" w:line="208" w:lineRule="exact"/>
              <w:rPr>
                <w:sz w:val="20"/>
                <w:szCs w:val="20"/>
                <w:color w:val="auto"/>
              </w:rPr>
            </w:pPr>
            <w:r>
              <w:rPr>
                <w:rFonts w:ascii="Times New Roman" w:cs="Times New Roman" w:eastAsia="Times New Roman" w:hAnsi="Times New Roman"/>
                <w:sz w:val="20"/>
                <w:szCs w:val="20"/>
                <w:color w:val="auto"/>
              </w:rPr>
              <w:t>Trade names and</w:t>
            </w:r>
          </w:p>
        </w:tc>
        <w:tc>
          <w:tcPr>
            <w:tcW w:w="22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gridSpan w:val="5"/>
            <w:vMerge w:val="restart"/>
          </w:tcPr>
          <w:p>
            <w:pPr>
              <w:ind w:left="440"/>
              <w:spacing w:after="0"/>
              <w:rPr>
                <w:sz w:val="20"/>
                <w:szCs w:val="20"/>
                <w:color w:val="auto"/>
              </w:rPr>
            </w:pPr>
            <w:r>
              <w:rPr>
                <w:rFonts w:ascii="Times New Roman" w:cs="Times New Roman" w:eastAsia="Times New Roman" w:hAnsi="Times New Roman"/>
                <w:sz w:val="20"/>
                <w:szCs w:val="20"/>
                <w:b w:val="1"/>
                <w:bCs w:val="1"/>
                <w:color w:val="auto"/>
              </w:rPr>
              <w:t>—</w:t>
            </w:r>
          </w:p>
        </w:tc>
        <w:tc>
          <w:tcPr>
            <w:tcW w:w="14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131,492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(23,432)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108,060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0" w:type="dxa"/>
            <w:vAlign w:val="bottom"/>
            <w:tcBorders>
              <w:bottom w:val="single" w:sz="8" w:color="D2EEF5"/>
            </w:tcBorders>
          </w:tcPr>
          <w:p>
            <w:pPr>
              <w:spacing w:after="0"/>
              <w:rPr>
                <w:sz w:val="22"/>
                <w:szCs w:val="22"/>
                <w:color w:val="auto"/>
              </w:rPr>
            </w:pPr>
          </w:p>
        </w:tc>
        <w:tc>
          <w:tcPr>
            <w:tcW w:w="2380" w:type="dxa"/>
            <w:vAlign w:val="bottom"/>
            <w:tcBorders>
              <w:bottom w:val="single" w:sz="8" w:color="D2EEF5"/>
            </w:tcBorders>
            <w:gridSpan w:val="4"/>
          </w:tcPr>
          <w:p>
            <w:pPr>
              <w:ind w:left="140"/>
              <w:spacing w:after="0"/>
              <w:rPr>
                <w:sz w:val="20"/>
                <w:szCs w:val="20"/>
                <w:color w:val="auto"/>
              </w:rPr>
            </w:pPr>
            <w:r>
              <w:rPr>
                <w:rFonts w:ascii="Times New Roman" w:cs="Times New Roman" w:eastAsia="Times New Roman" w:hAnsi="Times New Roman"/>
                <w:sz w:val="20"/>
                <w:szCs w:val="20"/>
                <w:color w:val="auto"/>
              </w:rPr>
              <w:t>trademarks</w:t>
            </w:r>
          </w:p>
        </w:tc>
        <w:tc>
          <w:tcPr>
            <w:tcW w:w="220" w:type="dxa"/>
            <w:vAlign w:val="bottom"/>
            <w:tcBorders>
              <w:bottom w:val="single" w:sz="8" w:color="D2EEF5"/>
            </w:tcBorders>
          </w:tcPr>
          <w:p>
            <w:pPr>
              <w:spacing w:after="0"/>
              <w:rPr>
                <w:sz w:val="22"/>
                <w:szCs w:val="22"/>
                <w:color w:val="auto"/>
              </w:rPr>
            </w:pPr>
          </w:p>
        </w:tc>
        <w:tc>
          <w:tcPr>
            <w:tcW w:w="960" w:type="dxa"/>
            <w:vAlign w:val="bottom"/>
            <w:tcBorders>
              <w:bottom w:val="single" w:sz="8" w:color="D2EEF5"/>
            </w:tcBorders>
            <w:vMerge w:val="continue"/>
          </w:tcPr>
          <w:p>
            <w:pPr>
              <w:spacing w:after="0"/>
              <w:rPr>
                <w:sz w:val="22"/>
                <w:szCs w:val="22"/>
                <w:color w:val="auto"/>
              </w:rPr>
            </w:pPr>
          </w:p>
        </w:tc>
        <w:tc>
          <w:tcPr>
            <w:tcW w:w="60" w:type="dxa"/>
            <w:vAlign w:val="bottom"/>
            <w:tcBorders>
              <w:bottom w:val="single" w:sz="8" w:color="D2EEF5"/>
            </w:tcBorders>
          </w:tcPr>
          <w:p>
            <w:pPr>
              <w:spacing w:after="0"/>
              <w:rPr>
                <w:sz w:val="22"/>
                <w:szCs w:val="22"/>
                <w:color w:val="auto"/>
              </w:rPr>
            </w:pPr>
          </w:p>
        </w:tc>
        <w:tc>
          <w:tcPr>
            <w:tcW w:w="20" w:type="dxa"/>
            <w:vAlign w:val="bottom"/>
            <w:tcBorders>
              <w:bottom w:val="single" w:sz="8" w:color="D2EEF5"/>
            </w:tcBorders>
          </w:tcPr>
          <w:p>
            <w:pPr>
              <w:spacing w:after="0"/>
              <w:rPr>
                <w:sz w:val="22"/>
                <w:szCs w:val="22"/>
                <w:color w:val="auto"/>
              </w:rPr>
            </w:pPr>
          </w:p>
        </w:tc>
        <w:tc>
          <w:tcPr>
            <w:tcW w:w="40" w:type="dxa"/>
            <w:vAlign w:val="bottom"/>
            <w:tcBorders>
              <w:bottom w:val="single" w:sz="8" w:color="D2EEF5"/>
            </w:tcBorders>
          </w:tcPr>
          <w:p>
            <w:pPr>
              <w:spacing w:after="0"/>
              <w:rPr>
                <w:sz w:val="22"/>
                <w:szCs w:val="22"/>
                <w:color w:val="auto"/>
              </w:rPr>
            </w:pPr>
          </w:p>
        </w:tc>
        <w:tc>
          <w:tcPr>
            <w:tcW w:w="540" w:type="dxa"/>
            <w:vAlign w:val="bottom"/>
            <w:tcBorders>
              <w:bottom w:val="single" w:sz="8" w:color="D2EEF5"/>
            </w:tcBorders>
          </w:tcPr>
          <w:p>
            <w:pPr>
              <w:spacing w:after="0"/>
              <w:rPr>
                <w:sz w:val="22"/>
                <w:szCs w:val="22"/>
                <w:color w:val="auto"/>
              </w:rPr>
            </w:pPr>
          </w:p>
        </w:tc>
        <w:tc>
          <w:tcPr>
            <w:tcW w:w="820" w:type="dxa"/>
            <w:vAlign w:val="bottom"/>
            <w:tcBorders>
              <w:bottom w:val="single" w:sz="8" w:color="D2EEF5"/>
            </w:tcBorders>
            <w:gridSpan w:val="5"/>
            <w:vMerge w:val="continue"/>
          </w:tcPr>
          <w:p>
            <w:pPr>
              <w:spacing w:after="0"/>
              <w:rPr>
                <w:sz w:val="22"/>
                <w:szCs w:val="22"/>
                <w:color w:val="auto"/>
              </w:rPr>
            </w:pPr>
          </w:p>
        </w:tc>
        <w:tc>
          <w:tcPr>
            <w:tcW w:w="140" w:type="dxa"/>
            <w:vAlign w:val="bottom"/>
            <w:tcBorders>
              <w:bottom w:val="single" w:sz="8" w:color="D2EEF5"/>
            </w:tcBorders>
          </w:tcPr>
          <w:p>
            <w:pPr>
              <w:spacing w:after="0"/>
              <w:rPr>
                <w:sz w:val="22"/>
                <w:szCs w:val="22"/>
                <w:color w:val="auto"/>
              </w:rPr>
            </w:pPr>
          </w:p>
        </w:tc>
        <w:tc>
          <w:tcPr>
            <w:tcW w:w="1000" w:type="dxa"/>
            <w:vAlign w:val="bottom"/>
            <w:tcBorders>
              <w:bottom w:val="single" w:sz="8" w:color="D2EEF5"/>
            </w:tcBorders>
            <w:vMerge w:val="continue"/>
          </w:tcPr>
          <w:p>
            <w:pPr>
              <w:spacing w:after="0"/>
              <w:rPr>
                <w:sz w:val="22"/>
                <w:szCs w:val="22"/>
                <w:color w:val="auto"/>
              </w:rPr>
            </w:pPr>
          </w:p>
        </w:tc>
        <w:tc>
          <w:tcPr>
            <w:tcW w:w="60" w:type="dxa"/>
            <w:vAlign w:val="bottom"/>
            <w:tcBorders>
              <w:bottom w:val="single" w:sz="8" w:color="D2EEF5"/>
            </w:tcBorders>
          </w:tcPr>
          <w:p>
            <w:pPr>
              <w:spacing w:after="0"/>
              <w:rPr>
                <w:sz w:val="22"/>
                <w:szCs w:val="22"/>
                <w:color w:val="auto"/>
              </w:rPr>
            </w:pPr>
          </w:p>
        </w:tc>
        <w:tc>
          <w:tcPr>
            <w:tcW w:w="40" w:type="dxa"/>
            <w:vAlign w:val="bottom"/>
            <w:tcBorders>
              <w:bottom w:val="single" w:sz="8" w:color="D2EEF5"/>
            </w:tcBorders>
          </w:tcPr>
          <w:p>
            <w:pPr>
              <w:spacing w:after="0"/>
              <w:rPr>
                <w:sz w:val="22"/>
                <w:szCs w:val="22"/>
                <w:color w:val="auto"/>
              </w:rPr>
            </w:pPr>
          </w:p>
        </w:tc>
        <w:tc>
          <w:tcPr>
            <w:tcW w:w="20" w:type="dxa"/>
            <w:vAlign w:val="bottom"/>
            <w:tcBorders>
              <w:bottom w:val="single" w:sz="8" w:color="D2EEF5"/>
            </w:tcBorders>
          </w:tcPr>
          <w:p>
            <w:pPr>
              <w:spacing w:after="0"/>
              <w:rPr>
                <w:sz w:val="22"/>
                <w:szCs w:val="22"/>
                <w:color w:val="auto"/>
              </w:rPr>
            </w:pPr>
          </w:p>
        </w:tc>
        <w:tc>
          <w:tcPr>
            <w:tcW w:w="200" w:type="dxa"/>
            <w:vAlign w:val="bottom"/>
            <w:tcBorders>
              <w:bottom w:val="single" w:sz="8" w:color="D2EEF5"/>
            </w:tcBorders>
          </w:tcPr>
          <w:p>
            <w:pPr>
              <w:spacing w:after="0"/>
              <w:rPr>
                <w:sz w:val="22"/>
                <w:szCs w:val="22"/>
                <w:color w:val="auto"/>
              </w:rPr>
            </w:pPr>
          </w:p>
        </w:tc>
        <w:tc>
          <w:tcPr>
            <w:tcW w:w="1020" w:type="dxa"/>
            <w:vAlign w:val="bottom"/>
            <w:tcBorders>
              <w:bottom w:val="single" w:sz="8" w:color="D2EEF5"/>
            </w:tcBorders>
            <w:vMerge w:val="continue"/>
          </w:tcPr>
          <w:p>
            <w:pPr>
              <w:spacing w:after="0"/>
              <w:rPr>
                <w:sz w:val="22"/>
                <w:szCs w:val="22"/>
                <w:color w:val="auto"/>
              </w:rPr>
            </w:pPr>
          </w:p>
        </w:tc>
        <w:tc>
          <w:tcPr>
            <w:tcW w:w="20" w:type="dxa"/>
            <w:vAlign w:val="bottom"/>
            <w:tcBorders>
              <w:bottom w:val="single" w:sz="8" w:color="D2EEF5"/>
            </w:tcBorders>
          </w:tcPr>
          <w:p>
            <w:pPr>
              <w:spacing w:after="0"/>
              <w:rPr>
                <w:sz w:val="22"/>
                <w:szCs w:val="22"/>
                <w:color w:val="auto"/>
              </w:rPr>
            </w:pPr>
          </w:p>
        </w:tc>
        <w:tc>
          <w:tcPr>
            <w:tcW w:w="40" w:type="dxa"/>
            <w:vAlign w:val="bottom"/>
            <w:tcBorders>
              <w:bottom w:val="single" w:sz="8" w:color="D2EEF5"/>
            </w:tcBorders>
          </w:tcPr>
          <w:p>
            <w:pPr>
              <w:spacing w:after="0"/>
              <w:rPr>
                <w:sz w:val="22"/>
                <w:szCs w:val="22"/>
                <w:color w:val="auto"/>
              </w:rPr>
            </w:pPr>
          </w:p>
        </w:tc>
        <w:tc>
          <w:tcPr>
            <w:tcW w:w="20" w:type="dxa"/>
            <w:vAlign w:val="bottom"/>
            <w:tcBorders>
              <w:bottom w:val="single" w:sz="8" w:color="D2EEF5"/>
            </w:tcBorders>
          </w:tcPr>
          <w:p>
            <w:pPr>
              <w:spacing w:after="0"/>
              <w:rPr>
                <w:sz w:val="22"/>
                <w:szCs w:val="22"/>
                <w:color w:val="auto"/>
              </w:rPr>
            </w:pPr>
          </w:p>
        </w:tc>
        <w:tc>
          <w:tcPr>
            <w:tcW w:w="60" w:type="dxa"/>
            <w:vAlign w:val="bottom"/>
            <w:tcBorders>
              <w:bottom w:val="single" w:sz="8" w:color="D2EEF5"/>
            </w:tcBorders>
          </w:tcPr>
          <w:p>
            <w:pPr>
              <w:spacing w:after="0"/>
              <w:rPr>
                <w:sz w:val="22"/>
                <w:szCs w:val="22"/>
                <w:color w:val="auto"/>
              </w:rPr>
            </w:pPr>
          </w:p>
        </w:tc>
        <w:tc>
          <w:tcPr>
            <w:tcW w:w="280" w:type="dxa"/>
            <w:vAlign w:val="bottom"/>
            <w:tcBorders>
              <w:bottom w:val="single" w:sz="8" w:color="D2EEF5"/>
            </w:tcBorders>
          </w:tcPr>
          <w:p>
            <w:pPr>
              <w:spacing w:after="0"/>
              <w:rPr>
                <w:sz w:val="22"/>
                <w:szCs w:val="22"/>
                <w:color w:val="auto"/>
              </w:rPr>
            </w:pPr>
          </w:p>
        </w:tc>
        <w:tc>
          <w:tcPr>
            <w:tcW w:w="960" w:type="dxa"/>
            <w:vAlign w:val="bottom"/>
            <w:tcBorders>
              <w:bottom w:val="single" w:sz="8" w:color="D2EEF5"/>
            </w:tcBorders>
            <w:gridSpan w:val="2"/>
            <w:vMerge w:val="continue"/>
          </w:tcPr>
          <w:p>
            <w:pPr>
              <w:spacing w:after="0"/>
              <w:rPr>
                <w:sz w:val="22"/>
                <w:szCs w:val="22"/>
                <w:color w:val="auto"/>
              </w:rPr>
            </w:pPr>
          </w:p>
        </w:tc>
        <w:tc>
          <w:tcPr>
            <w:tcW w:w="60" w:type="dxa"/>
            <w:vAlign w:val="bottom"/>
            <w:tcBorders>
              <w:bottom w:val="single" w:sz="8" w:color="D2EEF5"/>
            </w:tcBorders>
          </w:tcPr>
          <w:p>
            <w:pPr>
              <w:spacing w:after="0"/>
              <w:rPr>
                <w:sz w:val="22"/>
                <w:szCs w:val="22"/>
                <w:color w:val="auto"/>
              </w:rPr>
            </w:pPr>
          </w:p>
        </w:tc>
        <w:tc>
          <w:tcPr>
            <w:tcW w:w="20" w:type="dxa"/>
            <w:vAlign w:val="bottom"/>
            <w:tcBorders>
              <w:bottom w:val="single" w:sz="8" w:color="D2EEF5"/>
            </w:tcBorders>
          </w:tcPr>
          <w:p>
            <w:pPr>
              <w:spacing w:after="0"/>
              <w:rPr>
                <w:sz w:val="22"/>
                <w:szCs w:val="22"/>
                <w:color w:val="auto"/>
              </w:rPr>
            </w:pPr>
          </w:p>
        </w:tc>
        <w:tc>
          <w:tcPr>
            <w:tcW w:w="20" w:type="dxa"/>
            <w:vAlign w:val="bottom"/>
            <w:tcBorders>
              <w:bottom w:val="single" w:sz="8" w:color="D2EEF5"/>
            </w:tcBorders>
          </w:tcPr>
          <w:p>
            <w:pPr>
              <w:spacing w:after="0"/>
              <w:rPr>
                <w:sz w:val="22"/>
                <w:szCs w:val="22"/>
                <w:color w:val="auto"/>
              </w:rPr>
            </w:pPr>
          </w:p>
        </w:tc>
        <w:tc>
          <w:tcPr>
            <w:tcW w:w="160" w:type="dxa"/>
            <w:vAlign w:val="bottom"/>
            <w:tcBorders>
              <w:bottom w:val="single" w:sz="8" w:color="D2EEF5"/>
            </w:tcBorders>
          </w:tcPr>
          <w:p>
            <w:pPr>
              <w:spacing w:after="0"/>
              <w:rPr>
                <w:sz w:val="22"/>
                <w:szCs w:val="22"/>
                <w:color w:val="auto"/>
              </w:rPr>
            </w:pPr>
          </w:p>
        </w:tc>
        <w:tc>
          <w:tcPr>
            <w:tcW w:w="1000" w:type="dxa"/>
            <w:vAlign w:val="bottom"/>
            <w:tcBorders>
              <w:bottom w:val="single" w:sz="8" w:color="D2EEF5"/>
            </w:tcBorders>
            <w:vMerge w:val="continue"/>
          </w:tcPr>
          <w:p>
            <w:pPr>
              <w:spacing w:after="0"/>
              <w:rPr>
                <w:sz w:val="22"/>
                <w:szCs w:val="22"/>
                <w:color w:val="auto"/>
              </w:rPr>
            </w:pPr>
          </w:p>
        </w:tc>
        <w:tc>
          <w:tcPr>
            <w:tcW w:w="60" w:type="dxa"/>
            <w:vAlign w:val="bottom"/>
            <w:tcBorders>
              <w:bottom w:val="single" w:sz="8" w:color="D2EEF5"/>
            </w:tcBorders>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40" w:type="dxa"/>
            <w:vAlign w:val="bottom"/>
            <w:tcBorders>
              <w:bottom w:val="single" w:sz="8" w:color="D2EEF5"/>
            </w:tcBorders>
            <w:shd w:val="clear" w:color="auto" w:fill="D2EEF5"/>
          </w:tcPr>
          <w:p>
            <w:pPr>
              <w:spacing w:after="0"/>
              <w:rPr>
                <w:sz w:val="24"/>
                <w:szCs w:val="24"/>
                <w:color w:val="auto"/>
              </w:rPr>
            </w:pPr>
          </w:p>
        </w:tc>
        <w:tc>
          <w:tcPr>
            <w:tcW w:w="2300" w:type="dxa"/>
            <w:vAlign w:val="bottom"/>
            <w:tcBorders>
              <w:bottom w:val="single" w:sz="8" w:color="D2EEF5"/>
            </w:tcBorders>
            <w:shd w:val="clear" w:color="auto" w:fill="D2EEF5"/>
          </w:tcPr>
          <w:p>
            <w:pPr>
              <w:ind w:left="140"/>
              <w:spacing w:after="0"/>
              <w:rPr>
                <w:sz w:val="20"/>
                <w:szCs w:val="20"/>
                <w:color w:val="auto"/>
              </w:rPr>
            </w:pPr>
            <w:r>
              <w:rPr>
                <w:rFonts w:ascii="Times New Roman" w:cs="Times New Roman" w:eastAsia="Times New Roman" w:hAnsi="Times New Roman"/>
                <w:sz w:val="20"/>
                <w:szCs w:val="20"/>
                <w:color w:val="auto"/>
              </w:rPr>
              <w:t>Other</w:t>
            </w:r>
          </w:p>
        </w:tc>
        <w:tc>
          <w:tcPr>
            <w:tcW w:w="40" w:type="dxa"/>
            <w:vAlign w:val="bottom"/>
            <w:tcBorders>
              <w:bottom w:val="single" w:sz="8" w:color="D2EEF5"/>
            </w:tcBorders>
            <w:shd w:val="clear" w:color="auto" w:fill="D2EEF5"/>
          </w:tcPr>
          <w:p>
            <w:pPr>
              <w:spacing w:after="0"/>
              <w:rPr>
                <w:sz w:val="24"/>
                <w:szCs w:val="24"/>
                <w:color w:val="auto"/>
              </w:rPr>
            </w:pPr>
          </w:p>
        </w:tc>
        <w:tc>
          <w:tcPr>
            <w:tcW w:w="20" w:type="dxa"/>
            <w:vAlign w:val="bottom"/>
            <w:tcBorders>
              <w:bottom w:val="single" w:sz="8" w:color="D2EEF5"/>
            </w:tcBorders>
            <w:shd w:val="clear" w:color="auto" w:fill="D2EEF5"/>
          </w:tcPr>
          <w:p>
            <w:pPr>
              <w:spacing w:after="0"/>
              <w:rPr>
                <w:sz w:val="24"/>
                <w:szCs w:val="24"/>
                <w:color w:val="auto"/>
              </w:rPr>
            </w:pPr>
          </w:p>
        </w:tc>
        <w:tc>
          <w:tcPr>
            <w:tcW w:w="20" w:type="dxa"/>
            <w:vAlign w:val="bottom"/>
            <w:tcBorders>
              <w:bottom w:val="single" w:sz="8" w:color="auto"/>
            </w:tcBorders>
            <w:shd w:val="clear" w:color="auto" w:fill="D2EEF5"/>
          </w:tcPr>
          <w:p>
            <w:pPr>
              <w:spacing w:after="0"/>
              <w:rPr>
                <w:sz w:val="24"/>
                <w:szCs w:val="24"/>
                <w:color w:val="auto"/>
              </w:rPr>
            </w:pPr>
          </w:p>
        </w:tc>
        <w:tc>
          <w:tcPr>
            <w:tcW w:w="220" w:type="dxa"/>
            <w:vAlign w:val="bottom"/>
            <w:tcBorders>
              <w:bottom w:val="single" w:sz="8" w:color="auto"/>
            </w:tcBorders>
            <w:shd w:val="clear" w:color="auto" w:fill="D2EEF5"/>
          </w:tcPr>
          <w:p>
            <w:pPr>
              <w:spacing w:after="0"/>
              <w:rPr>
                <w:sz w:val="24"/>
                <w:szCs w:val="24"/>
                <w:color w:val="auto"/>
              </w:rPr>
            </w:pP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Borders>
              <w:bottom w:val="single" w:sz="8" w:color="D2EEF5"/>
            </w:tcBorders>
            <w:shd w:val="clear" w:color="auto" w:fill="D2EEF5"/>
          </w:tcPr>
          <w:p>
            <w:pPr>
              <w:spacing w:after="0"/>
              <w:rPr>
                <w:sz w:val="24"/>
                <w:szCs w:val="24"/>
                <w:color w:val="auto"/>
              </w:rPr>
            </w:pPr>
          </w:p>
        </w:tc>
        <w:tc>
          <w:tcPr>
            <w:tcW w:w="20" w:type="dxa"/>
            <w:vAlign w:val="bottom"/>
            <w:tcBorders>
              <w:bottom w:val="single" w:sz="8" w:color="D2EEF5"/>
            </w:tcBorders>
            <w:shd w:val="clear" w:color="auto" w:fill="D2EEF5"/>
          </w:tcPr>
          <w:p>
            <w:pPr>
              <w:spacing w:after="0"/>
              <w:rPr>
                <w:sz w:val="24"/>
                <w:szCs w:val="24"/>
                <w:color w:val="auto"/>
              </w:rPr>
            </w:pPr>
          </w:p>
        </w:tc>
        <w:tc>
          <w:tcPr>
            <w:tcW w:w="40" w:type="dxa"/>
            <w:vAlign w:val="bottom"/>
            <w:tcBorders>
              <w:bottom w:val="single" w:sz="8" w:color="auto"/>
            </w:tcBorders>
            <w:shd w:val="clear" w:color="auto" w:fill="D2EEF5"/>
          </w:tcPr>
          <w:p>
            <w:pPr>
              <w:spacing w:after="0"/>
              <w:rPr>
                <w:sz w:val="24"/>
                <w:szCs w:val="24"/>
                <w:color w:val="auto"/>
              </w:rPr>
            </w:pPr>
          </w:p>
        </w:tc>
        <w:tc>
          <w:tcPr>
            <w:tcW w:w="540" w:type="dxa"/>
            <w:vAlign w:val="bottom"/>
            <w:tcBorders>
              <w:bottom w:val="single" w:sz="8" w:color="auto"/>
            </w:tcBorders>
            <w:shd w:val="clear" w:color="auto" w:fill="D2EEF5"/>
          </w:tcPr>
          <w:p>
            <w:pPr>
              <w:spacing w:after="0"/>
              <w:rPr>
                <w:sz w:val="24"/>
                <w:szCs w:val="24"/>
                <w:color w:val="auto"/>
              </w:rPr>
            </w:pPr>
          </w:p>
        </w:tc>
        <w:tc>
          <w:tcPr>
            <w:tcW w:w="720" w:type="dxa"/>
            <w:vAlign w:val="bottom"/>
            <w:tcBorders>
              <w:bottom w:val="single" w:sz="8" w:color="auto"/>
            </w:tcBorders>
            <w:gridSpan w:val="2"/>
            <w:shd w:val="clear" w:color="auto" w:fill="D2EEF5"/>
          </w:tcPr>
          <w:p>
            <w:pPr>
              <w:ind w:left="440"/>
              <w:spacing w:after="0"/>
              <w:rPr>
                <w:sz w:val="20"/>
                <w:szCs w:val="20"/>
                <w:color w:val="auto"/>
              </w:rPr>
            </w:pPr>
            <w:r>
              <w:rPr>
                <w:rFonts w:ascii="Times New Roman" w:cs="Times New Roman" w:eastAsia="Times New Roman" w:hAnsi="Times New Roman"/>
                <w:sz w:val="20"/>
                <w:szCs w:val="20"/>
                <w:b w:val="1"/>
                <w:bCs w:val="1"/>
                <w:color w:val="auto"/>
              </w:rPr>
              <w:t>—</w:t>
            </w:r>
          </w:p>
        </w:tc>
        <w:tc>
          <w:tcPr>
            <w:tcW w:w="40" w:type="dxa"/>
            <w:vAlign w:val="bottom"/>
            <w:tcBorders>
              <w:bottom w:val="single" w:sz="8" w:color="D2EEF5"/>
            </w:tcBorders>
            <w:shd w:val="clear" w:color="auto" w:fill="D2EEF5"/>
          </w:tcPr>
          <w:p>
            <w:pPr>
              <w:spacing w:after="0"/>
              <w:rPr>
                <w:sz w:val="24"/>
                <w:szCs w:val="24"/>
                <w:color w:val="auto"/>
              </w:rPr>
            </w:pPr>
          </w:p>
        </w:tc>
        <w:tc>
          <w:tcPr>
            <w:tcW w:w="20" w:type="dxa"/>
            <w:vAlign w:val="bottom"/>
            <w:tcBorders>
              <w:bottom w:val="single" w:sz="8" w:color="D2EEF5"/>
            </w:tcBorders>
            <w:shd w:val="clear" w:color="auto" w:fill="D2EEF5"/>
          </w:tcPr>
          <w:p>
            <w:pPr>
              <w:spacing w:after="0"/>
              <w:rPr>
                <w:sz w:val="24"/>
                <w:szCs w:val="24"/>
                <w:color w:val="auto"/>
              </w:rPr>
            </w:pPr>
          </w:p>
        </w:tc>
        <w:tc>
          <w:tcPr>
            <w:tcW w:w="40" w:type="dxa"/>
            <w:vAlign w:val="bottom"/>
            <w:tcBorders>
              <w:bottom w:val="single" w:sz="8" w:color="auto"/>
            </w:tcBorders>
            <w:shd w:val="clear" w:color="auto" w:fill="D2EEF5"/>
          </w:tcPr>
          <w:p>
            <w:pPr>
              <w:spacing w:after="0"/>
              <w:rPr>
                <w:sz w:val="24"/>
                <w:szCs w:val="24"/>
                <w:color w:val="auto"/>
              </w:rPr>
            </w:pPr>
          </w:p>
        </w:tc>
        <w:tc>
          <w:tcPr>
            <w:tcW w:w="140" w:type="dxa"/>
            <w:vAlign w:val="bottom"/>
            <w:tcBorders>
              <w:bottom w:val="single" w:sz="8" w:color="auto"/>
            </w:tcBorders>
            <w:shd w:val="clear" w:color="auto" w:fill="D2EEF5"/>
          </w:tcPr>
          <w:p>
            <w:pPr>
              <w:spacing w:after="0"/>
              <w:rPr>
                <w:sz w:val="24"/>
                <w:szCs w:val="24"/>
                <w:color w:val="auto"/>
              </w:rPr>
            </w:pPr>
          </w:p>
        </w:tc>
        <w:tc>
          <w:tcPr>
            <w:tcW w:w="10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Borders>
              <w:bottom w:val="single" w:sz="8" w:color="auto"/>
            </w:tcBorders>
            <w:shd w:val="clear" w:color="auto" w:fill="D2EEF5"/>
          </w:tcPr>
          <w:p>
            <w:pPr>
              <w:spacing w:after="0"/>
              <w:rPr>
                <w:sz w:val="24"/>
                <w:szCs w:val="24"/>
                <w:color w:val="auto"/>
              </w:rPr>
            </w:pPr>
          </w:p>
        </w:tc>
        <w:tc>
          <w:tcPr>
            <w:tcW w:w="40" w:type="dxa"/>
            <w:vAlign w:val="bottom"/>
            <w:tcBorders>
              <w:bottom w:val="single" w:sz="8" w:color="D2EEF5"/>
            </w:tcBorders>
            <w:shd w:val="clear" w:color="auto" w:fill="D2EEF5"/>
          </w:tcPr>
          <w:p>
            <w:pPr>
              <w:spacing w:after="0"/>
              <w:rPr>
                <w:sz w:val="24"/>
                <w:szCs w:val="24"/>
                <w:color w:val="auto"/>
              </w:rPr>
            </w:pPr>
          </w:p>
        </w:tc>
        <w:tc>
          <w:tcPr>
            <w:tcW w:w="20" w:type="dxa"/>
            <w:vAlign w:val="bottom"/>
            <w:tcBorders>
              <w:bottom w:val="single" w:sz="8" w:color="D2EEF5"/>
            </w:tcBorders>
            <w:shd w:val="clear" w:color="auto" w:fill="D2EEF5"/>
          </w:tcPr>
          <w:p>
            <w:pPr>
              <w:spacing w:after="0"/>
              <w:rPr>
                <w:sz w:val="24"/>
                <w:szCs w:val="24"/>
                <w:color w:val="auto"/>
              </w:rPr>
            </w:pPr>
          </w:p>
        </w:tc>
        <w:tc>
          <w:tcPr>
            <w:tcW w:w="200" w:type="dxa"/>
            <w:vAlign w:val="bottom"/>
            <w:tcBorders>
              <w:bottom w:val="single" w:sz="8" w:color="auto"/>
            </w:tcBorders>
            <w:shd w:val="clear" w:color="auto" w:fill="D2EEF5"/>
          </w:tcPr>
          <w:p>
            <w:pPr>
              <w:spacing w:after="0"/>
              <w:rPr>
                <w:sz w:val="24"/>
                <w:szCs w:val="24"/>
                <w:color w:val="auto"/>
              </w:rPr>
            </w:pPr>
          </w:p>
        </w:tc>
        <w:tc>
          <w:tcPr>
            <w:tcW w:w="10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4,716</w:t>
            </w:r>
          </w:p>
        </w:tc>
        <w:tc>
          <w:tcPr>
            <w:tcW w:w="20" w:type="dxa"/>
            <w:vAlign w:val="bottom"/>
            <w:tcBorders>
              <w:bottom w:val="single" w:sz="8" w:color="auto"/>
            </w:tcBorders>
            <w:shd w:val="clear" w:color="auto" w:fill="D2EEF5"/>
          </w:tcPr>
          <w:p>
            <w:pPr>
              <w:spacing w:after="0"/>
              <w:rPr>
                <w:sz w:val="24"/>
                <w:szCs w:val="24"/>
                <w:color w:val="auto"/>
              </w:rPr>
            </w:pPr>
          </w:p>
        </w:tc>
        <w:tc>
          <w:tcPr>
            <w:tcW w:w="40" w:type="dxa"/>
            <w:vAlign w:val="bottom"/>
            <w:tcBorders>
              <w:bottom w:val="single" w:sz="8" w:color="D2EEF5"/>
            </w:tcBorders>
            <w:shd w:val="clear" w:color="auto" w:fill="D2EEF5"/>
          </w:tcPr>
          <w:p>
            <w:pPr>
              <w:spacing w:after="0"/>
              <w:rPr>
                <w:sz w:val="24"/>
                <w:szCs w:val="24"/>
                <w:color w:val="auto"/>
              </w:rPr>
            </w:pPr>
          </w:p>
        </w:tc>
        <w:tc>
          <w:tcPr>
            <w:tcW w:w="20" w:type="dxa"/>
            <w:vAlign w:val="bottom"/>
            <w:tcBorders>
              <w:bottom w:val="single" w:sz="8" w:color="D2EEF5"/>
            </w:tcBorders>
            <w:shd w:val="clear" w:color="auto" w:fill="D2EEF5"/>
          </w:tcPr>
          <w:p>
            <w:pPr>
              <w:spacing w:after="0"/>
              <w:rPr>
                <w:sz w:val="24"/>
                <w:szCs w:val="24"/>
                <w:color w:val="auto"/>
              </w:rPr>
            </w:pPr>
          </w:p>
        </w:tc>
        <w:tc>
          <w:tcPr>
            <w:tcW w:w="60" w:type="dxa"/>
            <w:vAlign w:val="bottom"/>
            <w:tcBorders>
              <w:bottom w:val="single" w:sz="8" w:color="auto"/>
            </w:tcBorders>
            <w:shd w:val="clear" w:color="auto" w:fill="D2EEF5"/>
          </w:tcPr>
          <w:p>
            <w:pPr>
              <w:spacing w:after="0"/>
              <w:rPr>
                <w:sz w:val="24"/>
                <w:szCs w:val="24"/>
                <w:color w:val="auto"/>
              </w:rPr>
            </w:pPr>
          </w:p>
        </w:tc>
        <w:tc>
          <w:tcPr>
            <w:tcW w:w="280" w:type="dxa"/>
            <w:vAlign w:val="bottom"/>
            <w:tcBorders>
              <w:bottom w:val="single" w:sz="8" w:color="auto"/>
            </w:tcBorders>
            <w:shd w:val="clear" w:color="auto" w:fill="D2EEF5"/>
          </w:tcPr>
          <w:p>
            <w:pPr>
              <w:spacing w:after="0"/>
              <w:rPr>
                <w:sz w:val="24"/>
                <w:szCs w:val="24"/>
                <w:color w:val="auto"/>
              </w:rPr>
            </w:pPr>
          </w:p>
        </w:tc>
        <w:tc>
          <w:tcPr>
            <w:tcW w:w="960" w:type="dxa"/>
            <w:vAlign w:val="bottom"/>
            <w:tcBorders>
              <w:bottom w:val="single" w:sz="8" w:color="auto"/>
            </w:tcBorders>
            <w:gridSpan w:val="2"/>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(4,488)</w:t>
            </w:r>
          </w:p>
        </w:tc>
        <w:tc>
          <w:tcPr>
            <w:tcW w:w="60" w:type="dxa"/>
            <w:vAlign w:val="bottom"/>
            <w:tcBorders>
              <w:bottom w:val="single" w:sz="8" w:color="D2EEF5"/>
            </w:tcBorders>
            <w:shd w:val="clear" w:color="auto" w:fill="D2EEF5"/>
          </w:tcPr>
          <w:p>
            <w:pPr>
              <w:spacing w:after="0"/>
              <w:rPr>
                <w:sz w:val="24"/>
                <w:szCs w:val="24"/>
                <w:color w:val="auto"/>
              </w:rPr>
            </w:pPr>
          </w:p>
        </w:tc>
        <w:tc>
          <w:tcPr>
            <w:tcW w:w="20" w:type="dxa"/>
            <w:vAlign w:val="bottom"/>
            <w:tcBorders>
              <w:bottom w:val="single" w:sz="8" w:color="D2EEF5"/>
            </w:tcBorders>
            <w:shd w:val="clear" w:color="auto" w:fill="D2EEF5"/>
          </w:tcPr>
          <w:p>
            <w:pPr>
              <w:spacing w:after="0"/>
              <w:rPr>
                <w:sz w:val="24"/>
                <w:szCs w:val="24"/>
                <w:color w:val="auto"/>
              </w:rPr>
            </w:pPr>
          </w:p>
        </w:tc>
        <w:tc>
          <w:tcPr>
            <w:tcW w:w="20" w:type="dxa"/>
            <w:vAlign w:val="bottom"/>
            <w:tcBorders>
              <w:bottom w:val="single" w:sz="8" w:color="auto"/>
            </w:tcBorders>
            <w:shd w:val="clear" w:color="auto" w:fill="D2EEF5"/>
          </w:tcPr>
          <w:p>
            <w:pPr>
              <w:spacing w:after="0"/>
              <w:rPr>
                <w:sz w:val="24"/>
                <w:szCs w:val="24"/>
                <w:color w:val="auto"/>
              </w:rPr>
            </w:pPr>
          </w:p>
        </w:tc>
        <w:tc>
          <w:tcPr>
            <w:tcW w:w="160" w:type="dxa"/>
            <w:vAlign w:val="bottom"/>
            <w:tcBorders>
              <w:bottom w:val="single" w:sz="8" w:color="auto"/>
            </w:tcBorders>
            <w:shd w:val="clear" w:color="auto" w:fill="D2EEF5"/>
          </w:tcPr>
          <w:p>
            <w:pPr>
              <w:spacing w:after="0"/>
              <w:rPr>
                <w:sz w:val="24"/>
                <w:szCs w:val="24"/>
                <w:color w:val="auto"/>
              </w:rPr>
            </w:pPr>
          </w:p>
        </w:tc>
        <w:tc>
          <w:tcPr>
            <w:tcW w:w="10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228</w:t>
            </w:r>
          </w:p>
        </w:tc>
        <w:tc>
          <w:tcPr>
            <w:tcW w:w="60" w:type="dxa"/>
            <w:vAlign w:val="bottom"/>
            <w:tcBorders>
              <w:bottom w:val="single" w:sz="8" w:color="auto"/>
            </w:tcBorders>
            <w:shd w:val="clear" w:color="auto" w:fill="D2EEF5"/>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2360" w:type="dxa"/>
            <w:vAlign w:val="bottom"/>
            <w:gridSpan w:val="3"/>
          </w:tcPr>
          <w:p>
            <w:pPr>
              <w:spacing w:after="0" w:line="169" w:lineRule="exact"/>
              <w:rPr>
                <w:sz w:val="20"/>
                <w:szCs w:val="20"/>
                <w:color w:val="auto"/>
              </w:rPr>
            </w:pPr>
            <w:r>
              <w:rPr>
                <w:rFonts w:ascii="Times New Roman" w:cs="Times New Roman" w:eastAsia="Times New Roman" w:hAnsi="Times New Roman"/>
                <w:sz w:val="19"/>
                <w:szCs w:val="19"/>
                <w:b w:val="1"/>
                <w:bCs w:val="1"/>
                <w:color w:val="auto"/>
              </w:rPr>
              <w:t>Total finite-lived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gridSpan w:val="5"/>
            <w:vMerge w:val="restart"/>
          </w:tcPr>
          <w:p>
            <w:pPr>
              <w:ind w:left="440"/>
              <w:spacing w:after="0"/>
              <w:rPr>
                <w:sz w:val="20"/>
                <w:szCs w:val="20"/>
                <w:color w:val="auto"/>
              </w:rPr>
            </w:pPr>
            <w:r>
              <w:rPr>
                <w:rFonts w:ascii="Times New Roman" w:cs="Times New Roman" w:eastAsia="Times New Roman" w:hAnsi="Times New Roman"/>
                <w:sz w:val="20"/>
                <w:szCs w:val="20"/>
                <w:b w:val="1"/>
                <w:bCs w:val="1"/>
                <w:color w:val="auto"/>
              </w:rPr>
              <w:t>—</w:t>
            </w:r>
          </w:p>
        </w:tc>
        <w:tc>
          <w:tcPr>
            <w:tcW w:w="1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355,377</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(109,176)</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246,201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40" w:type="dxa"/>
            <w:vAlign w:val="bottom"/>
            <w:tcBorders>
              <w:bottom w:val="single" w:sz="8" w:color="D2EEF5"/>
            </w:tcBorders>
          </w:tcPr>
          <w:p>
            <w:pPr>
              <w:spacing w:after="0"/>
              <w:rPr>
                <w:sz w:val="22"/>
                <w:szCs w:val="22"/>
                <w:color w:val="auto"/>
              </w:rPr>
            </w:pPr>
          </w:p>
        </w:tc>
        <w:tc>
          <w:tcPr>
            <w:tcW w:w="2380" w:type="dxa"/>
            <w:vAlign w:val="bottom"/>
            <w:tcBorders>
              <w:bottom w:val="single" w:sz="8" w:color="D2EEF5"/>
            </w:tcBorders>
            <w:gridSpan w:val="4"/>
          </w:tcPr>
          <w:p>
            <w:pPr>
              <w:spacing w:after="0"/>
              <w:rPr>
                <w:sz w:val="20"/>
                <w:szCs w:val="20"/>
                <w:color w:val="auto"/>
              </w:rPr>
            </w:pPr>
            <w:r>
              <w:rPr>
                <w:rFonts w:ascii="Times New Roman" w:cs="Times New Roman" w:eastAsia="Times New Roman" w:hAnsi="Times New Roman"/>
                <w:sz w:val="20"/>
                <w:szCs w:val="20"/>
                <w:b w:val="1"/>
                <w:bCs w:val="1"/>
                <w:color w:val="auto"/>
              </w:rPr>
              <w:t>intangible assets, net</w:t>
            </w:r>
          </w:p>
        </w:tc>
        <w:tc>
          <w:tcPr>
            <w:tcW w:w="220" w:type="dxa"/>
            <w:vAlign w:val="bottom"/>
            <w:tcBorders>
              <w:bottom w:val="single" w:sz="8" w:color="D2EEF5"/>
            </w:tcBorders>
          </w:tcPr>
          <w:p>
            <w:pPr>
              <w:spacing w:after="0"/>
              <w:rPr>
                <w:sz w:val="22"/>
                <w:szCs w:val="22"/>
                <w:color w:val="auto"/>
              </w:rPr>
            </w:pPr>
          </w:p>
        </w:tc>
        <w:tc>
          <w:tcPr>
            <w:tcW w:w="960" w:type="dxa"/>
            <w:vAlign w:val="bottom"/>
            <w:tcBorders>
              <w:bottom w:val="single" w:sz="8" w:color="D2EEF5"/>
            </w:tcBorders>
            <w:vMerge w:val="continue"/>
          </w:tcPr>
          <w:p>
            <w:pPr>
              <w:spacing w:after="0"/>
              <w:rPr>
                <w:sz w:val="22"/>
                <w:szCs w:val="22"/>
                <w:color w:val="auto"/>
              </w:rPr>
            </w:pPr>
          </w:p>
        </w:tc>
        <w:tc>
          <w:tcPr>
            <w:tcW w:w="60" w:type="dxa"/>
            <w:vAlign w:val="bottom"/>
            <w:tcBorders>
              <w:bottom w:val="single" w:sz="8" w:color="D2EEF5"/>
            </w:tcBorders>
          </w:tcPr>
          <w:p>
            <w:pPr>
              <w:spacing w:after="0"/>
              <w:rPr>
                <w:sz w:val="22"/>
                <w:szCs w:val="22"/>
                <w:color w:val="auto"/>
              </w:rPr>
            </w:pPr>
          </w:p>
        </w:tc>
        <w:tc>
          <w:tcPr>
            <w:tcW w:w="20" w:type="dxa"/>
            <w:vAlign w:val="bottom"/>
            <w:tcBorders>
              <w:bottom w:val="single" w:sz="8" w:color="D2EEF5"/>
            </w:tcBorders>
          </w:tcPr>
          <w:p>
            <w:pPr>
              <w:spacing w:after="0"/>
              <w:rPr>
                <w:sz w:val="22"/>
                <w:szCs w:val="22"/>
                <w:color w:val="auto"/>
              </w:rPr>
            </w:pPr>
          </w:p>
        </w:tc>
        <w:tc>
          <w:tcPr>
            <w:tcW w:w="40" w:type="dxa"/>
            <w:vAlign w:val="bottom"/>
            <w:tcBorders>
              <w:bottom w:val="single" w:sz="8" w:color="D2EEF5"/>
            </w:tcBorders>
          </w:tcPr>
          <w:p>
            <w:pPr>
              <w:spacing w:after="0"/>
              <w:rPr>
                <w:sz w:val="22"/>
                <w:szCs w:val="22"/>
                <w:color w:val="auto"/>
              </w:rPr>
            </w:pPr>
          </w:p>
        </w:tc>
        <w:tc>
          <w:tcPr>
            <w:tcW w:w="540" w:type="dxa"/>
            <w:vAlign w:val="bottom"/>
            <w:tcBorders>
              <w:bottom w:val="single" w:sz="8" w:color="D2EEF5"/>
            </w:tcBorders>
          </w:tcPr>
          <w:p>
            <w:pPr>
              <w:spacing w:after="0"/>
              <w:rPr>
                <w:sz w:val="22"/>
                <w:szCs w:val="22"/>
                <w:color w:val="auto"/>
              </w:rPr>
            </w:pPr>
          </w:p>
        </w:tc>
        <w:tc>
          <w:tcPr>
            <w:tcW w:w="820" w:type="dxa"/>
            <w:vAlign w:val="bottom"/>
            <w:tcBorders>
              <w:bottom w:val="single" w:sz="8" w:color="D2EEF5"/>
            </w:tcBorders>
            <w:gridSpan w:val="5"/>
            <w:vMerge w:val="continue"/>
          </w:tcPr>
          <w:p>
            <w:pPr>
              <w:spacing w:after="0"/>
              <w:rPr>
                <w:sz w:val="22"/>
                <w:szCs w:val="22"/>
                <w:color w:val="auto"/>
              </w:rPr>
            </w:pPr>
          </w:p>
        </w:tc>
        <w:tc>
          <w:tcPr>
            <w:tcW w:w="140" w:type="dxa"/>
            <w:vAlign w:val="bottom"/>
            <w:tcBorders>
              <w:bottom w:val="single" w:sz="8" w:color="D2EEF5"/>
            </w:tcBorders>
          </w:tcPr>
          <w:p>
            <w:pPr>
              <w:spacing w:after="0"/>
              <w:rPr>
                <w:sz w:val="22"/>
                <w:szCs w:val="22"/>
                <w:color w:val="auto"/>
              </w:rPr>
            </w:pPr>
          </w:p>
        </w:tc>
        <w:tc>
          <w:tcPr>
            <w:tcW w:w="1000" w:type="dxa"/>
            <w:vAlign w:val="bottom"/>
            <w:tcBorders>
              <w:bottom w:val="single" w:sz="8" w:color="D2EEF5"/>
            </w:tcBorders>
            <w:vMerge w:val="continue"/>
          </w:tcPr>
          <w:p>
            <w:pPr>
              <w:spacing w:after="0"/>
              <w:rPr>
                <w:sz w:val="22"/>
                <w:szCs w:val="22"/>
                <w:color w:val="auto"/>
              </w:rPr>
            </w:pPr>
          </w:p>
        </w:tc>
        <w:tc>
          <w:tcPr>
            <w:tcW w:w="60" w:type="dxa"/>
            <w:vAlign w:val="bottom"/>
            <w:tcBorders>
              <w:bottom w:val="single" w:sz="8" w:color="D2EEF5"/>
            </w:tcBorders>
          </w:tcPr>
          <w:p>
            <w:pPr>
              <w:spacing w:after="0"/>
              <w:rPr>
                <w:sz w:val="22"/>
                <w:szCs w:val="22"/>
                <w:color w:val="auto"/>
              </w:rPr>
            </w:pPr>
          </w:p>
        </w:tc>
        <w:tc>
          <w:tcPr>
            <w:tcW w:w="40" w:type="dxa"/>
            <w:vAlign w:val="bottom"/>
            <w:tcBorders>
              <w:bottom w:val="single" w:sz="8" w:color="D2EEF5"/>
            </w:tcBorders>
          </w:tcPr>
          <w:p>
            <w:pPr>
              <w:spacing w:after="0"/>
              <w:rPr>
                <w:sz w:val="22"/>
                <w:szCs w:val="22"/>
                <w:color w:val="auto"/>
              </w:rPr>
            </w:pPr>
          </w:p>
        </w:tc>
        <w:tc>
          <w:tcPr>
            <w:tcW w:w="20" w:type="dxa"/>
            <w:vAlign w:val="bottom"/>
            <w:tcBorders>
              <w:bottom w:val="single" w:sz="8" w:color="D2EEF5"/>
            </w:tcBorders>
          </w:tcPr>
          <w:p>
            <w:pPr>
              <w:spacing w:after="0"/>
              <w:rPr>
                <w:sz w:val="22"/>
                <w:szCs w:val="22"/>
                <w:color w:val="auto"/>
              </w:rPr>
            </w:pPr>
          </w:p>
        </w:tc>
        <w:tc>
          <w:tcPr>
            <w:tcW w:w="200" w:type="dxa"/>
            <w:vAlign w:val="bottom"/>
            <w:tcBorders>
              <w:bottom w:val="single" w:sz="8" w:color="D2EEF5"/>
            </w:tcBorders>
          </w:tcPr>
          <w:p>
            <w:pPr>
              <w:spacing w:after="0"/>
              <w:rPr>
                <w:sz w:val="22"/>
                <w:szCs w:val="22"/>
                <w:color w:val="auto"/>
              </w:rPr>
            </w:pPr>
          </w:p>
        </w:tc>
        <w:tc>
          <w:tcPr>
            <w:tcW w:w="1020" w:type="dxa"/>
            <w:vAlign w:val="bottom"/>
            <w:tcBorders>
              <w:bottom w:val="single" w:sz="8" w:color="D2EEF5"/>
            </w:tcBorders>
            <w:vMerge w:val="continue"/>
          </w:tcPr>
          <w:p>
            <w:pPr>
              <w:spacing w:after="0"/>
              <w:rPr>
                <w:sz w:val="22"/>
                <w:szCs w:val="22"/>
                <w:color w:val="auto"/>
              </w:rPr>
            </w:pPr>
          </w:p>
        </w:tc>
        <w:tc>
          <w:tcPr>
            <w:tcW w:w="20" w:type="dxa"/>
            <w:vAlign w:val="bottom"/>
            <w:tcBorders>
              <w:bottom w:val="single" w:sz="8" w:color="D2EEF5"/>
            </w:tcBorders>
          </w:tcPr>
          <w:p>
            <w:pPr>
              <w:spacing w:after="0"/>
              <w:rPr>
                <w:sz w:val="22"/>
                <w:szCs w:val="22"/>
                <w:color w:val="auto"/>
              </w:rPr>
            </w:pPr>
          </w:p>
        </w:tc>
        <w:tc>
          <w:tcPr>
            <w:tcW w:w="40" w:type="dxa"/>
            <w:vAlign w:val="bottom"/>
            <w:tcBorders>
              <w:bottom w:val="single" w:sz="8" w:color="D2EEF5"/>
            </w:tcBorders>
          </w:tcPr>
          <w:p>
            <w:pPr>
              <w:spacing w:after="0"/>
              <w:rPr>
                <w:sz w:val="22"/>
                <w:szCs w:val="22"/>
                <w:color w:val="auto"/>
              </w:rPr>
            </w:pPr>
          </w:p>
        </w:tc>
        <w:tc>
          <w:tcPr>
            <w:tcW w:w="20" w:type="dxa"/>
            <w:vAlign w:val="bottom"/>
            <w:tcBorders>
              <w:bottom w:val="single" w:sz="8" w:color="D2EEF5"/>
            </w:tcBorders>
          </w:tcPr>
          <w:p>
            <w:pPr>
              <w:spacing w:after="0"/>
              <w:rPr>
                <w:sz w:val="22"/>
                <w:szCs w:val="22"/>
                <w:color w:val="auto"/>
              </w:rPr>
            </w:pPr>
          </w:p>
        </w:tc>
        <w:tc>
          <w:tcPr>
            <w:tcW w:w="60" w:type="dxa"/>
            <w:vAlign w:val="bottom"/>
            <w:tcBorders>
              <w:bottom w:val="single" w:sz="8" w:color="D2EEF5"/>
            </w:tcBorders>
          </w:tcPr>
          <w:p>
            <w:pPr>
              <w:spacing w:after="0"/>
              <w:rPr>
                <w:sz w:val="22"/>
                <w:szCs w:val="22"/>
                <w:color w:val="auto"/>
              </w:rPr>
            </w:pPr>
          </w:p>
        </w:tc>
        <w:tc>
          <w:tcPr>
            <w:tcW w:w="280" w:type="dxa"/>
            <w:vAlign w:val="bottom"/>
            <w:tcBorders>
              <w:bottom w:val="single" w:sz="8" w:color="D2EEF5"/>
            </w:tcBorders>
          </w:tcPr>
          <w:p>
            <w:pPr>
              <w:spacing w:after="0"/>
              <w:rPr>
                <w:sz w:val="22"/>
                <w:szCs w:val="22"/>
                <w:color w:val="auto"/>
              </w:rPr>
            </w:pPr>
          </w:p>
        </w:tc>
        <w:tc>
          <w:tcPr>
            <w:tcW w:w="960" w:type="dxa"/>
            <w:vAlign w:val="bottom"/>
            <w:tcBorders>
              <w:bottom w:val="single" w:sz="8" w:color="D2EEF5"/>
            </w:tcBorders>
            <w:gridSpan w:val="2"/>
            <w:vMerge w:val="continue"/>
          </w:tcPr>
          <w:p>
            <w:pPr>
              <w:spacing w:after="0"/>
              <w:rPr>
                <w:sz w:val="22"/>
                <w:szCs w:val="22"/>
                <w:color w:val="auto"/>
              </w:rPr>
            </w:pPr>
          </w:p>
        </w:tc>
        <w:tc>
          <w:tcPr>
            <w:tcW w:w="60" w:type="dxa"/>
            <w:vAlign w:val="bottom"/>
            <w:tcBorders>
              <w:bottom w:val="single" w:sz="8" w:color="D2EEF5"/>
            </w:tcBorders>
          </w:tcPr>
          <w:p>
            <w:pPr>
              <w:spacing w:after="0"/>
              <w:rPr>
                <w:sz w:val="22"/>
                <w:szCs w:val="22"/>
                <w:color w:val="auto"/>
              </w:rPr>
            </w:pPr>
          </w:p>
        </w:tc>
        <w:tc>
          <w:tcPr>
            <w:tcW w:w="20" w:type="dxa"/>
            <w:vAlign w:val="bottom"/>
            <w:tcBorders>
              <w:bottom w:val="single" w:sz="8" w:color="D2EEF5"/>
            </w:tcBorders>
          </w:tcPr>
          <w:p>
            <w:pPr>
              <w:spacing w:after="0"/>
              <w:rPr>
                <w:sz w:val="22"/>
                <w:szCs w:val="22"/>
                <w:color w:val="auto"/>
              </w:rPr>
            </w:pPr>
          </w:p>
        </w:tc>
        <w:tc>
          <w:tcPr>
            <w:tcW w:w="20" w:type="dxa"/>
            <w:vAlign w:val="bottom"/>
            <w:tcBorders>
              <w:bottom w:val="single" w:sz="8" w:color="D2EEF5"/>
            </w:tcBorders>
          </w:tcPr>
          <w:p>
            <w:pPr>
              <w:spacing w:after="0"/>
              <w:rPr>
                <w:sz w:val="22"/>
                <w:szCs w:val="22"/>
                <w:color w:val="auto"/>
              </w:rPr>
            </w:pPr>
          </w:p>
        </w:tc>
        <w:tc>
          <w:tcPr>
            <w:tcW w:w="160" w:type="dxa"/>
            <w:vAlign w:val="bottom"/>
            <w:tcBorders>
              <w:bottom w:val="single" w:sz="8" w:color="D2EEF5"/>
            </w:tcBorders>
          </w:tcPr>
          <w:p>
            <w:pPr>
              <w:spacing w:after="0"/>
              <w:rPr>
                <w:sz w:val="22"/>
                <w:szCs w:val="22"/>
                <w:color w:val="auto"/>
              </w:rPr>
            </w:pPr>
          </w:p>
        </w:tc>
        <w:tc>
          <w:tcPr>
            <w:tcW w:w="1000" w:type="dxa"/>
            <w:vAlign w:val="bottom"/>
            <w:tcBorders>
              <w:bottom w:val="single" w:sz="8" w:color="D2EEF5"/>
            </w:tcBorders>
            <w:vMerge w:val="continue"/>
          </w:tcPr>
          <w:p>
            <w:pPr>
              <w:spacing w:after="0"/>
              <w:rPr>
                <w:sz w:val="22"/>
                <w:szCs w:val="22"/>
                <w:color w:val="auto"/>
              </w:rPr>
            </w:pPr>
          </w:p>
        </w:tc>
        <w:tc>
          <w:tcPr>
            <w:tcW w:w="60" w:type="dxa"/>
            <w:vAlign w:val="bottom"/>
            <w:tcBorders>
              <w:bottom w:val="single" w:sz="8" w:color="D2EEF5"/>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shd w:val="clear" w:color="auto" w:fill="D2EEF5"/>
          </w:tcPr>
          <w:p>
            <w:pPr>
              <w:spacing w:after="0"/>
              <w:rPr>
                <w:sz w:val="23"/>
                <w:szCs w:val="23"/>
                <w:color w:val="auto"/>
              </w:rPr>
            </w:pPr>
          </w:p>
        </w:tc>
        <w:tc>
          <w:tcPr>
            <w:tcW w:w="2600" w:type="dxa"/>
            <w:vAlign w:val="bottom"/>
            <w:gridSpan w:val="5"/>
            <w:shd w:val="clear" w:color="auto" w:fill="D2EEF5"/>
          </w:tcPr>
          <w:p>
            <w:pPr>
              <w:spacing w:after="0"/>
              <w:rPr>
                <w:sz w:val="20"/>
                <w:szCs w:val="20"/>
                <w:color w:val="auto"/>
              </w:rPr>
            </w:pPr>
            <w:r>
              <w:rPr>
                <w:rFonts w:ascii="Times New Roman" w:cs="Times New Roman" w:eastAsia="Times New Roman" w:hAnsi="Times New Roman"/>
                <w:sz w:val="20"/>
                <w:szCs w:val="20"/>
                <w:color w:val="auto"/>
                <w:w w:val="99"/>
              </w:rPr>
              <w:t>Indefinite-lived intangible asset:</w:t>
            </w:r>
          </w:p>
        </w:tc>
        <w:tc>
          <w:tcPr>
            <w:tcW w:w="960" w:type="dxa"/>
            <w:vAlign w:val="bottom"/>
            <w:shd w:val="clear" w:color="auto" w:fill="D2EEF5"/>
          </w:tcPr>
          <w:p>
            <w:pPr>
              <w:spacing w:after="0"/>
              <w:rPr>
                <w:sz w:val="23"/>
                <w:szCs w:val="23"/>
                <w:color w:val="auto"/>
              </w:rPr>
            </w:pPr>
          </w:p>
        </w:tc>
        <w:tc>
          <w:tcPr>
            <w:tcW w:w="60" w:type="dxa"/>
            <w:vAlign w:val="bottom"/>
            <w:shd w:val="clear" w:color="auto" w:fill="D2EEF5"/>
          </w:tcPr>
          <w:p>
            <w:pPr>
              <w:spacing w:after="0"/>
              <w:rPr>
                <w:sz w:val="23"/>
                <w:szCs w:val="23"/>
                <w:color w:val="auto"/>
              </w:rPr>
            </w:pPr>
          </w:p>
        </w:tc>
        <w:tc>
          <w:tcPr>
            <w:tcW w:w="20" w:type="dxa"/>
            <w:vAlign w:val="bottom"/>
            <w:shd w:val="clear" w:color="auto" w:fill="D2EEF5"/>
          </w:tcPr>
          <w:p>
            <w:pPr>
              <w:spacing w:after="0"/>
              <w:rPr>
                <w:sz w:val="23"/>
                <w:szCs w:val="23"/>
                <w:color w:val="auto"/>
              </w:rPr>
            </w:pPr>
          </w:p>
        </w:tc>
        <w:tc>
          <w:tcPr>
            <w:tcW w:w="40" w:type="dxa"/>
            <w:vAlign w:val="bottom"/>
            <w:shd w:val="clear" w:color="auto" w:fill="D2EEF5"/>
          </w:tcPr>
          <w:p>
            <w:pPr>
              <w:spacing w:after="0"/>
              <w:rPr>
                <w:sz w:val="23"/>
                <w:szCs w:val="23"/>
                <w:color w:val="auto"/>
              </w:rPr>
            </w:pPr>
          </w:p>
        </w:tc>
        <w:tc>
          <w:tcPr>
            <w:tcW w:w="540" w:type="dxa"/>
            <w:vAlign w:val="bottom"/>
            <w:shd w:val="clear" w:color="auto" w:fill="D2EEF5"/>
          </w:tcPr>
          <w:p>
            <w:pPr>
              <w:spacing w:after="0"/>
              <w:rPr>
                <w:sz w:val="23"/>
                <w:szCs w:val="23"/>
                <w:color w:val="auto"/>
              </w:rPr>
            </w:pPr>
          </w:p>
        </w:tc>
        <w:tc>
          <w:tcPr>
            <w:tcW w:w="660" w:type="dxa"/>
            <w:vAlign w:val="bottom"/>
            <w:shd w:val="clear" w:color="auto" w:fill="D2EEF5"/>
          </w:tcPr>
          <w:p>
            <w:pPr>
              <w:spacing w:after="0"/>
              <w:rPr>
                <w:sz w:val="23"/>
                <w:szCs w:val="23"/>
                <w:color w:val="auto"/>
              </w:rPr>
            </w:pPr>
          </w:p>
        </w:tc>
        <w:tc>
          <w:tcPr>
            <w:tcW w:w="60" w:type="dxa"/>
            <w:vAlign w:val="bottom"/>
            <w:shd w:val="clear" w:color="auto" w:fill="D2EEF5"/>
          </w:tcPr>
          <w:p>
            <w:pPr>
              <w:spacing w:after="0"/>
              <w:rPr>
                <w:sz w:val="23"/>
                <w:szCs w:val="23"/>
                <w:color w:val="auto"/>
              </w:rPr>
            </w:pPr>
          </w:p>
        </w:tc>
        <w:tc>
          <w:tcPr>
            <w:tcW w:w="40" w:type="dxa"/>
            <w:vAlign w:val="bottom"/>
            <w:shd w:val="clear" w:color="auto" w:fill="D2EEF5"/>
          </w:tcPr>
          <w:p>
            <w:pPr>
              <w:spacing w:after="0"/>
              <w:rPr>
                <w:sz w:val="23"/>
                <w:szCs w:val="23"/>
                <w:color w:val="auto"/>
              </w:rPr>
            </w:pPr>
          </w:p>
        </w:tc>
        <w:tc>
          <w:tcPr>
            <w:tcW w:w="20" w:type="dxa"/>
            <w:vAlign w:val="bottom"/>
            <w:shd w:val="clear" w:color="auto" w:fill="D2EEF5"/>
          </w:tcPr>
          <w:p>
            <w:pPr>
              <w:spacing w:after="0"/>
              <w:rPr>
                <w:sz w:val="23"/>
                <w:szCs w:val="23"/>
                <w:color w:val="auto"/>
              </w:rPr>
            </w:pPr>
          </w:p>
        </w:tc>
        <w:tc>
          <w:tcPr>
            <w:tcW w:w="40" w:type="dxa"/>
            <w:vAlign w:val="bottom"/>
            <w:shd w:val="clear" w:color="auto" w:fill="D2EEF5"/>
          </w:tcPr>
          <w:p>
            <w:pPr>
              <w:spacing w:after="0"/>
              <w:rPr>
                <w:sz w:val="23"/>
                <w:szCs w:val="23"/>
                <w:color w:val="auto"/>
              </w:rPr>
            </w:pPr>
          </w:p>
        </w:tc>
        <w:tc>
          <w:tcPr>
            <w:tcW w:w="140" w:type="dxa"/>
            <w:vAlign w:val="bottom"/>
            <w:shd w:val="clear" w:color="auto" w:fill="D2EEF5"/>
          </w:tcPr>
          <w:p>
            <w:pPr>
              <w:spacing w:after="0"/>
              <w:rPr>
                <w:sz w:val="23"/>
                <w:szCs w:val="23"/>
                <w:color w:val="auto"/>
              </w:rPr>
            </w:pPr>
          </w:p>
        </w:tc>
        <w:tc>
          <w:tcPr>
            <w:tcW w:w="1000" w:type="dxa"/>
            <w:vAlign w:val="bottom"/>
            <w:shd w:val="clear" w:color="auto" w:fill="D2EEF5"/>
          </w:tcPr>
          <w:p>
            <w:pPr>
              <w:spacing w:after="0"/>
              <w:rPr>
                <w:sz w:val="23"/>
                <w:szCs w:val="23"/>
                <w:color w:val="auto"/>
              </w:rPr>
            </w:pPr>
          </w:p>
        </w:tc>
        <w:tc>
          <w:tcPr>
            <w:tcW w:w="60" w:type="dxa"/>
            <w:vAlign w:val="bottom"/>
            <w:shd w:val="clear" w:color="auto" w:fill="D2EEF5"/>
          </w:tcPr>
          <w:p>
            <w:pPr>
              <w:spacing w:after="0"/>
              <w:rPr>
                <w:sz w:val="23"/>
                <w:szCs w:val="23"/>
                <w:color w:val="auto"/>
              </w:rPr>
            </w:pPr>
          </w:p>
        </w:tc>
        <w:tc>
          <w:tcPr>
            <w:tcW w:w="40" w:type="dxa"/>
            <w:vAlign w:val="bottom"/>
            <w:shd w:val="clear" w:color="auto" w:fill="D2EEF5"/>
          </w:tcPr>
          <w:p>
            <w:pPr>
              <w:spacing w:after="0"/>
              <w:rPr>
                <w:sz w:val="23"/>
                <w:szCs w:val="23"/>
                <w:color w:val="auto"/>
              </w:rPr>
            </w:pPr>
          </w:p>
        </w:tc>
        <w:tc>
          <w:tcPr>
            <w:tcW w:w="20" w:type="dxa"/>
            <w:vAlign w:val="bottom"/>
            <w:shd w:val="clear" w:color="auto" w:fill="D2EEF5"/>
          </w:tcPr>
          <w:p>
            <w:pPr>
              <w:spacing w:after="0"/>
              <w:rPr>
                <w:sz w:val="23"/>
                <w:szCs w:val="23"/>
                <w:color w:val="auto"/>
              </w:rPr>
            </w:pPr>
          </w:p>
        </w:tc>
        <w:tc>
          <w:tcPr>
            <w:tcW w:w="200" w:type="dxa"/>
            <w:vAlign w:val="bottom"/>
            <w:shd w:val="clear" w:color="auto" w:fill="D2EEF5"/>
          </w:tcPr>
          <w:p>
            <w:pPr>
              <w:spacing w:after="0"/>
              <w:rPr>
                <w:sz w:val="23"/>
                <w:szCs w:val="23"/>
                <w:color w:val="auto"/>
              </w:rPr>
            </w:pPr>
          </w:p>
        </w:tc>
        <w:tc>
          <w:tcPr>
            <w:tcW w:w="1020" w:type="dxa"/>
            <w:vAlign w:val="bottom"/>
            <w:shd w:val="clear" w:color="auto" w:fill="D2EEF5"/>
          </w:tcPr>
          <w:p>
            <w:pPr>
              <w:spacing w:after="0"/>
              <w:rPr>
                <w:sz w:val="23"/>
                <w:szCs w:val="23"/>
                <w:color w:val="auto"/>
              </w:rPr>
            </w:pPr>
          </w:p>
        </w:tc>
        <w:tc>
          <w:tcPr>
            <w:tcW w:w="20" w:type="dxa"/>
            <w:vAlign w:val="bottom"/>
            <w:shd w:val="clear" w:color="auto" w:fill="D2EEF5"/>
          </w:tcPr>
          <w:p>
            <w:pPr>
              <w:spacing w:after="0"/>
              <w:rPr>
                <w:sz w:val="23"/>
                <w:szCs w:val="23"/>
                <w:color w:val="auto"/>
              </w:rPr>
            </w:pPr>
          </w:p>
        </w:tc>
        <w:tc>
          <w:tcPr>
            <w:tcW w:w="40" w:type="dxa"/>
            <w:vAlign w:val="bottom"/>
            <w:shd w:val="clear" w:color="auto" w:fill="D2EEF5"/>
          </w:tcPr>
          <w:p>
            <w:pPr>
              <w:spacing w:after="0"/>
              <w:rPr>
                <w:sz w:val="23"/>
                <w:szCs w:val="23"/>
                <w:color w:val="auto"/>
              </w:rPr>
            </w:pPr>
          </w:p>
        </w:tc>
        <w:tc>
          <w:tcPr>
            <w:tcW w:w="20" w:type="dxa"/>
            <w:vAlign w:val="bottom"/>
            <w:shd w:val="clear" w:color="auto" w:fill="D2EEF5"/>
          </w:tcPr>
          <w:p>
            <w:pPr>
              <w:spacing w:after="0"/>
              <w:rPr>
                <w:sz w:val="23"/>
                <w:szCs w:val="23"/>
                <w:color w:val="auto"/>
              </w:rPr>
            </w:pPr>
          </w:p>
        </w:tc>
        <w:tc>
          <w:tcPr>
            <w:tcW w:w="60" w:type="dxa"/>
            <w:vAlign w:val="bottom"/>
            <w:shd w:val="clear" w:color="auto" w:fill="D2EEF5"/>
          </w:tcPr>
          <w:p>
            <w:pPr>
              <w:spacing w:after="0"/>
              <w:rPr>
                <w:sz w:val="23"/>
                <w:szCs w:val="23"/>
                <w:color w:val="auto"/>
              </w:rPr>
            </w:pPr>
          </w:p>
        </w:tc>
        <w:tc>
          <w:tcPr>
            <w:tcW w:w="280" w:type="dxa"/>
            <w:vAlign w:val="bottom"/>
            <w:shd w:val="clear" w:color="auto" w:fill="D2EEF5"/>
          </w:tcPr>
          <w:p>
            <w:pPr>
              <w:spacing w:after="0"/>
              <w:rPr>
                <w:sz w:val="23"/>
                <w:szCs w:val="23"/>
                <w:color w:val="auto"/>
              </w:rPr>
            </w:pPr>
          </w:p>
        </w:tc>
        <w:tc>
          <w:tcPr>
            <w:tcW w:w="920" w:type="dxa"/>
            <w:vAlign w:val="bottom"/>
            <w:shd w:val="clear" w:color="auto" w:fill="D2EEF5"/>
          </w:tcPr>
          <w:p>
            <w:pPr>
              <w:spacing w:after="0"/>
              <w:rPr>
                <w:sz w:val="23"/>
                <w:szCs w:val="23"/>
                <w:color w:val="auto"/>
              </w:rPr>
            </w:pPr>
          </w:p>
        </w:tc>
        <w:tc>
          <w:tcPr>
            <w:tcW w:w="40" w:type="dxa"/>
            <w:vAlign w:val="bottom"/>
            <w:shd w:val="clear" w:color="auto" w:fill="D2EEF5"/>
          </w:tcPr>
          <w:p>
            <w:pPr>
              <w:spacing w:after="0"/>
              <w:rPr>
                <w:sz w:val="23"/>
                <w:szCs w:val="23"/>
                <w:color w:val="auto"/>
              </w:rPr>
            </w:pPr>
          </w:p>
        </w:tc>
        <w:tc>
          <w:tcPr>
            <w:tcW w:w="60" w:type="dxa"/>
            <w:vAlign w:val="bottom"/>
            <w:shd w:val="clear" w:color="auto" w:fill="D2EEF5"/>
          </w:tcPr>
          <w:p>
            <w:pPr>
              <w:spacing w:after="0"/>
              <w:rPr>
                <w:sz w:val="23"/>
                <w:szCs w:val="23"/>
                <w:color w:val="auto"/>
              </w:rPr>
            </w:pPr>
          </w:p>
        </w:tc>
        <w:tc>
          <w:tcPr>
            <w:tcW w:w="20" w:type="dxa"/>
            <w:vAlign w:val="bottom"/>
            <w:shd w:val="clear" w:color="auto" w:fill="D2EEF5"/>
          </w:tcPr>
          <w:p>
            <w:pPr>
              <w:spacing w:after="0"/>
              <w:rPr>
                <w:sz w:val="23"/>
                <w:szCs w:val="23"/>
                <w:color w:val="auto"/>
              </w:rPr>
            </w:pPr>
          </w:p>
        </w:tc>
        <w:tc>
          <w:tcPr>
            <w:tcW w:w="20" w:type="dxa"/>
            <w:vAlign w:val="bottom"/>
            <w:shd w:val="clear" w:color="auto" w:fill="D2EEF5"/>
          </w:tcPr>
          <w:p>
            <w:pPr>
              <w:spacing w:after="0"/>
              <w:rPr>
                <w:sz w:val="23"/>
                <w:szCs w:val="23"/>
                <w:color w:val="auto"/>
              </w:rPr>
            </w:pPr>
          </w:p>
        </w:tc>
        <w:tc>
          <w:tcPr>
            <w:tcW w:w="160" w:type="dxa"/>
            <w:vAlign w:val="bottom"/>
            <w:shd w:val="clear" w:color="auto" w:fill="D2EEF5"/>
          </w:tcPr>
          <w:p>
            <w:pPr>
              <w:spacing w:after="0"/>
              <w:rPr>
                <w:sz w:val="23"/>
                <w:szCs w:val="23"/>
                <w:color w:val="auto"/>
              </w:rPr>
            </w:pPr>
          </w:p>
        </w:tc>
        <w:tc>
          <w:tcPr>
            <w:tcW w:w="1000" w:type="dxa"/>
            <w:vAlign w:val="bottom"/>
            <w:shd w:val="clear" w:color="auto" w:fill="D2EEF5"/>
          </w:tcPr>
          <w:p>
            <w:pPr>
              <w:spacing w:after="0"/>
              <w:rPr>
                <w:sz w:val="23"/>
                <w:szCs w:val="23"/>
                <w:color w:val="auto"/>
              </w:rPr>
            </w:pPr>
          </w:p>
        </w:tc>
        <w:tc>
          <w:tcPr>
            <w:tcW w:w="60" w:type="dxa"/>
            <w:vAlign w:val="bottom"/>
            <w:shd w:val="clear" w:color="auto" w:fill="D2EEF5"/>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2380" w:type="dxa"/>
            <w:vAlign w:val="bottom"/>
            <w:gridSpan w:val="4"/>
          </w:tcPr>
          <w:p>
            <w:pPr>
              <w:ind w:left="140"/>
              <w:spacing w:after="0"/>
              <w:rPr>
                <w:sz w:val="20"/>
                <w:szCs w:val="20"/>
                <w:color w:val="auto"/>
              </w:rPr>
            </w:pPr>
            <w:r>
              <w:rPr>
                <w:rFonts w:ascii="Times New Roman" w:cs="Times New Roman" w:eastAsia="Times New Roman" w:hAnsi="Times New Roman"/>
                <w:sz w:val="20"/>
                <w:szCs w:val="20"/>
                <w:color w:val="auto"/>
              </w:rPr>
              <w:t>Trade name</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2,801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gridSpan w:val="5"/>
          </w:tcPr>
          <w:p>
            <w:pPr>
              <w:ind w:left="440"/>
              <w:spacing w:after="0"/>
              <w:rPr>
                <w:sz w:val="20"/>
                <w:szCs w:val="20"/>
                <w:color w:val="auto"/>
              </w:rPr>
            </w:pPr>
            <w:r>
              <w:rPr>
                <w:rFonts w:ascii="Times New Roman" w:cs="Times New Roman" w:eastAsia="Times New Roman" w:hAnsi="Times New Roman"/>
                <w:sz w:val="20"/>
                <w:szCs w:val="20"/>
                <w:b w:val="1"/>
                <w:bCs w:val="1"/>
                <w:color w:val="auto"/>
              </w:rPr>
              <w:t>—</w:t>
            </w: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2,801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2,801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gridSpan w:val="5"/>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2,801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40" w:type="dxa"/>
            <w:vAlign w:val="bottom"/>
            <w:shd w:val="clear" w:color="auto" w:fill="D2EEF5"/>
          </w:tcPr>
          <w:p>
            <w:pPr>
              <w:spacing w:after="0"/>
              <w:rPr>
                <w:sz w:val="24"/>
                <w:szCs w:val="24"/>
                <w:color w:val="auto"/>
              </w:rPr>
            </w:pPr>
          </w:p>
        </w:tc>
        <w:tc>
          <w:tcPr>
            <w:tcW w:w="2300" w:type="dxa"/>
            <w:vAlign w:val="bottom"/>
            <w:shd w:val="clear" w:color="auto" w:fill="D2EEF5"/>
          </w:tcPr>
          <w:p>
            <w:pPr>
              <w:spacing w:after="0"/>
              <w:rPr>
                <w:sz w:val="20"/>
                <w:szCs w:val="20"/>
                <w:color w:val="auto"/>
              </w:rPr>
            </w:pPr>
            <w:r>
              <w:rPr>
                <w:rFonts w:ascii="Times New Roman" w:cs="Times New Roman" w:eastAsia="Times New Roman" w:hAnsi="Times New Roman"/>
                <w:sz w:val="20"/>
                <w:szCs w:val="20"/>
                <w:b w:val="1"/>
                <w:bCs w:val="1"/>
                <w:color w:val="auto"/>
                <w:shd w:val="clear" w:color="auto" w:fill="D2EEF5"/>
              </w:rPr>
              <w:t>Total intangible assets, net</w:t>
            </w:r>
          </w:p>
        </w:tc>
        <w:tc>
          <w:tcPr>
            <w:tcW w:w="40" w:type="dxa"/>
            <w:vAlign w:val="bottom"/>
            <w:shd w:val="clear" w:color="auto" w:fill="D2EEF5"/>
          </w:tcPr>
          <w:p>
            <w:pPr>
              <w:spacing w:after="0"/>
              <w:rPr>
                <w:sz w:val="24"/>
                <w:szCs w:val="24"/>
                <w:color w:val="auto"/>
              </w:rPr>
            </w:pPr>
          </w:p>
        </w:tc>
        <w:tc>
          <w:tcPr>
            <w:tcW w:w="20" w:type="dxa"/>
            <w:vAlign w:val="bottom"/>
            <w:tcBorders>
              <w:bottom w:val="single" w:sz="8" w:color="auto"/>
            </w:tcBorders>
            <w:shd w:val="clear" w:color="auto" w:fill="D2EEF5"/>
          </w:tcPr>
          <w:p>
            <w:pPr>
              <w:spacing w:after="0"/>
              <w:rPr>
                <w:sz w:val="24"/>
                <w:szCs w:val="24"/>
                <w:color w:val="auto"/>
              </w:rPr>
            </w:pPr>
          </w:p>
        </w:tc>
        <w:tc>
          <w:tcPr>
            <w:tcW w:w="20" w:type="dxa"/>
            <w:vAlign w:val="bottom"/>
            <w:tcBorders>
              <w:top w:val="single" w:sz="8" w:color="auto"/>
              <w:bottom w:val="single" w:sz="8" w:color="auto"/>
            </w:tcBorders>
            <w:shd w:val="clear" w:color="auto" w:fill="D2EEF5"/>
          </w:tcPr>
          <w:p>
            <w:pPr>
              <w:spacing w:after="0"/>
              <w:rPr>
                <w:sz w:val="24"/>
                <w:szCs w:val="24"/>
                <w:color w:val="auto"/>
              </w:rPr>
            </w:pPr>
          </w:p>
        </w:tc>
        <w:tc>
          <w:tcPr>
            <w:tcW w:w="220" w:type="dxa"/>
            <w:vAlign w:val="bottom"/>
            <w:tcBorders>
              <w:top w:val="single" w:sz="8" w:color="auto"/>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960" w:type="dxa"/>
            <w:vAlign w:val="bottom"/>
            <w:tcBorders>
              <w:top w:val="single" w:sz="8" w:color="auto"/>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2,801</w:t>
            </w:r>
          </w:p>
        </w:tc>
        <w:tc>
          <w:tcPr>
            <w:tcW w:w="60" w:type="dxa"/>
            <w:vAlign w:val="bottom"/>
            <w:tcBorders>
              <w:top w:val="single" w:sz="8" w:color="D2EEF5"/>
            </w:tcBorders>
            <w:shd w:val="clear" w:color="auto" w:fill="D2EEF5"/>
          </w:tcPr>
          <w:p>
            <w:pPr>
              <w:spacing w:after="0"/>
              <w:rPr>
                <w:sz w:val="24"/>
                <w:szCs w:val="24"/>
                <w:color w:val="auto"/>
              </w:rPr>
            </w:pPr>
          </w:p>
        </w:tc>
        <w:tc>
          <w:tcPr>
            <w:tcW w:w="20" w:type="dxa"/>
            <w:vAlign w:val="bottom"/>
            <w:tcBorders>
              <w:top w:val="single" w:sz="8" w:color="D2EEF5"/>
              <w:bottom w:val="single" w:sz="8" w:color="auto"/>
            </w:tcBorders>
            <w:shd w:val="clear" w:color="auto" w:fill="D2EEF5"/>
          </w:tcPr>
          <w:p>
            <w:pPr>
              <w:spacing w:after="0"/>
              <w:rPr>
                <w:sz w:val="24"/>
                <w:szCs w:val="24"/>
                <w:color w:val="auto"/>
              </w:rPr>
            </w:pPr>
          </w:p>
        </w:tc>
        <w:tc>
          <w:tcPr>
            <w:tcW w:w="580" w:type="dxa"/>
            <w:vAlign w:val="bottom"/>
            <w:tcBorders>
              <w:top w:val="single" w:sz="8" w:color="auto"/>
              <w:bottom w:val="single" w:sz="8" w:color="auto"/>
            </w:tcBorders>
            <w:gridSpan w:val="2"/>
            <w:shd w:val="clear" w:color="auto" w:fill="D2EEF5"/>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w:t>
            </w:r>
          </w:p>
        </w:tc>
        <w:tc>
          <w:tcPr>
            <w:tcW w:w="720" w:type="dxa"/>
            <w:vAlign w:val="bottom"/>
            <w:tcBorders>
              <w:top w:val="single" w:sz="8" w:color="auto"/>
              <w:bottom w:val="single" w:sz="8" w:color="auto"/>
            </w:tcBorders>
            <w:gridSpan w:val="2"/>
            <w:shd w:val="clear" w:color="auto" w:fill="D2EEF5"/>
          </w:tcPr>
          <w:p>
            <w:pPr>
              <w:ind w:left="440"/>
              <w:spacing w:after="0"/>
              <w:rPr>
                <w:sz w:val="20"/>
                <w:szCs w:val="20"/>
                <w:color w:val="auto"/>
              </w:rPr>
            </w:pPr>
            <w:r>
              <w:rPr>
                <w:rFonts w:ascii="Times New Roman" w:cs="Times New Roman" w:eastAsia="Times New Roman" w:hAnsi="Times New Roman"/>
                <w:sz w:val="20"/>
                <w:szCs w:val="20"/>
                <w:b w:val="1"/>
                <w:bCs w:val="1"/>
                <w:color w:val="auto"/>
              </w:rPr>
              <w:t>—</w:t>
            </w:r>
          </w:p>
        </w:tc>
        <w:tc>
          <w:tcPr>
            <w:tcW w:w="40" w:type="dxa"/>
            <w:vAlign w:val="bottom"/>
            <w:tcBorders>
              <w:top w:val="single" w:sz="8" w:color="D2EEF5"/>
            </w:tcBorders>
            <w:shd w:val="clear" w:color="auto" w:fill="D2EEF5"/>
          </w:tcPr>
          <w:p>
            <w:pPr>
              <w:spacing w:after="0"/>
              <w:rPr>
                <w:sz w:val="24"/>
                <w:szCs w:val="24"/>
                <w:color w:val="auto"/>
              </w:rPr>
            </w:pPr>
          </w:p>
        </w:tc>
        <w:tc>
          <w:tcPr>
            <w:tcW w:w="20" w:type="dxa"/>
            <w:vAlign w:val="bottom"/>
            <w:tcBorders>
              <w:top w:val="single" w:sz="8" w:color="D2EEF5"/>
              <w:bottom w:val="single" w:sz="8" w:color="auto"/>
            </w:tcBorders>
            <w:shd w:val="clear" w:color="auto" w:fill="D2EEF5"/>
          </w:tcPr>
          <w:p>
            <w:pPr>
              <w:spacing w:after="0"/>
              <w:rPr>
                <w:sz w:val="24"/>
                <w:szCs w:val="24"/>
                <w:color w:val="auto"/>
              </w:rPr>
            </w:pPr>
          </w:p>
        </w:tc>
        <w:tc>
          <w:tcPr>
            <w:tcW w:w="40" w:type="dxa"/>
            <w:vAlign w:val="bottom"/>
            <w:tcBorders>
              <w:top w:val="single" w:sz="8" w:color="auto"/>
              <w:bottom w:val="single" w:sz="8" w:color="auto"/>
            </w:tcBorders>
            <w:shd w:val="clear" w:color="auto" w:fill="D2EEF5"/>
          </w:tcPr>
          <w:p>
            <w:pPr>
              <w:spacing w:after="0"/>
              <w:rPr>
                <w:sz w:val="24"/>
                <w:szCs w:val="24"/>
                <w:color w:val="auto"/>
              </w:rPr>
            </w:pPr>
          </w:p>
        </w:tc>
        <w:tc>
          <w:tcPr>
            <w:tcW w:w="140" w:type="dxa"/>
            <w:vAlign w:val="bottom"/>
            <w:tcBorders>
              <w:top w:val="single" w:sz="8" w:color="auto"/>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000" w:type="dxa"/>
            <w:vAlign w:val="bottom"/>
            <w:tcBorders>
              <w:top w:val="single" w:sz="8" w:color="auto"/>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2,801</w:t>
            </w:r>
          </w:p>
        </w:tc>
        <w:tc>
          <w:tcPr>
            <w:tcW w:w="60" w:type="dxa"/>
            <w:vAlign w:val="bottom"/>
            <w:tcBorders>
              <w:top w:val="single" w:sz="8" w:color="auto"/>
              <w:bottom w:val="single" w:sz="8" w:color="auto"/>
            </w:tcBorders>
            <w:shd w:val="clear" w:color="auto" w:fill="D2EEF5"/>
          </w:tcPr>
          <w:p>
            <w:pPr>
              <w:spacing w:after="0"/>
              <w:rPr>
                <w:sz w:val="24"/>
                <w:szCs w:val="24"/>
                <w:color w:val="auto"/>
              </w:rPr>
            </w:pPr>
          </w:p>
        </w:tc>
        <w:tc>
          <w:tcPr>
            <w:tcW w:w="40" w:type="dxa"/>
            <w:vAlign w:val="bottom"/>
            <w:tcBorders>
              <w:top w:val="single" w:sz="8" w:color="D2EEF5"/>
            </w:tcBorders>
            <w:shd w:val="clear" w:color="auto" w:fill="D2EEF5"/>
          </w:tcPr>
          <w:p>
            <w:pPr>
              <w:spacing w:after="0"/>
              <w:rPr>
                <w:sz w:val="24"/>
                <w:szCs w:val="24"/>
                <w:color w:val="auto"/>
              </w:rPr>
            </w:pPr>
          </w:p>
        </w:tc>
        <w:tc>
          <w:tcPr>
            <w:tcW w:w="20" w:type="dxa"/>
            <w:vAlign w:val="bottom"/>
            <w:tcBorders>
              <w:top w:val="single" w:sz="8" w:color="D2EEF5"/>
              <w:bottom w:val="single" w:sz="8" w:color="auto"/>
            </w:tcBorders>
            <w:shd w:val="clear" w:color="auto" w:fill="D2EEF5"/>
          </w:tcPr>
          <w:p>
            <w:pPr>
              <w:spacing w:after="0"/>
              <w:rPr>
                <w:sz w:val="24"/>
                <w:szCs w:val="24"/>
                <w:color w:val="auto"/>
              </w:rPr>
            </w:pPr>
          </w:p>
        </w:tc>
        <w:tc>
          <w:tcPr>
            <w:tcW w:w="200" w:type="dxa"/>
            <w:vAlign w:val="bottom"/>
            <w:tcBorders>
              <w:top w:val="single" w:sz="8" w:color="auto"/>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Borders>
              <w:top w:val="single" w:sz="8" w:color="auto"/>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358,178</w:t>
            </w:r>
          </w:p>
        </w:tc>
        <w:tc>
          <w:tcPr>
            <w:tcW w:w="20" w:type="dxa"/>
            <w:vAlign w:val="bottom"/>
            <w:tcBorders>
              <w:top w:val="single" w:sz="8" w:color="auto"/>
              <w:bottom w:val="single" w:sz="8" w:color="auto"/>
            </w:tcBorders>
            <w:shd w:val="clear" w:color="auto" w:fill="D2EEF5"/>
          </w:tcPr>
          <w:p>
            <w:pPr>
              <w:spacing w:after="0"/>
              <w:rPr>
                <w:sz w:val="24"/>
                <w:szCs w:val="24"/>
                <w:color w:val="auto"/>
              </w:rPr>
            </w:pPr>
          </w:p>
        </w:tc>
        <w:tc>
          <w:tcPr>
            <w:tcW w:w="40" w:type="dxa"/>
            <w:vAlign w:val="bottom"/>
            <w:tcBorders>
              <w:top w:val="single" w:sz="8" w:color="D2EEF5"/>
            </w:tcBorders>
            <w:shd w:val="clear" w:color="auto" w:fill="D2EEF5"/>
          </w:tcPr>
          <w:p>
            <w:pPr>
              <w:spacing w:after="0"/>
              <w:rPr>
                <w:sz w:val="24"/>
                <w:szCs w:val="24"/>
                <w:color w:val="auto"/>
              </w:rPr>
            </w:pPr>
          </w:p>
        </w:tc>
        <w:tc>
          <w:tcPr>
            <w:tcW w:w="20" w:type="dxa"/>
            <w:vAlign w:val="bottom"/>
            <w:tcBorders>
              <w:top w:val="single" w:sz="8" w:color="D2EEF5"/>
              <w:bottom w:val="single" w:sz="8" w:color="auto"/>
            </w:tcBorders>
            <w:shd w:val="clear" w:color="auto" w:fill="D2EEF5"/>
          </w:tcPr>
          <w:p>
            <w:pPr>
              <w:spacing w:after="0"/>
              <w:rPr>
                <w:sz w:val="24"/>
                <w:szCs w:val="24"/>
                <w:color w:val="auto"/>
              </w:rPr>
            </w:pPr>
          </w:p>
        </w:tc>
        <w:tc>
          <w:tcPr>
            <w:tcW w:w="340" w:type="dxa"/>
            <w:vAlign w:val="bottom"/>
            <w:tcBorders>
              <w:top w:val="single" w:sz="8" w:color="auto"/>
              <w:bottom w:val="single" w:sz="8" w:color="auto"/>
            </w:tcBorders>
            <w:gridSpan w:val="2"/>
            <w:shd w:val="clear" w:color="auto" w:fill="D2EEF5"/>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960" w:type="dxa"/>
            <w:vAlign w:val="bottom"/>
            <w:tcBorders>
              <w:top w:val="single" w:sz="8" w:color="auto"/>
              <w:bottom w:val="single" w:sz="8" w:color="auto"/>
            </w:tcBorders>
            <w:gridSpan w:val="2"/>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(109,176)</w:t>
            </w:r>
          </w:p>
        </w:tc>
        <w:tc>
          <w:tcPr>
            <w:tcW w:w="60" w:type="dxa"/>
            <w:vAlign w:val="bottom"/>
            <w:tcBorders>
              <w:top w:val="single" w:sz="8" w:color="D2EEF5"/>
            </w:tcBorders>
            <w:shd w:val="clear" w:color="auto" w:fill="D2EEF5"/>
          </w:tcPr>
          <w:p>
            <w:pPr>
              <w:spacing w:after="0"/>
              <w:rPr>
                <w:sz w:val="24"/>
                <w:szCs w:val="24"/>
                <w:color w:val="auto"/>
              </w:rPr>
            </w:pPr>
          </w:p>
        </w:tc>
        <w:tc>
          <w:tcPr>
            <w:tcW w:w="20" w:type="dxa"/>
            <w:vAlign w:val="bottom"/>
            <w:tcBorders>
              <w:top w:val="single" w:sz="8" w:color="D2EEF5"/>
              <w:bottom w:val="single" w:sz="8" w:color="auto"/>
            </w:tcBorders>
            <w:shd w:val="clear" w:color="auto" w:fill="D2EEF5"/>
          </w:tcPr>
          <w:p>
            <w:pPr>
              <w:spacing w:after="0"/>
              <w:rPr>
                <w:sz w:val="24"/>
                <w:szCs w:val="24"/>
                <w:color w:val="auto"/>
              </w:rPr>
            </w:pPr>
          </w:p>
        </w:tc>
        <w:tc>
          <w:tcPr>
            <w:tcW w:w="20" w:type="dxa"/>
            <w:vAlign w:val="bottom"/>
            <w:tcBorders>
              <w:top w:val="single" w:sz="8" w:color="auto"/>
              <w:bottom w:val="single" w:sz="8" w:color="auto"/>
            </w:tcBorders>
            <w:shd w:val="clear" w:color="auto" w:fill="D2EEF5"/>
          </w:tcPr>
          <w:p>
            <w:pPr>
              <w:spacing w:after="0"/>
              <w:rPr>
                <w:sz w:val="24"/>
                <w:szCs w:val="24"/>
                <w:color w:val="auto"/>
              </w:rPr>
            </w:pPr>
          </w:p>
        </w:tc>
        <w:tc>
          <w:tcPr>
            <w:tcW w:w="160" w:type="dxa"/>
            <w:vAlign w:val="bottom"/>
            <w:tcBorders>
              <w:top w:val="single" w:sz="8" w:color="auto"/>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000" w:type="dxa"/>
            <w:vAlign w:val="bottom"/>
            <w:tcBorders>
              <w:top w:val="single" w:sz="8" w:color="auto"/>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249,002</w:t>
            </w:r>
          </w:p>
        </w:tc>
        <w:tc>
          <w:tcPr>
            <w:tcW w:w="60" w:type="dxa"/>
            <w:vAlign w:val="bottom"/>
            <w:tcBorders>
              <w:top w:val="single" w:sz="8" w:color="auto"/>
              <w:bottom w:val="single" w:sz="8" w:color="auto"/>
            </w:tcBorders>
            <w:shd w:val="clear" w:color="auto" w:fill="D2EEF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-2193290</wp:posOffset>
                </wp:positionV>
                <wp:extent cx="1524000"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00" cy="4763"/>
                        </a:xfrm>
                        <a:prstGeom prst="line">
                          <a:avLst/>
                        </a:prstGeom>
                        <a:solidFill>
                          <a:srgbClr val="FFFFFF"/>
                        </a:solidFill>
                        <a:ln w="12955">
                          <a:solidFill>
                            <a:srgbClr val="FFFFFF"/>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72.6999pt" to="119.5pt,-172.6999pt" o:allowincell="f" strokecolor="#FFFFFF" strokeweight="1.0201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-1831340</wp:posOffset>
                </wp:positionV>
                <wp:extent cx="6515100"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5100" cy="4763"/>
                        </a:xfrm>
                        <a:prstGeom prst="line">
                          <a:avLst/>
                        </a:prstGeom>
                        <a:solidFill>
                          <a:srgbClr val="FFFFFF"/>
                        </a:solidFill>
                        <a:ln w="12955">
                          <a:solidFill>
                            <a:srgbClr val="FFFFFF"/>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44.1999pt" to="512.5pt,-144.1999pt" o:allowincell="f" strokecolor="#FFFFFF" strokeweight="1.0201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-1355090</wp:posOffset>
                </wp:positionV>
                <wp:extent cx="6515100"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5100" cy="4763"/>
                        </a:xfrm>
                        <a:prstGeom prst="line">
                          <a:avLst/>
                        </a:prstGeom>
                        <a:solidFill>
                          <a:srgbClr val="FFFFFF"/>
                        </a:solidFill>
                        <a:ln w="12955">
                          <a:solidFill>
                            <a:srgbClr val="FFFFFF"/>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06.6999pt" to="512.5pt,-106.6999pt" o:allowincell="f" strokecolor="#FFFFFF" strokeweight="1.0201pt"/>
            </w:pict>
          </mc:Fallback>
        </mc:AlternateContent>
      </w:r>
    </w:p>
    <w:p>
      <w:pPr>
        <w:spacing w:after="0" w:line="131" w:lineRule="exact"/>
        <w:rPr>
          <w:sz w:val="20"/>
          <w:szCs w:val="20"/>
          <w:color w:val="auto"/>
        </w:rPr>
      </w:pPr>
    </w:p>
    <w:p>
      <w:pPr>
        <w:jc w:val="both"/>
        <w:ind w:right="20" w:firstLine="720"/>
        <w:spacing w:after="0" w:line="288" w:lineRule="auto"/>
        <w:rPr>
          <w:sz w:val="20"/>
          <w:szCs w:val="20"/>
          <w:color w:val="auto"/>
        </w:rPr>
      </w:pPr>
      <w:r>
        <w:rPr>
          <w:rFonts w:ascii="Times New Roman" w:cs="Times New Roman" w:eastAsia="Times New Roman" w:hAnsi="Times New Roman"/>
          <w:sz w:val="20"/>
          <w:szCs w:val="20"/>
          <w:color w:val="auto"/>
        </w:rPr>
        <w:t>Amortization expense related to intangible assets was $17,794 and $23,998 for the years ended December 31, 2025, and 2024, respectively.</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LOSS PER COMMON SHARE</w:t>
      </w:r>
    </w:p>
    <w:p>
      <w:pPr>
        <w:spacing w:after="0" w:line="214" w:lineRule="exact"/>
        <w:rPr>
          <w:sz w:val="20"/>
          <w:szCs w:val="20"/>
          <w:color w:val="auto"/>
        </w:rPr>
      </w:pPr>
    </w:p>
    <w:p>
      <w:pPr>
        <w:jc w:val="both"/>
        <w:ind w:right="20" w:firstLine="720"/>
        <w:spacing w:after="0" w:line="288" w:lineRule="auto"/>
        <w:rPr>
          <w:sz w:val="20"/>
          <w:szCs w:val="20"/>
          <w:color w:val="auto"/>
        </w:rPr>
      </w:pPr>
      <w:r>
        <w:rPr>
          <w:rFonts w:ascii="Times New Roman" w:cs="Times New Roman" w:eastAsia="Times New Roman" w:hAnsi="Times New Roman"/>
          <w:sz w:val="20"/>
          <w:szCs w:val="20"/>
          <w:color w:val="auto"/>
        </w:rPr>
        <w:t>Basic loss per common share is computed using net loss divided by the weighted-average number of common shares outstanding during each period, excluding unvested RSUs and PSUs.</w:t>
      </w:r>
    </w:p>
    <w:p>
      <w:pPr>
        <w:spacing w:after="0" w:line="128" w:lineRule="exact"/>
        <w:rPr>
          <w:sz w:val="20"/>
          <w:szCs w:val="20"/>
          <w:color w:val="auto"/>
        </w:rPr>
      </w:pPr>
    </w:p>
    <w:p>
      <w:pPr>
        <w:jc w:val="both"/>
        <w:ind w:firstLine="720"/>
        <w:spacing w:after="0" w:line="263" w:lineRule="auto"/>
        <w:rPr>
          <w:sz w:val="20"/>
          <w:szCs w:val="20"/>
          <w:color w:val="auto"/>
        </w:rPr>
      </w:pPr>
      <w:r>
        <w:rPr>
          <w:rFonts w:ascii="Times New Roman" w:cs="Times New Roman" w:eastAsia="Times New Roman" w:hAnsi="Times New Roman"/>
          <w:sz w:val="20"/>
          <w:szCs w:val="20"/>
          <w:color w:val="auto"/>
        </w:rPr>
        <w:t>Diluted loss per common share represents net loss divided by the weighted-average number of common shares outstanding during the period, including common stock equivalents. Common stock equivalents consist of shares subject to share-based awards with exercise prices less than the average market price of the Company’s common stock for the period, to the extent their inclusion would be dilutive.</w:t>
      </w:r>
    </w:p>
    <w:p>
      <w:pPr>
        <w:spacing w:after="0" w:line="15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presents basic and diluted loss per common share for the years ended December 31, 2025, and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2024:</w:t>
      </w:r>
    </w:p>
    <w:p>
      <w:pPr>
        <w:spacing w:after="0" w:line="222" w:lineRule="exact"/>
        <w:rPr>
          <w:sz w:val="20"/>
          <w:szCs w:val="20"/>
          <w:color w:val="auto"/>
        </w:rPr>
      </w:pPr>
    </w:p>
    <w:p>
      <w:pPr>
        <w:jc w:val="center"/>
        <w:ind w:left="748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4779645</wp:posOffset>
                </wp:positionH>
                <wp:positionV relativeFrom="paragraph">
                  <wp:posOffset>41910</wp:posOffset>
                </wp:positionV>
                <wp:extent cx="1695450"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9545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6.35pt,3.3pt" to="509.85pt,3.3pt" o:allowincell="f" strokecolor="#000000" strokeweight="0.96pt"/>
            </w:pict>
          </mc:Fallback>
        </mc:AlternateContent>
      </w:r>
    </w:p>
    <w:p>
      <w:pPr>
        <w:spacing w:after="0" w:line="65" w:lineRule="exact"/>
        <w:rPr>
          <w:sz w:val="20"/>
          <w:szCs w:val="20"/>
          <w:color w:val="auto"/>
        </w:rPr>
      </w:pPr>
    </w:p>
    <w:p>
      <w:pPr>
        <w:ind w:left="8000"/>
        <w:spacing w:after="0"/>
        <w:tabs>
          <w:tab w:leader="none" w:pos="934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-48895</wp:posOffset>
                </wp:positionH>
                <wp:positionV relativeFrom="paragraph">
                  <wp:posOffset>38735</wp:posOffset>
                </wp:positionV>
                <wp:extent cx="4790440"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90440" cy="4763"/>
                        </a:xfrm>
                        <a:prstGeom prst="line">
                          <a:avLst/>
                        </a:prstGeom>
                        <a:solidFill>
                          <a:srgbClr val="FFFFFF"/>
                        </a:solidFill>
                        <a:ln w="12192">
                          <a:solidFill>
                            <a:srgbClr val="D2EEF5"/>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499pt,3.05pt" to="373.35pt,3.05pt" o:allowincell="f" strokecolor="#D2EEF5" strokeweight="0.96pt"/>
            </w:pict>
          </mc:Fallback>
        </mc:AlternateContent>
        <mc:AlternateContent>
          <mc:Choice Requires="wps">
            <w:drawing>
              <wp:anchor simplePos="0" relativeHeight="251657728" behindDoc="1" locked="0" layoutInCell="0" allowOverlap="1">
                <wp:simplePos x="0" y="0"/>
                <wp:positionH relativeFrom="column">
                  <wp:posOffset>4770120</wp:posOffset>
                </wp:positionH>
                <wp:positionV relativeFrom="paragraph">
                  <wp:posOffset>38735</wp:posOffset>
                </wp:positionV>
                <wp:extent cx="837565"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7565"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5.6pt,3.05pt" to="441.55pt,3.05pt" o:allowincell="f" strokecolor="#000000" strokeweight="0.96pt"/>
            </w:pict>
          </mc:Fallback>
        </mc:AlternateContent>
        <mc:AlternateContent>
          <mc:Choice Requires="wps">
            <w:drawing>
              <wp:anchor simplePos="0" relativeHeight="251657728" behindDoc="1" locked="0" layoutInCell="0" allowOverlap="1">
                <wp:simplePos x="0" y="0"/>
                <wp:positionH relativeFrom="column">
                  <wp:posOffset>5636895</wp:posOffset>
                </wp:positionH>
                <wp:positionV relativeFrom="paragraph">
                  <wp:posOffset>38735</wp:posOffset>
                </wp:positionV>
                <wp:extent cx="838200"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820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3.85pt,3.05pt" to="509.85pt,3.05pt" o:allowincell="f" strokecolor="#000000" strokeweight="0.96pt"/>
            </w:pict>
          </mc:Fallback>
        </mc:AlternateContent>
      </w:r>
    </w:p>
    <w:p>
      <w:pPr>
        <w:sectPr>
          <w:pgSz w:w="12240" w:h="15840" w:orient="portrait"/>
          <w:cols w:equalWidth="0" w:num="1">
            <w:col w:w="10260"/>
          </w:cols>
          <w:pgMar w:left="1000" w:top="420" w:right="980" w:bottom="0"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10260"/>
          </w:cols>
          <w:pgMar w:left="1000" w:top="420" w:right="980" w:bottom="0" w:gutter="0" w:footer="0" w:header="0"/>
          <w:type w:val="continuous"/>
        </w:sectPr>
      </w:pPr>
    </w:p>
    <w:bookmarkStart w:id="78" w:name="page79"/>
    <w:bookmarkEnd w:id="78"/>
    <w:p>
      <w:pPr>
        <w:ind w:left="60"/>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4"/>
          <w:szCs w:val="24"/>
          <w:b w:val="1"/>
          <w:bCs w:val="1"/>
          <w:color w:val="auto"/>
        </w:rPr>
        <w:t>Hydrofarm Holdings Group, Inc.</w:t>
      </w:r>
    </w:p>
    <w:p>
      <w:pPr>
        <w:spacing w:after="0" w:line="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60" w:type="dxa"/>
            <w:vAlign w:val="bottom"/>
            <w:tcBorders>
              <w:top w:val="single" w:sz="8" w:color="D2EEF5"/>
            </w:tcBorders>
            <w:shd w:val="clear" w:color="auto" w:fill="D2EEF5"/>
          </w:tcPr>
          <w:p>
            <w:pPr>
              <w:spacing w:after="0"/>
              <w:rPr>
                <w:sz w:val="24"/>
                <w:szCs w:val="24"/>
                <w:color w:val="auto"/>
              </w:rPr>
            </w:pPr>
          </w:p>
        </w:tc>
        <w:tc>
          <w:tcPr>
            <w:tcW w:w="7420" w:type="dxa"/>
            <w:vAlign w:val="bottom"/>
            <w:tcBorders>
              <w:top w:val="single" w:sz="8" w:color="D2EEF5"/>
            </w:tcBorders>
            <w:shd w:val="clear" w:color="auto" w:fill="D2EEF5"/>
          </w:tcPr>
          <w:p>
            <w:pPr>
              <w:spacing w:after="0"/>
              <w:rPr>
                <w:sz w:val="20"/>
                <w:szCs w:val="20"/>
                <w:color w:val="auto"/>
              </w:rPr>
            </w:pPr>
            <w:r>
              <w:rPr>
                <w:rFonts w:ascii="Times New Roman" w:cs="Times New Roman" w:eastAsia="Times New Roman" w:hAnsi="Times New Roman"/>
                <w:sz w:val="20"/>
                <w:szCs w:val="20"/>
                <w:b w:val="1"/>
                <w:bCs w:val="1"/>
                <w:color w:val="auto"/>
              </w:rPr>
              <w:t>Net loss</w:t>
            </w:r>
          </w:p>
        </w:tc>
        <w:tc>
          <w:tcPr>
            <w:tcW w:w="100" w:type="dxa"/>
            <w:vAlign w:val="bottom"/>
            <w:tcBorders>
              <w:top w:val="single" w:sz="8" w:color="D2EEF5"/>
            </w:tcBorders>
            <w:shd w:val="clear" w:color="auto" w:fill="D2EEF5"/>
          </w:tcPr>
          <w:p>
            <w:pPr>
              <w:spacing w:after="0"/>
              <w:rPr>
                <w:sz w:val="24"/>
                <w:szCs w:val="24"/>
                <w:color w:val="auto"/>
              </w:rPr>
            </w:pPr>
          </w:p>
        </w:tc>
        <w:tc>
          <w:tcPr>
            <w:tcW w:w="300" w:type="dxa"/>
            <w:vAlign w:val="bottom"/>
            <w:tcBorders>
              <w:top w:val="single" w:sz="8" w:color="auto"/>
              <w:bottom w:val="single" w:sz="8" w:color="auto"/>
            </w:tcBorders>
            <w:shd w:val="clear" w:color="auto" w:fill="D2EEF5"/>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Borders>
              <w:top w:val="single" w:sz="8" w:color="auto"/>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(289,790)</w:t>
            </w:r>
          </w:p>
        </w:tc>
        <w:tc>
          <w:tcPr>
            <w:tcW w:w="60" w:type="dxa"/>
            <w:vAlign w:val="bottom"/>
            <w:tcBorders>
              <w:top w:val="single" w:sz="8" w:color="D2EEF5"/>
            </w:tcBorders>
            <w:shd w:val="clear" w:color="auto" w:fill="D2EEF5"/>
          </w:tcPr>
          <w:p>
            <w:pPr>
              <w:spacing w:after="0"/>
              <w:rPr>
                <w:sz w:val="24"/>
                <w:szCs w:val="24"/>
                <w:color w:val="auto"/>
              </w:rPr>
            </w:pPr>
          </w:p>
        </w:tc>
        <w:tc>
          <w:tcPr>
            <w:tcW w:w="280" w:type="dxa"/>
            <w:vAlign w:val="bottom"/>
            <w:tcBorders>
              <w:top w:val="single" w:sz="8" w:color="auto"/>
              <w:bottom w:val="single" w:sz="8" w:color="auto"/>
            </w:tcBorders>
            <w:shd w:val="clear" w:color="auto" w:fill="D2EEF5"/>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Borders>
              <w:top w:val="single" w:sz="8" w:color="auto"/>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(66,717)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42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Weighted-average shares of common stock outstanding</w:t>
            </w: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0" w:type="dxa"/>
            <w:vAlign w:val="bottom"/>
          </w:tcPr>
          <w:p>
            <w:pPr>
              <w:spacing w:after="0" w:line="20" w:lineRule="exact"/>
              <w:rPr>
                <w:sz w:val="1"/>
                <w:szCs w:val="1"/>
                <w:color w:val="auto"/>
              </w:rPr>
            </w:pPr>
          </w:p>
        </w:tc>
        <w:tc>
          <w:tcPr>
            <w:tcW w:w="74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vMerge w:val="restart"/>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4,647,945</w:t>
            </w: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vMerge w:val="restart"/>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4,598,640</w:t>
            </w:r>
          </w:p>
        </w:tc>
        <w:tc>
          <w:tcPr>
            <w:tcW w:w="0" w:type="dxa"/>
            <w:vAlign w:val="bottom"/>
          </w:tcPr>
          <w:p>
            <w:pPr>
              <w:spacing w:after="0" w:line="20" w:lineRule="exact"/>
              <w:rPr>
                <w:sz w:val="1"/>
                <w:szCs w:val="1"/>
                <w:color w:val="auto"/>
              </w:rPr>
            </w:pPr>
          </w:p>
        </w:tc>
      </w:tr>
      <w:tr>
        <w:trPr>
          <w:trHeight w:val="204"/>
        </w:trPr>
        <w:tc>
          <w:tcPr>
            <w:tcW w:w="60" w:type="dxa"/>
            <w:vAlign w:val="bottom"/>
          </w:tcPr>
          <w:p>
            <w:pPr>
              <w:spacing w:after="0"/>
              <w:rPr>
                <w:sz w:val="17"/>
                <w:szCs w:val="17"/>
                <w:color w:val="auto"/>
              </w:rPr>
            </w:pPr>
          </w:p>
        </w:tc>
        <w:tc>
          <w:tcPr>
            <w:tcW w:w="74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60" w:type="dxa"/>
            <w:vAlign w:val="bottom"/>
            <w:shd w:val="clear" w:color="auto" w:fill="D2EEF5"/>
          </w:tcPr>
          <w:p>
            <w:pPr>
              <w:spacing w:after="0"/>
              <w:rPr>
                <w:sz w:val="24"/>
                <w:szCs w:val="24"/>
                <w:color w:val="auto"/>
              </w:rPr>
            </w:pPr>
          </w:p>
        </w:tc>
        <w:tc>
          <w:tcPr>
            <w:tcW w:w="7420" w:type="dxa"/>
            <w:vAlign w:val="bottom"/>
            <w:shd w:val="clear" w:color="auto" w:fill="D2EEF5"/>
          </w:tcPr>
          <w:p>
            <w:pPr>
              <w:ind w:left="120"/>
              <w:spacing w:after="0"/>
              <w:rPr>
                <w:sz w:val="20"/>
                <w:szCs w:val="20"/>
                <w:color w:val="auto"/>
              </w:rPr>
            </w:pPr>
            <w:r>
              <w:rPr>
                <w:rFonts w:ascii="Times New Roman" w:cs="Times New Roman" w:eastAsia="Times New Roman" w:hAnsi="Times New Roman"/>
                <w:sz w:val="20"/>
                <w:szCs w:val="20"/>
                <w:color w:val="auto"/>
              </w:rPr>
              <w:t>Dilutive effect of share based compensation awards using the treasury stock method</w:t>
            </w:r>
          </w:p>
        </w:tc>
        <w:tc>
          <w:tcPr>
            <w:tcW w:w="100" w:type="dxa"/>
            <w:vAlign w:val="bottom"/>
            <w:shd w:val="clear" w:color="auto" w:fill="D2EEF5"/>
          </w:tcPr>
          <w:p>
            <w:pPr>
              <w:spacing w:after="0"/>
              <w:rPr>
                <w:sz w:val="24"/>
                <w:szCs w:val="24"/>
                <w:color w:val="auto"/>
              </w:rPr>
            </w:pPr>
          </w:p>
        </w:tc>
        <w:tc>
          <w:tcPr>
            <w:tcW w:w="300" w:type="dxa"/>
            <w:vAlign w:val="bottom"/>
            <w:shd w:val="clear" w:color="auto" w:fill="D2EEF5"/>
          </w:tcPr>
          <w:p>
            <w:pPr>
              <w:spacing w:after="0"/>
              <w:rPr>
                <w:sz w:val="24"/>
                <w:szCs w:val="24"/>
                <w:color w:val="auto"/>
              </w:rPr>
            </w:pPr>
          </w:p>
        </w:tc>
        <w:tc>
          <w:tcPr>
            <w:tcW w:w="10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shd w:val="clear" w:color="auto" w:fill="D2EEF5"/>
          </w:tcPr>
          <w:p>
            <w:pPr>
              <w:spacing w:after="0"/>
              <w:rPr>
                <w:sz w:val="24"/>
                <w:szCs w:val="24"/>
                <w:color w:val="auto"/>
              </w:rPr>
            </w:pPr>
          </w:p>
        </w:tc>
        <w:tc>
          <w:tcPr>
            <w:tcW w:w="280" w:type="dxa"/>
            <w:vAlign w:val="bottom"/>
            <w:shd w:val="clear" w:color="auto" w:fill="D2EEF5"/>
          </w:tcPr>
          <w:p>
            <w:pPr>
              <w:spacing w:after="0"/>
              <w:rPr>
                <w:sz w:val="24"/>
                <w:szCs w:val="24"/>
                <w:color w:val="auto"/>
              </w:rPr>
            </w:pPr>
          </w:p>
        </w:tc>
        <w:tc>
          <w:tcPr>
            <w:tcW w:w="10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r>
        <w:trPr>
          <w:trHeight w:val="324"/>
        </w:trPr>
        <w:tc>
          <w:tcPr>
            <w:tcW w:w="60" w:type="dxa"/>
            <w:vAlign w:val="bottom"/>
            <w:tcBorders>
              <w:bottom w:val="single" w:sz="8" w:color="D2EEF5"/>
            </w:tcBorders>
          </w:tcPr>
          <w:p>
            <w:pPr>
              <w:spacing w:after="0"/>
              <w:rPr>
                <w:sz w:val="24"/>
                <w:szCs w:val="24"/>
                <w:color w:val="auto"/>
              </w:rPr>
            </w:pPr>
          </w:p>
        </w:tc>
        <w:tc>
          <w:tcPr>
            <w:tcW w:w="7420" w:type="dxa"/>
            <w:vAlign w:val="bottom"/>
            <w:tcBorders>
              <w:bottom w:val="single" w:sz="8" w:color="D2EEF5"/>
            </w:tcBorders>
          </w:tcPr>
          <w:p>
            <w:pPr>
              <w:spacing w:after="0"/>
              <w:rPr>
                <w:sz w:val="20"/>
                <w:szCs w:val="20"/>
                <w:color w:val="auto"/>
              </w:rPr>
            </w:pPr>
            <w:r>
              <w:rPr>
                <w:rFonts w:ascii="Times New Roman" w:cs="Times New Roman" w:eastAsia="Times New Roman" w:hAnsi="Times New Roman"/>
                <w:sz w:val="20"/>
                <w:szCs w:val="20"/>
                <w:b w:val="1"/>
                <w:bCs w:val="1"/>
                <w:color w:val="auto"/>
              </w:rPr>
              <w:t>Diluted weighted-average shares of common stock outstanding</w:t>
            </w:r>
          </w:p>
        </w:tc>
        <w:tc>
          <w:tcPr>
            <w:tcW w:w="100" w:type="dxa"/>
            <w:vAlign w:val="bottom"/>
            <w:tcBorders>
              <w:bottom w:val="single" w:sz="8" w:color="D2EEF5"/>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4,647,945</w:t>
            </w:r>
          </w:p>
        </w:tc>
        <w:tc>
          <w:tcPr>
            <w:tcW w:w="60" w:type="dxa"/>
            <w:vAlign w:val="bottom"/>
            <w:tcBorders>
              <w:bottom w:val="single" w:sz="8" w:color="D2EEF5"/>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4,598,640</w:t>
            </w:r>
          </w:p>
        </w:tc>
        <w:tc>
          <w:tcPr>
            <w:tcW w:w="0" w:type="dxa"/>
            <w:vAlign w:val="bottom"/>
          </w:tcPr>
          <w:p>
            <w:pPr>
              <w:spacing w:after="0"/>
              <w:rPr>
                <w:sz w:val="1"/>
                <w:szCs w:val="1"/>
                <w:color w:val="auto"/>
              </w:rPr>
            </w:pPr>
          </w:p>
        </w:tc>
      </w:tr>
      <w:tr>
        <w:trPr>
          <w:trHeight w:val="226"/>
        </w:trPr>
        <w:tc>
          <w:tcPr>
            <w:tcW w:w="60" w:type="dxa"/>
            <w:vAlign w:val="bottom"/>
            <w:shd w:val="clear" w:color="auto" w:fill="D2EEF5"/>
          </w:tcPr>
          <w:p>
            <w:pPr>
              <w:spacing w:after="0"/>
              <w:rPr>
                <w:sz w:val="19"/>
                <w:szCs w:val="19"/>
                <w:color w:val="auto"/>
              </w:rPr>
            </w:pPr>
          </w:p>
        </w:tc>
        <w:tc>
          <w:tcPr>
            <w:tcW w:w="7420" w:type="dxa"/>
            <w:vAlign w:val="bottom"/>
            <w:shd w:val="clear" w:color="auto" w:fill="D2EEF5"/>
          </w:tcPr>
          <w:p>
            <w:pPr>
              <w:spacing w:after="0" w:line="227" w:lineRule="exact"/>
              <w:rPr>
                <w:sz w:val="20"/>
                <w:szCs w:val="20"/>
                <w:color w:val="auto"/>
              </w:rPr>
            </w:pPr>
            <w:r>
              <w:rPr>
                <w:rFonts w:ascii="Times New Roman" w:cs="Times New Roman" w:eastAsia="Times New Roman" w:hAnsi="Times New Roman"/>
                <w:sz w:val="20"/>
                <w:szCs w:val="20"/>
                <w:b w:val="1"/>
                <w:bCs w:val="1"/>
                <w:color w:val="auto"/>
              </w:rPr>
              <w:t>Basic loss per common share</w:t>
            </w:r>
          </w:p>
        </w:tc>
        <w:tc>
          <w:tcPr>
            <w:tcW w:w="100" w:type="dxa"/>
            <w:vAlign w:val="bottom"/>
            <w:shd w:val="clear" w:color="auto" w:fill="D2EEF5"/>
          </w:tcPr>
          <w:p>
            <w:pPr>
              <w:spacing w:after="0"/>
              <w:rPr>
                <w:sz w:val="19"/>
                <w:szCs w:val="19"/>
                <w:color w:val="auto"/>
              </w:rPr>
            </w:pPr>
          </w:p>
        </w:tc>
        <w:tc>
          <w:tcPr>
            <w:tcW w:w="300" w:type="dxa"/>
            <w:vAlign w:val="bottom"/>
            <w:shd w:val="clear" w:color="auto" w:fill="D2EEF5"/>
          </w:tcPr>
          <w:p>
            <w:pPr>
              <w:jc w:val="right"/>
              <w:ind w:right="20"/>
              <w:spacing w:after="0" w:line="227" w:lineRule="exact"/>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shd w:val="clear" w:color="auto" w:fill="D2EEF5"/>
          </w:tcPr>
          <w:p>
            <w:pPr>
              <w:jc w:val="right"/>
              <w:spacing w:after="0" w:line="227" w:lineRule="exact"/>
              <w:rPr>
                <w:sz w:val="20"/>
                <w:szCs w:val="20"/>
                <w:color w:val="auto"/>
              </w:rPr>
            </w:pPr>
            <w:r>
              <w:rPr>
                <w:rFonts w:ascii="Times New Roman" w:cs="Times New Roman" w:eastAsia="Times New Roman" w:hAnsi="Times New Roman"/>
                <w:sz w:val="20"/>
                <w:szCs w:val="20"/>
                <w:b w:val="1"/>
                <w:bCs w:val="1"/>
                <w:color w:val="auto"/>
              </w:rPr>
              <w:t>(62.35)</w:t>
            </w:r>
          </w:p>
        </w:tc>
        <w:tc>
          <w:tcPr>
            <w:tcW w:w="60" w:type="dxa"/>
            <w:vAlign w:val="bottom"/>
            <w:shd w:val="clear" w:color="auto" w:fill="D2EEF5"/>
          </w:tcPr>
          <w:p>
            <w:pPr>
              <w:spacing w:after="0"/>
              <w:rPr>
                <w:sz w:val="19"/>
                <w:szCs w:val="19"/>
                <w:color w:val="auto"/>
              </w:rPr>
            </w:pPr>
          </w:p>
        </w:tc>
        <w:tc>
          <w:tcPr>
            <w:tcW w:w="280" w:type="dxa"/>
            <w:vAlign w:val="bottom"/>
            <w:shd w:val="clear" w:color="auto" w:fill="D2EEF5"/>
          </w:tcPr>
          <w:p>
            <w:pPr>
              <w:jc w:val="right"/>
              <w:ind w:right="20"/>
              <w:spacing w:after="0" w:line="227" w:lineRule="exact"/>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shd w:val="clear" w:color="auto" w:fill="D2EEF5"/>
          </w:tcPr>
          <w:p>
            <w:pPr>
              <w:jc w:val="right"/>
              <w:spacing w:after="0" w:line="227" w:lineRule="exact"/>
              <w:rPr>
                <w:sz w:val="20"/>
                <w:szCs w:val="20"/>
                <w:color w:val="auto"/>
              </w:rPr>
            </w:pPr>
            <w:r>
              <w:rPr>
                <w:rFonts w:ascii="Times New Roman" w:cs="Times New Roman" w:eastAsia="Times New Roman" w:hAnsi="Times New Roman"/>
                <w:sz w:val="20"/>
                <w:szCs w:val="20"/>
                <w:b w:val="1"/>
                <w:bCs w:val="1"/>
                <w:color w:val="auto"/>
              </w:rPr>
              <w:t>(14.51)</w:t>
            </w:r>
          </w:p>
        </w:tc>
        <w:tc>
          <w:tcPr>
            <w:tcW w:w="0" w:type="dxa"/>
            <w:vAlign w:val="bottom"/>
          </w:tcPr>
          <w:p>
            <w:pPr>
              <w:spacing w:after="0"/>
              <w:rPr>
                <w:sz w:val="1"/>
                <w:szCs w:val="1"/>
                <w:color w:val="auto"/>
              </w:rPr>
            </w:pPr>
          </w:p>
        </w:tc>
      </w:tr>
      <w:tr>
        <w:trPr>
          <w:trHeight w:val="275"/>
        </w:trPr>
        <w:tc>
          <w:tcPr>
            <w:tcW w:w="60" w:type="dxa"/>
            <w:vAlign w:val="bottom"/>
          </w:tcPr>
          <w:p>
            <w:pPr>
              <w:spacing w:after="0"/>
              <w:rPr>
                <w:sz w:val="23"/>
                <w:szCs w:val="23"/>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Diluted loss per common share</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(62.35)</w:t>
            </w:r>
          </w:p>
        </w:tc>
        <w:tc>
          <w:tcPr>
            <w:tcW w:w="60" w:type="dxa"/>
            <w:vAlign w:val="bottom"/>
          </w:tcPr>
          <w:p>
            <w:pPr>
              <w:spacing w:after="0"/>
              <w:rPr>
                <w:sz w:val="23"/>
                <w:szCs w:val="23"/>
                <w:color w:val="auto"/>
              </w:rPr>
            </w:pP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(14.51)</w:t>
            </w: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ind w:left="60" w:firstLine="720"/>
        <w:spacing w:after="0" w:line="269" w:lineRule="auto"/>
        <w:rPr>
          <w:sz w:val="20"/>
          <w:szCs w:val="20"/>
          <w:color w:val="auto"/>
        </w:rPr>
      </w:pPr>
      <w:r>
        <w:rPr>
          <w:rFonts w:ascii="Times New Roman" w:cs="Times New Roman" w:eastAsia="Times New Roman" w:hAnsi="Times New Roman"/>
          <w:sz w:val="20"/>
          <w:szCs w:val="20"/>
          <w:color w:val="auto"/>
        </w:rPr>
        <w:t>The computation of the weighted-average shares of common stock outstanding for diluted loss per common share excludes the following potential shares of common stock as their inclusion would have an anti-dilutive effect on diluted loss per common share: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00" w:type="dxa"/>
            <w:vAlign w:val="bottom"/>
          </w:tcPr>
          <w:p>
            <w:pPr>
              <w:spacing w:after="0"/>
              <w:rPr>
                <w:sz w:val="22"/>
                <w:szCs w:val="22"/>
                <w:color w:val="auto"/>
              </w:rPr>
            </w:pPr>
          </w:p>
        </w:tc>
        <w:tc>
          <w:tcPr>
            <w:tcW w:w="7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500" w:type="dxa"/>
            <w:vAlign w:val="bottom"/>
            <w:gridSpan w:val="8"/>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0" w:type="dxa"/>
            <w:vAlign w:val="bottom"/>
          </w:tcPr>
          <w:p>
            <w:pPr>
              <w:spacing w:after="0"/>
              <w:rPr>
                <w:sz w:val="1"/>
                <w:szCs w:val="1"/>
                <w:color w:val="auto"/>
              </w:rPr>
            </w:pPr>
          </w:p>
        </w:tc>
      </w:tr>
      <w:tr>
        <w:trPr>
          <w:trHeight w:val="265"/>
        </w:trPr>
        <w:tc>
          <w:tcPr>
            <w:tcW w:w="100" w:type="dxa"/>
            <w:vAlign w:val="bottom"/>
            <w:tcBorders>
              <w:bottom w:val="single" w:sz="8" w:color="D2EEF5"/>
            </w:tcBorders>
          </w:tcPr>
          <w:p>
            <w:pPr>
              <w:spacing w:after="0"/>
              <w:rPr>
                <w:sz w:val="23"/>
                <w:szCs w:val="23"/>
                <w:color w:val="auto"/>
              </w:rPr>
            </w:pPr>
          </w:p>
        </w:tc>
        <w:tc>
          <w:tcPr>
            <w:tcW w:w="7480" w:type="dxa"/>
            <w:vAlign w:val="bottom"/>
            <w:tcBorders>
              <w:bottom w:val="single" w:sz="8" w:color="D2EEF5"/>
            </w:tcBorders>
          </w:tcPr>
          <w:p>
            <w:pPr>
              <w:spacing w:after="0"/>
              <w:rPr>
                <w:sz w:val="23"/>
                <w:szCs w:val="23"/>
                <w:color w:val="auto"/>
              </w:rPr>
            </w:pPr>
          </w:p>
        </w:tc>
        <w:tc>
          <w:tcPr>
            <w:tcW w:w="40" w:type="dxa"/>
            <w:vAlign w:val="bottom"/>
            <w:tcBorders>
              <w:top w:val="single" w:sz="8" w:color="auto"/>
              <w:bottom w:val="single" w:sz="8" w:color="auto"/>
            </w:tcBorders>
          </w:tcPr>
          <w:p>
            <w:pPr>
              <w:spacing w:after="0"/>
              <w:rPr>
                <w:sz w:val="23"/>
                <w:szCs w:val="23"/>
                <w:color w:val="auto"/>
              </w:rPr>
            </w:pPr>
          </w:p>
        </w:tc>
        <w:tc>
          <w:tcPr>
            <w:tcW w:w="20" w:type="dxa"/>
            <w:vAlign w:val="bottom"/>
            <w:tcBorders>
              <w:top w:val="single" w:sz="8" w:color="auto"/>
              <w:bottom w:val="single" w:sz="8" w:color="auto"/>
            </w:tcBorders>
          </w:tcPr>
          <w:p>
            <w:pPr>
              <w:spacing w:after="0"/>
              <w:rPr>
                <w:sz w:val="23"/>
                <w:szCs w:val="23"/>
                <w:color w:val="auto"/>
              </w:rPr>
            </w:pPr>
          </w:p>
        </w:tc>
        <w:tc>
          <w:tcPr>
            <w:tcW w:w="18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Borders>
              <w:top w:val="single" w:sz="8" w:color="auto"/>
              <w:bottom w:val="single" w:sz="8" w:color="D2EEF5"/>
            </w:tcBorders>
          </w:tcPr>
          <w:p>
            <w:pPr>
              <w:spacing w:after="0"/>
              <w:rPr>
                <w:sz w:val="23"/>
                <w:szCs w:val="23"/>
                <w:color w:val="auto"/>
              </w:rPr>
            </w:pPr>
          </w:p>
        </w:tc>
        <w:tc>
          <w:tcPr>
            <w:tcW w:w="20" w:type="dxa"/>
            <w:vAlign w:val="bottom"/>
            <w:tcBorders>
              <w:top w:val="single" w:sz="8" w:color="auto"/>
              <w:bottom w:val="single" w:sz="8" w:color="D2EEF5"/>
            </w:tcBorders>
          </w:tcPr>
          <w:p>
            <w:pPr>
              <w:spacing w:after="0"/>
              <w:rPr>
                <w:sz w:val="23"/>
                <w:szCs w:val="23"/>
                <w:color w:val="auto"/>
              </w:rPr>
            </w:pPr>
          </w:p>
        </w:tc>
        <w:tc>
          <w:tcPr>
            <w:tcW w:w="40" w:type="dxa"/>
            <w:vAlign w:val="bottom"/>
            <w:tcBorders>
              <w:top w:val="single" w:sz="8" w:color="auto"/>
              <w:bottom w:val="single" w:sz="8" w:color="auto"/>
            </w:tcBorders>
          </w:tcPr>
          <w:p>
            <w:pPr>
              <w:spacing w:after="0"/>
              <w:rPr>
                <w:sz w:val="23"/>
                <w:szCs w:val="23"/>
                <w:color w:val="auto"/>
              </w:rPr>
            </w:pPr>
          </w:p>
        </w:tc>
        <w:tc>
          <w:tcPr>
            <w:tcW w:w="20" w:type="dxa"/>
            <w:vAlign w:val="bottom"/>
            <w:tcBorders>
              <w:top w:val="single" w:sz="8" w:color="auto"/>
              <w:bottom w:val="single" w:sz="8" w:color="auto"/>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96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00" w:type="dxa"/>
            <w:vAlign w:val="bottom"/>
            <w:tcBorders>
              <w:right w:val="single" w:sz="8" w:color="D2EEF5"/>
            </w:tcBorders>
            <w:shd w:val="clear" w:color="auto" w:fill="D2EEF5"/>
          </w:tcPr>
          <w:p>
            <w:pPr>
              <w:spacing w:after="0"/>
              <w:rPr>
                <w:sz w:val="23"/>
                <w:szCs w:val="23"/>
                <w:color w:val="auto"/>
              </w:rPr>
            </w:pPr>
          </w:p>
        </w:tc>
        <w:tc>
          <w:tcPr>
            <w:tcW w:w="7480" w:type="dxa"/>
            <w:vAlign w:val="bottom"/>
            <w:shd w:val="clear" w:color="auto" w:fill="D2EEF5"/>
          </w:tcPr>
          <w:p>
            <w:pPr>
              <w:spacing w:after="0"/>
              <w:rPr>
                <w:sz w:val="20"/>
                <w:szCs w:val="20"/>
                <w:color w:val="auto"/>
              </w:rPr>
            </w:pPr>
            <w:r>
              <w:rPr>
                <w:rFonts w:ascii="Times New Roman" w:cs="Times New Roman" w:eastAsia="Times New Roman" w:hAnsi="Times New Roman"/>
                <w:sz w:val="20"/>
                <w:szCs w:val="20"/>
                <w:b w:val="1"/>
                <w:bCs w:val="1"/>
                <w:color w:val="auto"/>
              </w:rPr>
              <w:t>Shares subject to unvested or deferred performance and restricted stock units</w:t>
            </w:r>
          </w:p>
        </w:tc>
        <w:tc>
          <w:tcPr>
            <w:tcW w:w="40" w:type="dxa"/>
            <w:vAlign w:val="bottom"/>
            <w:shd w:val="clear" w:color="auto" w:fill="D2EEF5"/>
          </w:tcPr>
          <w:p>
            <w:pPr>
              <w:spacing w:after="0"/>
              <w:rPr>
                <w:sz w:val="23"/>
                <w:szCs w:val="23"/>
                <w:color w:val="auto"/>
              </w:rPr>
            </w:pPr>
          </w:p>
        </w:tc>
        <w:tc>
          <w:tcPr>
            <w:tcW w:w="20" w:type="dxa"/>
            <w:vAlign w:val="bottom"/>
            <w:shd w:val="clear" w:color="auto" w:fill="D2EEF5"/>
          </w:tcPr>
          <w:p>
            <w:pPr>
              <w:spacing w:after="0"/>
              <w:rPr>
                <w:sz w:val="23"/>
                <w:szCs w:val="23"/>
                <w:color w:val="auto"/>
              </w:rPr>
            </w:pPr>
          </w:p>
        </w:tc>
        <w:tc>
          <w:tcPr>
            <w:tcW w:w="180" w:type="dxa"/>
            <w:vAlign w:val="bottom"/>
            <w:shd w:val="clear" w:color="auto" w:fill="D2EEF5"/>
          </w:tcPr>
          <w:p>
            <w:pPr>
              <w:spacing w:after="0"/>
              <w:rPr>
                <w:sz w:val="23"/>
                <w:szCs w:val="23"/>
                <w:color w:val="auto"/>
              </w:rPr>
            </w:pPr>
          </w:p>
        </w:tc>
        <w:tc>
          <w:tcPr>
            <w:tcW w:w="10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335,860</w:t>
            </w:r>
          </w:p>
        </w:tc>
        <w:tc>
          <w:tcPr>
            <w:tcW w:w="40" w:type="dxa"/>
            <w:vAlign w:val="bottom"/>
            <w:shd w:val="clear" w:color="auto" w:fill="D2EEF5"/>
          </w:tcPr>
          <w:p>
            <w:pPr>
              <w:spacing w:after="0"/>
              <w:rPr>
                <w:sz w:val="23"/>
                <w:szCs w:val="23"/>
                <w:color w:val="auto"/>
              </w:rPr>
            </w:pPr>
          </w:p>
        </w:tc>
        <w:tc>
          <w:tcPr>
            <w:tcW w:w="20" w:type="dxa"/>
            <w:vAlign w:val="bottom"/>
            <w:shd w:val="clear" w:color="auto" w:fill="D2EEF5"/>
          </w:tcPr>
          <w:p>
            <w:pPr>
              <w:spacing w:after="0"/>
              <w:rPr>
                <w:sz w:val="23"/>
                <w:szCs w:val="23"/>
                <w:color w:val="auto"/>
              </w:rPr>
            </w:pPr>
          </w:p>
        </w:tc>
        <w:tc>
          <w:tcPr>
            <w:tcW w:w="40" w:type="dxa"/>
            <w:vAlign w:val="bottom"/>
            <w:shd w:val="clear" w:color="auto" w:fill="D2EEF5"/>
          </w:tcPr>
          <w:p>
            <w:pPr>
              <w:spacing w:after="0"/>
              <w:rPr>
                <w:sz w:val="23"/>
                <w:szCs w:val="23"/>
                <w:color w:val="auto"/>
              </w:rPr>
            </w:pPr>
          </w:p>
        </w:tc>
        <w:tc>
          <w:tcPr>
            <w:tcW w:w="20" w:type="dxa"/>
            <w:vAlign w:val="bottom"/>
            <w:shd w:val="clear" w:color="auto" w:fill="D2EEF5"/>
          </w:tcPr>
          <w:p>
            <w:pPr>
              <w:spacing w:after="0"/>
              <w:rPr>
                <w:sz w:val="23"/>
                <w:szCs w:val="23"/>
                <w:color w:val="auto"/>
              </w:rPr>
            </w:pPr>
          </w:p>
        </w:tc>
        <w:tc>
          <w:tcPr>
            <w:tcW w:w="280" w:type="dxa"/>
            <w:vAlign w:val="bottom"/>
            <w:shd w:val="clear" w:color="auto" w:fill="D2EEF5"/>
          </w:tcPr>
          <w:p>
            <w:pPr>
              <w:spacing w:after="0"/>
              <w:rPr>
                <w:sz w:val="23"/>
                <w:szCs w:val="23"/>
                <w:color w:val="auto"/>
              </w:rPr>
            </w:pP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290,334</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100" w:type="dxa"/>
            <w:vAlign w:val="bottom"/>
          </w:tcPr>
          <w:p>
            <w:pPr>
              <w:spacing w:after="0"/>
              <w:rPr>
                <w:sz w:val="24"/>
                <w:szCs w:val="24"/>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Shares subject to stock options outstanding</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28,074</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40,654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3"/>
        </w:trPr>
        <w:tc>
          <w:tcPr>
            <w:tcW w:w="100" w:type="dxa"/>
            <w:vAlign w:val="bottom"/>
          </w:tcPr>
          <w:p>
            <w:pPr>
              <w:spacing w:after="0"/>
              <w:rPr>
                <w:sz w:val="24"/>
                <w:szCs w:val="24"/>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7. ACCOUNTS RECEIVABLE, NET, AND INVENTORIES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100" w:type="dxa"/>
            <w:vAlign w:val="bottom"/>
          </w:tcPr>
          <w:p>
            <w:pPr>
              <w:spacing w:after="0"/>
              <w:rPr>
                <w:sz w:val="24"/>
                <w:szCs w:val="24"/>
                <w:color w:val="auto"/>
              </w:rPr>
            </w:pPr>
          </w:p>
        </w:tc>
        <w:tc>
          <w:tcPr>
            <w:tcW w:w="748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Accounts receivable, net comprised the following:</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10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8"/>
          </w:tcPr>
          <w:p>
            <w:pPr>
              <w:jc w:val="center"/>
              <w:ind w:right="180"/>
              <w:spacing w:after="0"/>
              <w:rPr>
                <w:sz w:val="20"/>
                <w:szCs w:val="20"/>
                <w:color w:val="auto"/>
              </w:rPr>
            </w:pPr>
            <w:r>
              <w:rPr>
                <w:rFonts w:ascii="Times New Roman" w:cs="Times New Roman" w:eastAsia="Times New Roman" w:hAnsi="Times New Roman"/>
                <w:sz w:val="20"/>
                <w:szCs w:val="20"/>
                <w:b w:val="1"/>
                <w:bCs w:val="1"/>
                <w:color w:val="auto"/>
                <w:w w:val="99"/>
              </w:rPr>
              <w:t>December 31,</w:t>
            </w:r>
          </w:p>
        </w:tc>
        <w:tc>
          <w:tcPr>
            <w:tcW w:w="0" w:type="dxa"/>
            <w:vAlign w:val="bottom"/>
          </w:tcPr>
          <w:p>
            <w:pPr>
              <w:spacing w:after="0"/>
              <w:rPr>
                <w:sz w:val="1"/>
                <w:szCs w:val="1"/>
                <w:color w:val="auto"/>
              </w:rPr>
            </w:pPr>
          </w:p>
        </w:tc>
      </w:tr>
      <w:tr>
        <w:trPr>
          <w:trHeight w:val="266"/>
        </w:trPr>
        <w:tc>
          <w:tcPr>
            <w:tcW w:w="100" w:type="dxa"/>
            <w:vAlign w:val="bottom"/>
          </w:tcPr>
          <w:p>
            <w:pPr>
              <w:spacing w:after="0"/>
              <w:rPr>
                <w:sz w:val="23"/>
                <w:szCs w:val="23"/>
                <w:color w:val="auto"/>
              </w:rPr>
            </w:pPr>
          </w:p>
        </w:tc>
        <w:tc>
          <w:tcPr>
            <w:tcW w:w="7480" w:type="dxa"/>
            <w:vAlign w:val="bottom"/>
          </w:tcPr>
          <w:p>
            <w:pPr>
              <w:spacing w:after="0"/>
              <w:rPr>
                <w:sz w:val="23"/>
                <w:szCs w:val="23"/>
                <w:color w:val="auto"/>
              </w:rPr>
            </w:pPr>
          </w:p>
        </w:tc>
        <w:tc>
          <w:tcPr>
            <w:tcW w:w="40" w:type="dxa"/>
            <w:vAlign w:val="bottom"/>
            <w:tcBorders>
              <w:bottom w:val="single" w:sz="8" w:color="D2EEF5"/>
            </w:tcBorders>
          </w:tcPr>
          <w:p>
            <w:pPr>
              <w:spacing w:after="0"/>
              <w:rPr>
                <w:sz w:val="23"/>
                <w:szCs w:val="23"/>
                <w:color w:val="auto"/>
              </w:rPr>
            </w:pPr>
          </w:p>
        </w:tc>
        <w:tc>
          <w:tcPr>
            <w:tcW w:w="20" w:type="dxa"/>
            <w:vAlign w:val="bottom"/>
            <w:tcBorders>
              <w:bottom w:val="single" w:sz="8" w:color="D2EEF5"/>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2025</w:t>
            </w:r>
          </w:p>
        </w:tc>
        <w:tc>
          <w:tcPr>
            <w:tcW w:w="40" w:type="dxa"/>
            <w:vAlign w:val="bottom"/>
            <w:tcBorders>
              <w:bottom w:val="single" w:sz="8" w:color="auto"/>
            </w:tcBorders>
          </w:tcPr>
          <w:p>
            <w:pPr>
              <w:spacing w:after="0"/>
              <w:rPr>
                <w:sz w:val="23"/>
                <w:szCs w:val="23"/>
                <w:color w:val="auto"/>
              </w:rPr>
            </w:pPr>
          </w:p>
        </w:tc>
        <w:tc>
          <w:tcPr>
            <w:tcW w:w="20" w:type="dxa"/>
            <w:vAlign w:val="bottom"/>
            <w:tcBorders>
              <w:bottom w:val="single" w:sz="8" w:color="D2EEF5"/>
            </w:tcBorders>
          </w:tcPr>
          <w:p>
            <w:pPr>
              <w:spacing w:after="0"/>
              <w:rPr>
                <w:sz w:val="23"/>
                <w:szCs w:val="23"/>
                <w:color w:val="auto"/>
              </w:rPr>
            </w:pPr>
          </w:p>
        </w:tc>
        <w:tc>
          <w:tcPr>
            <w:tcW w:w="40" w:type="dxa"/>
            <w:vAlign w:val="bottom"/>
            <w:tcBorders>
              <w:bottom w:val="single" w:sz="8" w:color="D2EEF5"/>
            </w:tcBorders>
          </w:tcPr>
          <w:p>
            <w:pPr>
              <w:spacing w:after="0"/>
              <w:rPr>
                <w:sz w:val="23"/>
                <w:szCs w:val="23"/>
                <w:color w:val="auto"/>
              </w:rPr>
            </w:pPr>
          </w:p>
        </w:tc>
        <w:tc>
          <w:tcPr>
            <w:tcW w:w="20" w:type="dxa"/>
            <w:vAlign w:val="bottom"/>
            <w:tcBorders>
              <w:bottom w:val="single" w:sz="8" w:color="D2EEF5"/>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00" w:type="dxa"/>
            <w:vAlign w:val="bottom"/>
            <w:tcBorders>
              <w:right w:val="single" w:sz="8" w:color="D2EEF5"/>
            </w:tcBorders>
          </w:tcPr>
          <w:p>
            <w:pPr>
              <w:spacing w:after="0"/>
              <w:rPr>
                <w:sz w:val="22"/>
                <w:szCs w:val="22"/>
                <w:color w:val="auto"/>
              </w:rPr>
            </w:pPr>
          </w:p>
        </w:tc>
        <w:tc>
          <w:tcPr>
            <w:tcW w:w="7480" w:type="dxa"/>
            <w:vAlign w:val="bottom"/>
            <w:shd w:val="clear" w:color="auto" w:fill="D2EEF5"/>
          </w:tcPr>
          <w:p>
            <w:pPr>
              <w:spacing w:after="0"/>
              <w:rPr>
                <w:sz w:val="20"/>
                <w:szCs w:val="20"/>
                <w:color w:val="auto"/>
              </w:rPr>
            </w:pPr>
            <w:r>
              <w:rPr>
                <w:rFonts w:ascii="Times New Roman" w:cs="Times New Roman" w:eastAsia="Times New Roman" w:hAnsi="Times New Roman"/>
                <w:sz w:val="20"/>
                <w:szCs w:val="20"/>
                <w:color w:val="auto"/>
              </w:rPr>
              <w:t>Trade accounts receivable</w:t>
            </w:r>
          </w:p>
        </w:tc>
        <w:tc>
          <w:tcPr>
            <w:tcW w:w="40" w:type="dxa"/>
            <w:vAlign w:val="bottom"/>
            <w:shd w:val="clear" w:color="auto" w:fill="D2EEF5"/>
          </w:tcPr>
          <w:p>
            <w:pPr>
              <w:spacing w:after="0"/>
              <w:rPr>
                <w:sz w:val="22"/>
                <w:szCs w:val="22"/>
                <w:color w:val="auto"/>
              </w:rPr>
            </w:pPr>
          </w:p>
        </w:tc>
        <w:tc>
          <w:tcPr>
            <w:tcW w:w="20" w:type="dxa"/>
            <w:vAlign w:val="bottom"/>
            <w:shd w:val="clear" w:color="auto" w:fill="D2EEF5"/>
          </w:tcPr>
          <w:p>
            <w:pPr>
              <w:spacing w:after="0"/>
              <w:rPr>
                <w:sz w:val="22"/>
                <w:szCs w:val="22"/>
                <w:color w:val="auto"/>
              </w:rPr>
            </w:pPr>
          </w:p>
        </w:tc>
        <w:tc>
          <w:tcPr>
            <w:tcW w:w="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7,706</w:t>
            </w:r>
          </w:p>
        </w:tc>
        <w:tc>
          <w:tcPr>
            <w:tcW w:w="40" w:type="dxa"/>
            <w:vAlign w:val="bottom"/>
            <w:shd w:val="clear" w:color="auto" w:fill="D2EEF5"/>
          </w:tcPr>
          <w:p>
            <w:pPr>
              <w:spacing w:after="0"/>
              <w:rPr>
                <w:sz w:val="22"/>
                <w:szCs w:val="22"/>
                <w:color w:val="auto"/>
              </w:rPr>
            </w:pPr>
          </w:p>
        </w:tc>
        <w:tc>
          <w:tcPr>
            <w:tcW w:w="20" w:type="dxa"/>
            <w:vAlign w:val="bottom"/>
            <w:shd w:val="clear" w:color="auto" w:fill="D2EEF5"/>
          </w:tcPr>
          <w:p>
            <w:pPr>
              <w:spacing w:after="0"/>
              <w:rPr>
                <w:sz w:val="22"/>
                <w:szCs w:val="22"/>
                <w:color w:val="auto"/>
              </w:rPr>
            </w:pPr>
          </w:p>
        </w:tc>
        <w:tc>
          <w:tcPr>
            <w:tcW w:w="40" w:type="dxa"/>
            <w:vAlign w:val="bottom"/>
            <w:shd w:val="clear" w:color="auto" w:fill="D2EEF5"/>
          </w:tcPr>
          <w:p>
            <w:pPr>
              <w:spacing w:after="0"/>
              <w:rPr>
                <w:sz w:val="22"/>
                <w:szCs w:val="22"/>
                <w:color w:val="auto"/>
              </w:rPr>
            </w:pPr>
          </w:p>
        </w:tc>
        <w:tc>
          <w:tcPr>
            <w:tcW w:w="20" w:type="dxa"/>
            <w:vAlign w:val="bottom"/>
            <w:shd w:val="clear" w:color="auto" w:fill="D2EEF5"/>
          </w:tcPr>
          <w:p>
            <w:pPr>
              <w:spacing w:after="0"/>
              <w:rPr>
                <w:sz w:val="22"/>
                <w:szCs w:val="22"/>
                <w:color w:val="auto"/>
              </w:rPr>
            </w:pPr>
          </w:p>
        </w:tc>
        <w:tc>
          <w:tcPr>
            <w:tcW w:w="280" w:type="dxa"/>
            <w:vAlign w:val="bottom"/>
            <w:shd w:val="clear" w:color="auto" w:fill="D2EEF5"/>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14,112</w:t>
            </w:r>
          </w:p>
        </w:tc>
        <w:tc>
          <w:tcPr>
            <w:tcW w:w="60" w:type="dxa"/>
            <w:vAlign w:val="bottom"/>
            <w:shd w:val="clear" w:color="auto" w:fill="D2EEF5"/>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100" w:type="dxa"/>
            <w:vAlign w:val="bottom"/>
          </w:tcPr>
          <w:p>
            <w:pPr>
              <w:spacing w:after="0"/>
              <w:rPr>
                <w:sz w:val="24"/>
                <w:szCs w:val="24"/>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20"/>
                <w:szCs w:val="20"/>
                <w:color w:val="auto"/>
              </w:rPr>
              <w:t>Allowance for credit losses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(362)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(706)</w:t>
            </w:r>
          </w:p>
        </w:tc>
        <w:tc>
          <w:tcPr>
            <w:tcW w:w="0" w:type="dxa"/>
            <w:vAlign w:val="bottom"/>
          </w:tcPr>
          <w:p>
            <w:pPr>
              <w:spacing w:after="0"/>
              <w:rPr>
                <w:sz w:val="1"/>
                <w:szCs w:val="1"/>
                <w:color w:val="auto"/>
              </w:rPr>
            </w:pPr>
          </w:p>
        </w:tc>
      </w:tr>
      <w:tr>
        <w:trPr>
          <w:trHeight w:val="289"/>
        </w:trPr>
        <w:tc>
          <w:tcPr>
            <w:tcW w:w="100" w:type="dxa"/>
            <w:vAlign w:val="bottom"/>
            <w:tcBorders>
              <w:right w:val="single" w:sz="8" w:color="D2EEF5"/>
            </w:tcBorders>
          </w:tcPr>
          <w:p>
            <w:pPr>
              <w:spacing w:after="0"/>
              <w:rPr>
                <w:sz w:val="24"/>
                <w:szCs w:val="24"/>
                <w:color w:val="auto"/>
              </w:rPr>
            </w:pPr>
          </w:p>
        </w:tc>
        <w:tc>
          <w:tcPr>
            <w:tcW w:w="7480" w:type="dxa"/>
            <w:vAlign w:val="bottom"/>
            <w:tcBorders>
              <w:bottom w:val="single" w:sz="8" w:color="D2EEF5"/>
            </w:tcBorders>
            <w:shd w:val="clear" w:color="auto" w:fill="D2EEF5"/>
          </w:tcPr>
          <w:p>
            <w:pPr>
              <w:spacing w:after="0"/>
              <w:rPr>
                <w:sz w:val="20"/>
                <w:szCs w:val="20"/>
                <w:color w:val="auto"/>
              </w:rPr>
            </w:pPr>
            <w:r>
              <w:rPr>
                <w:rFonts w:ascii="Times New Roman" w:cs="Times New Roman" w:eastAsia="Times New Roman" w:hAnsi="Times New Roman"/>
                <w:sz w:val="20"/>
                <w:szCs w:val="20"/>
                <w:color w:val="auto"/>
              </w:rPr>
              <w:t>Other receivables</w:t>
            </w:r>
          </w:p>
        </w:tc>
        <w:tc>
          <w:tcPr>
            <w:tcW w:w="4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180" w:type="dxa"/>
            <w:vAlign w:val="bottom"/>
            <w:tcBorders>
              <w:bottom w:val="single" w:sz="8" w:color="auto"/>
            </w:tcBorders>
            <w:shd w:val="clear" w:color="auto" w:fill="D2EEF5"/>
          </w:tcPr>
          <w:p>
            <w:pPr>
              <w:spacing w:after="0"/>
              <w:rPr>
                <w:sz w:val="24"/>
                <w:szCs w:val="24"/>
                <w:color w:val="auto"/>
              </w:rPr>
            </w:pPr>
          </w:p>
        </w:tc>
        <w:tc>
          <w:tcPr>
            <w:tcW w:w="10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842</w:t>
            </w:r>
          </w:p>
        </w:tc>
        <w:tc>
          <w:tcPr>
            <w:tcW w:w="40" w:type="dxa"/>
            <w:vAlign w:val="bottom"/>
            <w:tcBorders>
              <w:bottom w:val="single" w:sz="8" w:color="auto"/>
            </w:tcBorders>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4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280" w:type="dxa"/>
            <w:vAlign w:val="bottom"/>
            <w:tcBorders>
              <w:bottom w:val="single" w:sz="8" w:color="auto"/>
            </w:tcBorders>
            <w:shd w:val="clear" w:color="auto" w:fill="D2EEF5"/>
          </w:tcPr>
          <w:p>
            <w:pPr>
              <w:spacing w:after="0"/>
              <w:rPr>
                <w:sz w:val="24"/>
                <w:szCs w:val="24"/>
                <w:color w:val="auto"/>
              </w:rPr>
            </w:pP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1,350</w:t>
            </w:r>
          </w:p>
        </w:tc>
        <w:tc>
          <w:tcPr>
            <w:tcW w:w="60" w:type="dxa"/>
            <w:vAlign w:val="bottom"/>
            <w:tcBorders>
              <w:bottom w:val="single" w:sz="8" w:color="auto"/>
            </w:tcBorders>
            <w:shd w:val="clear" w:color="auto" w:fill="D2EEF5"/>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100" w:type="dxa"/>
            <w:vAlign w:val="bottom"/>
          </w:tcPr>
          <w:p>
            <w:pPr>
              <w:spacing w:after="0"/>
              <w:rPr>
                <w:sz w:val="23"/>
                <w:szCs w:val="23"/>
                <w:color w:val="auto"/>
              </w:rPr>
            </w:pPr>
          </w:p>
        </w:tc>
        <w:tc>
          <w:tcPr>
            <w:tcW w:w="748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Total accounts receivable, net</w:t>
            </w:r>
          </w:p>
        </w:tc>
        <w:tc>
          <w:tcPr>
            <w:tcW w:w="4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8,186</w:t>
            </w:r>
          </w:p>
        </w:tc>
        <w:tc>
          <w:tcPr>
            <w:tcW w:w="4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14,756</w:t>
            </w:r>
          </w:p>
        </w:tc>
        <w:tc>
          <w:tcPr>
            <w:tcW w:w="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7480" w:type="dxa"/>
            <w:vAlign w:val="bottom"/>
            <w:vMerge w:val="restart"/>
          </w:tcPr>
          <w:p>
            <w:pPr>
              <w:ind w:left="680"/>
              <w:spacing w:after="0"/>
              <w:rPr>
                <w:sz w:val="20"/>
                <w:szCs w:val="20"/>
                <w:color w:val="auto"/>
              </w:rPr>
            </w:pPr>
            <w:r>
              <w:rPr>
                <w:rFonts w:ascii="Times New Roman" w:cs="Times New Roman" w:eastAsia="Times New Roman" w:hAnsi="Times New Roman"/>
                <w:sz w:val="20"/>
                <w:szCs w:val="20"/>
                <w:color w:val="auto"/>
              </w:rPr>
              <w:t>The change in the allowance for credit losses consisted of the following:</w:t>
            </w: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100" w:type="dxa"/>
            <w:vAlign w:val="bottom"/>
          </w:tcPr>
          <w:p>
            <w:pPr>
              <w:spacing w:after="0"/>
              <w:rPr>
                <w:sz w:val="24"/>
                <w:szCs w:val="24"/>
                <w:color w:val="auto"/>
              </w:rPr>
            </w:pPr>
          </w:p>
        </w:tc>
        <w:tc>
          <w:tcPr>
            <w:tcW w:w="74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10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8"/>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w w:val="99"/>
              </w:rPr>
              <w:t>Years ended December 31,</w:t>
            </w:r>
          </w:p>
        </w:tc>
        <w:tc>
          <w:tcPr>
            <w:tcW w:w="0" w:type="dxa"/>
            <w:vAlign w:val="bottom"/>
          </w:tcPr>
          <w:p>
            <w:pPr>
              <w:spacing w:after="0"/>
              <w:rPr>
                <w:sz w:val="1"/>
                <w:szCs w:val="1"/>
                <w:color w:val="auto"/>
              </w:rPr>
            </w:pPr>
          </w:p>
        </w:tc>
      </w:tr>
      <w:tr>
        <w:trPr>
          <w:trHeight w:val="265"/>
        </w:trPr>
        <w:tc>
          <w:tcPr>
            <w:tcW w:w="100" w:type="dxa"/>
            <w:vAlign w:val="bottom"/>
          </w:tcPr>
          <w:p>
            <w:pPr>
              <w:spacing w:after="0"/>
              <w:rPr>
                <w:sz w:val="23"/>
                <w:szCs w:val="23"/>
                <w:color w:val="auto"/>
              </w:rPr>
            </w:pPr>
          </w:p>
        </w:tc>
        <w:tc>
          <w:tcPr>
            <w:tcW w:w="7480" w:type="dxa"/>
            <w:vAlign w:val="bottom"/>
          </w:tcPr>
          <w:p>
            <w:pPr>
              <w:spacing w:after="0"/>
              <w:rPr>
                <w:sz w:val="23"/>
                <w:szCs w:val="23"/>
                <w:color w:val="auto"/>
              </w:rPr>
            </w:pPr>
          </w:p>
        </w:tc>
        <w:tc>
          <w:tcPr>
            <w:tcW w:w="40" w:type="dxa"/>
            <w:vAlign w:val="bottom"/>
            <w:tcBorders>
              <w:bottom w:val="single" w:sz="8" w:color="D2EEF5"/>
            </w:tcBorders>
          </w:tcPr>
          <w:p>
            <w:pPr>
              <w:spacing w:after="0"/>
              <w:rPr>
                <w:sz w:val="23"/>
                <w:szCs w:val="23"/>
                <w:color w:val="auto"/>
              </w:rPr>
            </w:pPr>
          </w:p>
        </w:tc>
        <w:tc>
          <w:tcPr>
            <w:tcW w:w="20" w:type="dxa"/>
            <w:vAlign w:val="bottom"/>
            <w:tcBorders>
              <w:bottom w:val="single" w:sz="8" w:color="D2EEF5"/>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2025</w:t>
            </w:r>
          </w:p>
        </w:tc>
        <w:tc>
          <w:tcPr>
            <w:tcW w:w="40" w:type="dxa"/>
            <w:vAlign w:val="bottom"/>
            <w:tcBorders>
              <w:bottom w:val="single" w:sz="8" w:color="auto"/>
            </w:tcBorders>
          </w:tcPr>
          <w:p>
            <w:pPr>
              <w:spacing w:after="0"/>
              <w:rPr>
                <w:sz w:val="23"/>
                <w:szCs w:val="23"/>
                <w:color w:val="auto"/>
              </w:rPr>
            </w:pPr>
          </w:p>
        </w:tc>
        <w:tc>
          <w:tcPr>
            <w:tcW w:w="20" w:type="dxa"/>
            <w:vAlign w:val="bottom"/>
            <w:tcBorders>
              <w:bottom w:val="single" w:sz="8" w:color="D2EEF5"/>
            </w:tcBorders>
          </w:tcPr>
          <w:p>
            <w:pPr>
              <w:spacing w:after="0"/>
              <w:rPr>
                <w:sz w:val="23"/>
                <w:szCs w:val="23"/>
                <w:color w:val="auto"/>
              </w:rPr>
            </w:pPr>
          </w:p>
        </w:tc>
        <w:tc>
          <w:tcPr>
            <w:tcW w:w="40" w:type="dxa"/>
            <w:vAlign w:val="bottom"/>
            <w:tcBorders>
              <w:bottom w:val="single" w:sz="8" w:color="D2EEF5"/>
            </w:tcBorders>
          </w:tcPr>
          <w:p>
            <w:pPr>
              <w:spacing w:after="0"/>
              <w:rPr>
                <w:sz w:val="23"/>
                <w:szCs w:val="23"/>
                <w:color w:val="auto"/>
              </w:rPr>
            </w:pPr>
          </w:p>
        </w:tc>
        <w:tc>
          <w:tcPr>
            <w:tcW w:w="20" w:type="dxa"/>
            <w:vAlign w:val="bottom"/>
            <w:tcBorders>
              <w:bottom w:val="single" w:sz="8" w:color="D2EEF5"/>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00" w:type="dxa"/>
            <w:vAlign w:val="bottom"/>
            <w:tcBorders>
              <w:right w:val="single" w:sz="8" w:color="D2EEF5"/>
            </w:tcBorders>
          </w:tcPr>
          <w:p>
            <w:pPr>
              <w:spacing w:after="0"/>
              <w:rPr>
                <w:sz w:val="23"/>
                <w:szCs w:val="23"/>
                <w:color w:val="auto"/>
              </w:rPr>
            </w:pPr>
          </w:p>
        </w:tc>
        <w:tc>
          <w:tcPr>
            <w:tcW w:w="7480" w:type="dxa"/>
            <w:vAlign w:val="bottom"/>
            <w:shd w:val="clear" w:color="auto" w:fill="D2EEF5"/>
          </w:tcPr>
          <w:p>
            <w:pPr>
              <w:spacing w:after="0"/>
              <w:rPr>
                <w:sz w:val="20"/>
                <w:szCs w:val="20"/>
                <w:color w:val="auto"/>
              </w:rPr>
            </w:pPr>
            <w:r>
              <w:rPr>
                <w:rFonts w:ascii="Times New Roman" w:cs="Times New Roman" w:eastAsia="Times New Roman" w:hAnsi="Times New Roman"/>
                <w:sz w:val="20"/>
                <w:szCs w:val="20"/>
                <w:b w:val="1"/>
                <w:bCs w:val="1"/>
                <w:color w:val="auto"/>
              </w:rPr>
              <w:t>Beginning balance</w:t>
            </w:r>
          </w:p>
        </w:tc>
        <w:tc>
          <w:tcPr>
            <w:tcW w:w="60" w:type="dxa"/>
            <w:vAlign w:val="bottom"/>
            <w:gridSpan w:val="2"/>
            <w:shd w:val="clear" w:color="auto" w:fill="D2EEF5"/>
          </w:tcPr>
          <w:p>
            <w:pPr>
              <w:spacing w:after="0"/>
              <w:rPr>
                <w:sz w:val="23"/>
                <w:szCs w:val="23"/>
                <w:color w:val="auto"/>
              </w:rPr>
            </w:pPr>
          </w:p>
        </w:tc>
        <w:tc>
          <w:tcPr>
            <w:tcW w:w="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gridSpan w:val="2"/>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(706)</w:t>
            </w:r>
          </w:p>
        </w:tc>
        <w:tc>
          <w:tcPr>
            <w:tcW w:w="20" w:type="dxa"/>
            <w:vAlign w:val="bottom"/>
            <w:shd w:val="clear" w:color="auto" w:fill="D2EEF5"/>
          </w:tcPr>
          <w:p>
            <w:pPr>
              <w:spacing w:after="0"/>
              <w:rPr>
                <w:sz w:val="23"/>
                <w:szCs w:val="23"/>
                <w:color w:val="auto"/>
              </w:rPr>
            </w:pPr>
          </w:p>
        </w:tc>
        <w:tc>
          <w:tcPr>
            <w:tcW w:w="60" w:type="dxa"/>
            <w:vAlign w:val="bottom"/>
            <w:gridSpan w:val="2"/>
            <w:shd w:val="clear" w:color="auto" w:fill="D2EEF5"/>
          </w:tcPr>
          <w:p>
            <w:pPr>
              <w:spacing w:after="0"/>
              <w:rPr>
                <w:sz w:val="23"/>
                <w:szCs w:val="23"/>
                <w:color w:val="auto"/>
              </w:rPr>
            </w:pPr>
          </w:p>
        </w:tc>
        <w:tc>
          <w:tcPr>
            <w:tcW w:w="280" w:type="dxa"/>
            <w:vAlign w:val="bottom"/>
            <w:shd w:val="clear" w:color="auto" w:fill="D2EEF5"/>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gridSpan w:val="2"/>
            <w:shd w:val="clear" w:color="auto" w:fill="D2EEF5"/>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(920)</w:t>
            </w: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20"/>
                <w:szCs w:val="20"/>
                <w:color w:val="auto"/>
              </w:rPr>
              <w:t>Changes in estimates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(838)</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(1,006)</w:t>
            </w:r>
          </w:p>
        </w:tc>
        <w:tc>
          <w:tcPr>
            <w:tcW w:w="0" w:type="dxa"/>
            <w:vAlign w:val="bottom"/>
          </w:tcPr>
          <w:p>
            <w:pPr>
              <w:spacing w:after="0"/>
              <w:rPr>
                <w:sz w:val="1"/>
                <w:szCs w:val="1"/>
                <w:color w:val="auto"/>
              </w:rPr>
            </w:pPr>
          </w:p>
        </w:tc>
      </w:tr>
      <w:tr>
        <w:trPr>
          <w:trHeight w:val="290"/>
        </w:trPr>
        <w:tc>
          <w:tcPr>
            <w:tcW w:w="100" w:type="dxa"/>
            <w:vAlign w:val="bottom"/>
            <w:tcBorders>
              <w:right w:val="single" w:sz="8" w:color="D2EEF5"/>
            </w:tcBorders>
          </w:tcPr>
          <w:p>
            <w:pPr>
              <w:spacing w:after="0"/>
              <w:rPr>
                <w:sz w:val="24"/>
                <w:szCs w:val="24"/>
                <w:color w:val="auto"/>
              </w:rPr>
            </w:pPr>
          </w:p>
        </w:tc>
        <w:tc>
          <w:tcPr>
            <w:tcW w:w="7480" w:type="dxa"/>
            <w:vAlign w:val="bottom"/>
            <w:shd w:val="clear" w:color="auto" w:fill="D2EEF5"/>
          </w:tcPr>
          <w:p>
            <w:pPr>
              <w:spacing w:after="0"/>
              <w:rPr>
                <w:sz w:val="20"/>
                <w:szCs w:val="20"/>
                <w:color w:val="auto"/>
              </w:rPr>
            </w:pPr>
            <w:r>
              <w:rPr>
                <w:rFonts w:ascii="Times New Roman" w:cs="Times New Roman" w:eastAsia="Times New Roman" w:hAnsi="Times New Roman"/>
                <w:sz w:val="20"/>
                <w:szCs w:val="20"/>
                <w:color w:val="auto"/>
              </w:rPr>
              <w:t>Write-offs</w:t>
            </w:r>
          </w:p>
        </w:tc>
        <w:tc>
          <w:tcPr>
            <w:tcW w:w="4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180" w:type="dxa"/>
            <w:vAlign w:val="bottom"/>
            <w:shd w:val="clear" w:color="auto" w:fill="D2EEF5"/>
          </w:tcPr>
          <w:p>
            <w:pPr>
              <w:spacing w:after="0"/>
              <w:rPr>
                <w:sz w:val="24"/>
                <w:szCs w:val="24"/>
                <w:color w:val="auto"/>
              </w:rPr>
            </w:pPr>
          </w:p>
        </w:tc>
        <w:tc>
          <w:tcPr>
            <w:tcW w:w="10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928</w:t>
            </w:r>
          </w:p>
        </w:tc>
        <w:tc>
          <w:tcPr>
            <w:tcW w:w="4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4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280" w:type="dxa"/>
            <w:vAlign w:val="bottom"/>
            <w:shd w:val="clear" w:color="auto" w:fill="D2EEF5"/>
          </w:tcPr>
          <w:p>
            <w:pPr>
              <w:spacing w:after="0"/>
              <w:rPr>
                <w:sz w:val="24"/>
                <w:szCs w:val="24"/>
                <w:color w:val="auto"/>
              </w:rPr>
            </w:pP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718</w:t>
            </w:r>
          </w:p>
        </w:tc>
        <w:tc>
          <w:tcPr>
            <w:tcW w:w="60" w:type="dxa"/>
            <w:vAlign w:val="bottom"/>
            <w:shd w:val="clear" w:color="auto" w:fill="D2EEF5"/>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00" w:type="dxa"/>
            <w:vAlign w:val="bottom"/>
          </w:tcPr>
          <w:p>
            <w:pPr>
              <w:spacing w:after="0"/>
              <w:rPr>
                <w:sz w:val="24"/>
                <w:szCs w:val="24"/>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20"/>
                <w:szCs w:val="20"/>
                <w:color w:val="auto"/>
              </w:rPr>
              <w:t>Collections/Other</w:t>
            </w:r>
          </w:p>
        </w:tc>
        <w:tc>
          <w:tcPr>
            <w:tcW w:w="40" w:type="dxa"/>
            <w:vAlign w:val="bottom"/>
            <w:tcBorders>
              <w:bottom w:val="single" w:sz="8" w:color="D2EEF5"/>
            </w:tcBorders>
          </w:tcPr>
          <w:p>
            <w:pPr>
              <w:spacing w:after="0"/>
              <w:rPr>
                <w:sz w:val="24"/>
                <w:szCs w:val="24"/>
                <w:color w:val="auto"/>
              </w:rPr>
            </w:pPr>
          </w:p>
        </w:tc>
        <w:tc>
          <w:tcPr>
            <w:tcW w:w="20" w:type="dxa"/>
            <w:vAlign w:val="bottom"/>
            <w:tcBorders>
              <w:bottom w:val="single" w:sz="8" w:color="D2EEF5"/>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254</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D2EEF5"/>
            </w:tcBorders>
          </w:tcPr>
          <w:p>
            <w:pPr>
              <w:spacing w:after="0"/>
              <w:rPr>
                <w:sz w:val="24"/>
                <w:szCs w:val="24"/>
                <w:color w:val="auto"/>
              </w:rPr>
            </w:pPr>
          </w:p>
        </w:tc>
        <w:tc>
          <w:tcPr>
            <w:tcW w:w="40" w:type="dxa"/>
            <w:vAlign w:val="bottom"/>
            <w:tcBorders>
              <w:bottom w:val="single" w:sz="8" w:color="D2EEF5"/>
            </w:tcBorders>
          </w:tcPr>
          <w:p>
            <w:pPr>
              <w:spacing w:after="0"/>
              <w:rPr>
                <w:sz w:val="24"/>
                <w:szCs w:val="24"/>
                <w:color w:val="auto"/>
              </w:rPr>
            </w:pPr>
          </w:p>
        </w:tc>
        <w:tc>
          <w:tcPr>
            <w:tcW w:w="20" w:type="dxa"/>
            <w:vAlign w:val="bottom"/>
            <w:tcBorders>
              <w:bottom w:val="single" w:sz="8" w:color="D2EEF5"/>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502</w:t>
            </w: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100" w:type="dxa"/>
            <w:vAlign w:val="bottom"/>
            <w:tcBorders>
              <w:right w:val="single" w:sz="8" w:color="D2EEF5"/>
            </w:tcBorders>
          </w:tcPr>
          <w:p>
            <w:pPr>
              <w:spacing w:after="0"/>
              <w:rPr>
                <w:sz w:val="23"/>
                <w:szCs w:val="23"/>
                <w:color w:val="auto"/>
              </w:rPr>
            </w:pPr>
          </w:p>
        </w:tc>
        <w:tc>
          <w:tcPr>
            <w:tcW w:w="7480" w:type="dxa"/>
            <w:vAlign w:val="bottom"/>
            <w:shd w:val="clear" w:color="auto" w:fill="D2EEF5"/>
          </w:tcPr>
          <w:p>
            <w:pPr>
              <w:spacing w:after="0"/>
              <w:rPr>
                <w:sz w:val="20"/>
                <w:szCs w:val="20"/>
                <w:color w:val="auto"/>
              </w:rPr>
            </w:pPr>
            <w:r>
              <w:rPr>
                <w:rFonts w:ascii="Times New Roman" w:cs="Times New Roman" w:eastAsia="Times New Roman" w:hAnsi="Times New Roman"/>
                <w:sz w:val="20"/>
                <w:szCs w:val="20"/>
                <w:b w:val="1"/>
                <w:bCs w:val="1"/>
                <w:color w:val="auto"/>
              </w:rPr>
              <w:t>Ending balance</w:t>
            </w:r>
          </w:p>
        </w:tc>
        <w:tc>
          <w:tcPr>
            <w:tcW w:w="60" w:type="dxa"/>
            <w:vAlign w:val="bottom"/>
            <w:gridSpan w:val="2"/>
            <w:shd w:val="clear" w:color="auto" w:fill="D2EEF5"/>
          </w:tcPr>
          <w:p>
            <w:pPr>
              <w:spacing w:after="0"/>
              <w:rPr>
                <w:sz w:val="23"/>
                <w:szCs w:val="23"/>
                <w:color w:val="auto"/>
              </w:rPr>
            </w:pPr>
          </w:p>
        </w:tc>
        <w:tc>
          <w:tcPr>
            <w:tcW w:w="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gridSpan w:val="2"/>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(362)</w:t>
            </w:r>
          </w:p>
        </w:tc>
        <w:tc>
          <w:tcPr>
            <w:tcW w:w="20" w:type="dxa"/>
            <w:vAlign w:val="bottom"/>
            <w:shd w:val="clear" w:color="auto" w:fill="D2EEF5"/>
          </w:tcPr>
          <w:p>
            <w:pPr>
              <w:spacing w:after="0"/>
              <w:rPr>
                <w:sz w:val="23"/>
                <w:szCs w:val="23"/>
                <w:color w:val="auto"/>
              </w:rPr>
            </w:pPr>
          </w:p>
        </w:tc>
        <w:tc>
          <w:tcPr>
            <w:tcW w:w="60" w:type="dxa"/>
            <w:vAlign w:val="bottom"/>
            <w:gridSpan w:val="2"/>
            <w:shd w:val="clear" w:color="auto" w:fill="D2EEF5"/>
          </w:tcPr>
          <w:p>
            <w:pPr>
              <w:spacing w:after="0"/>
              <w:rPr>
                <w:sz w:val="23"/>
                <w:szCs w:val="23"/>
                <w:color w:val="auto"/>
              </w:rPr>
            </w:pPr>
          </w:p>
        </w:tc>
        <w:tc>
          <w:tcPr>
            <w:tcW w:w="280" w:type="dxa"/>
            <w:vAlign w:val="bottom"/>
            <w:shd w:val="clear" w:color="auto" w:fill="D2EEF5"/>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gridSpan w:val="2"/>
            <w:shd w:val="clear" w:color="auto" w:fill="D2EEF5"/>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(706)</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7480" w:type="dxa"/>
            <w:vAlign w:val="bottom"/>
            <w:vMerge w:val="restart"/>
          </w:tcPr>
          <w:p>
            <w:pPr>
              <w:ind w:left="680"/>
              <w:spacing w:after="0"/>
              <w:rPr>
                <w:sz w:val="20"/>
                <w:szCs w:val="20"/>
                <w:color w:val="auto"/>
              </w:rPr>
            </w:pPr>
            <w:r>
              <w:rPr>
                <w:rFonts w:ascii="Times New Roman" w:cs="Times New Roman" w:eastAsia="Times New Roman" w:hAnsi="Times New Roman"/>
                <w:sz w:val="20"/>
                <w:szCs w:val="20"/>
                <w:color w:val="auto"/>
              </w:rPr>
              <w:t>Inventories comprised the following:</w:t>
            </w: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100" w:type="dxa"/>
            <w:vAlign w:val="bottom"/>
          </w:tcPr>
          <w:p>
            <w:pPr>
              <w:spacing w:after="0"/>
              <w:rPr>
                <w:sz w:val="24"/>
                <w:szCs w:val="24"/>
                <w:color w:val="auto"/>
              </w:rPr>
            </w:pPr>
          </w:p>
        </w:tc>
        <w:tc>
          <w:tcPr>
            <w:tcW w:w="74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10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8"/>
          </w:tcPr>
          <w:p>
            <w:pPr>
              <w:jc w:val="center"/>
              <w:ind w:right="180"/>
              <w:spacing w:after="0"/>
              <w:rPr>
                <w:sz w:val="20"/>
                <w:szCs w:val="20"/>
                <w:color w:val="auto"/>
              </w:rPr>
            </w:pPr>
            <w:r>
              <w:rPr>
                <w:rFonts w:ascii="Times New Roman" w:cs="Times New Roman" w:eastAsia="Times New Roman" w:hAnsi="Times New Roman"/>
                <w:sz w:val="20"/>
                <w:szCs w:val="20"/>
                <w:b w:val="1"/>
                <w:bCs w:val="1"/>
                <w:color w:val="auto"/>
                <w:w w:val="99"/>
              </w:rPr>
              <w:t>December 31,</w:t>
            </w:r>
          </w:p>
        </w:tc>
        <w:tc>
          <w:tcPr>
            <w:tcW w:w="0" w:type="dxa"/>
            <w:vAlign w:val="bottom"/>
          </w:tcPr>
          <w:p>
            <w:pPr>
              <w:spacing w:after="0"/>
              <w:rPr>
                <w:sz w:val="1"/>
                <w:szCs w:val="1"/>
                <w:color w:val="auto"/>
              </w:rPr>
            </w:pPr>
          </w:p>
        </w:tc>
      </w:tr>
      <w:tr>
        <w:trPr>
          <w:trHeight w:val="266"/>
        </w:trPr>
        <w:tc>
          <w:tcPr>
            <w:tcW w:w="100" w:type="dxa"/>
            <w:vAlign w:val="bottom"/>
          </w:tcPr>
          <w:p>
            <w:pPr>
              <w:spacing w:after="0"/>
              <w:rPr>
                <w:sz w:val="23"/>
                <w:szCs w:val="23"/>
                <w:color w:val="auto"/>
              </w:rPr>
            </w:pPr>
          </w:p>
        </w:tc>
        <w:tc>
          <w:tcPr>
            <w:tcW w:w="7480" w:type="dxa"/>
            <w:vAlign w:val="bottom"/>
          </w:tcPr>
          <w:p>
            <w:pPr>
              <w:spacing w:after="0"/>
              <w:rPr>
                <w:sz w:val="23"/>
                <w:szCs w:val="23"/>
                <w:color w:val="auto"/>
              </w:rPr>
            </w:pPr>
          </w:p>
        </w:tc>
        <w:tc>
          <w:tcPr>
            <w:tcW w:w="40" w:type="dxa"/>
            <w:vAlign w:val="bottom"/>
            <w:tcBorders>
              <w:bottom w:val="single" w:sz="8" w:color="D2EEF5"/>
            </w:tcBorders>
          </w:tcPr>
          <w:p>
            <w:pPr>
              <w:spacing w:after="0"/>
              <w:rPr>
                <w:sz w:val="23"/>
                <w:szCs w:val="23"/>
                <w:color w:val="auto"/>
              </w:rPr>
            </w:pPr>
          </w:p>
        </w:tc>
        <w:tc>
          <w:tcPr>
            <w:tcW w:w="20" w:type="dxa"/>
            <w:vAlign w:val="bottom"/>
            <w:tcBorders>
              <w:bottom w:val="single" w:sz="8" w:color="D2EEF5"/>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2025</w:t>
            </w:r>
          </w:p>
        </w:tc>
        <w:tc>
          <w:tcPr>
            <w:tcW w:w="40" w:type="dxa"/>
            <w:vAlign w:val="bottom"/>
            <w:tcBorders>
              <w:bottom w:val="single" w:sz="8" w:color="auto"/>
            </w:tcBorders>
          </w:tcPr>
          <w:p>
            <w:pPr>
              <w:spacing w:after="0"/>
              <w:rPr>
                <w:sz w:val="23"/>
                <w:szCs w:val="23"/>
                <w:color w:val="auto"/>
              </w:rPr>
            </w:pPr>
          </w:p>
        </w:tc>
        <w:tc>
          <w:tcPr>
            <w:tcW w:w="20" w:type="dxa"/>
            <w:vAlign w:val="bottom"/>
            <w:tcBorders>
              <w:bottom w:val="single" w:sz="8" w:color="D2EEF5"/>
            </w:tcBorders>
          </w:tcPr>
          <w:p>
            <w:pPr>
              <w:spacing w:after="0"/>
              <w:rPr>
                <w:sz w:val="23"/>
                <w:szCs w:val="23"/>
                <w:color w:val="auto"/>
              </w:rPr>
            </w:pPr>
          </w:p>
        </w:tc>
        <w:tc>
          <w:tcPr>
            <w:tcW w:w="40" w:type="dxa"/>
            <w:vAlign w:val="bottom"/>
            <w:tcBorders>
              <w:bottom w:val="single" w:sz="8" w:color="D2EEF5"/>
            </w:tcBorders>
          </w:tcPr>
          <w:p>
            <w:pPr>
              <w:spacing w:after="0"/>
              <w:rPr>
                <w:sz w:val="23"/>
                <w:szCs w:val="23"/>
                <w:color w:val="auto"/>
              </w:rPr>
            </w:pPr>
          </w:p>
        </w:tc>
        <w:tc>
          <w:tcPr>
            <w:tcW w:w="20" w:type="dxa"/>
            <w:vAlign w:val="bottom"/>
            <w:tcBorders>
              <w:bottom w:val="single" w:sz="8" w:color="D2EEF5"/>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00" w:type="dxa"/>
            <w:vAlign w:val="bottom"/>
            <w:tcBorders>
              <w:right w:val="single" w:sz="8" w:color="D2EEF5"/>
            </w:tcBorders>
          </w:tcPr>
          <w:p>
            <w:pPr>
              <w:spacing w:after="0"/>
              <w:rPr>
                <w:sz w:val="22"/>
                <w:szCs w:val="22"/>
                <w:color w:val="auto"/>
              </w:rPr>
            </w:pPr>
          </w:p>
        </w:tc>
        <w:tc>
          <w:tcPr>
            <w:tcW w:w="7480" w:type="dxa"/>
            <w:vAlign w:val="bottom"/>
            <w:shd w:val="clear" w:color="auto" w:fill="D2EEF5"/>
          </w:tcPr>
          <w:p>
            <w:pPr>
              <w:spacing w:after="0"/>
              <w:rPr>
                <w:sz w:val="20"/>
                <w:szCs w:val="20"/>
                <w:color w:val="auto"/>
              </w:rPr>
            </w:pPr>
            <w:r>
              <w:rPr>
                <w:rFonts w:ascii="Times New Roman" w:cs="Times New Roman" w:eastAsia="Times New Roman" w:hAnsi="Times New Roman"/>
                <w:sz w:val="20"/>
                <w:szCs w:val="20"/>
                <w:color w:val="auto"/>
              </w:rPr>
              <w:t>Finished goods</w:t>
            </w:r>
          </w:p>
        </w:tc>
        <w:tc>
          <w:tcPr>
            <w:tcW w:w="60" w:type="dxa"/>
            <w:vAlign w:val="bottom"/>
            <w:gridSpan w:val="2"/>
            <w:shd w:val="clear" w:color="auto" w:fill="D2EEF5"/>
          </w:tcPr>
          <w:p>
            <w:pPr>
              <w:spacing w:after="0"/>
              <w:rPr>
                <w:sz w:val="22"/>
                <w:szCs w:val="22"/>
                <w:color w:val="auto"/>
              </w:rPr>
            </w:pPr>
          </w:p>
        </w:tc>
        <w:tc>
          <w:tcPr>
            <w:tcW w:w="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25,314</w:t>
            </w:r>
          </w:p>
        </w:tc>
        <w:tc>
          <w:tcPr>
            <w:tcW w:w="40" w:type="dxa"/>
            <w:vAlign w:val="bottom"/>
            <w:shd w:val="clear" w:color="auto" w:fill="D2EEF5"/>
          </w:tcPr>
          <w:p>
            <w:pPr>
              <w:spacing w:after="0"/>
              <w:rPr>
                <w:sz w:val="22"/>
                <w:szCs w:val="22"/>
                <w:color w:val="auto"/>
              </w:rPr>
            </w:pPr>
          </w:p>
        </w:tc>
        <w:tc>
          <w:tcPr>
            <w:tcW w:w="20" w:type="dxa"/>
            <w:vAlign w:val="bottom"/>
            <w:shd w:val="clear" w:color="auto" w:fill="D2EEF5"/>
          </w:tcPr>
          <w:p>
            <w:pPr>
              <w:spacing w:after="0"/>
              <w:rPr>
                <w:sz w:val="22"/>
                <w:szCs w:val="22"/>
                <w:color w:val="auto"/>
              </w:rPr>
            </w:pPr>
          </w:p>
        </w:tc>
        <w:tc>
          <w:tcPr>
            <w:tcW w:w="60" w:type="dxa"/>
            <w:vAlign w:val="bottom"/>
            <w:gridSpan w:val="2"/>
            <w:shd w:val="clear" w:color="auto" w:fill="D2EEF5"/>
          </w:tcPr>
          <w:p>
            <w:pPr>
              <w:spacing w:after="0"/>
              <w:rPr>
                <w:sz w:val="22"/>
                <w:szCs w:val="22"/>
                <w:color w:val="auto"/>
              </w:rPr>
            </w:pPr>
          </w:p>
        </w:tc>
        <w:tc>
          <w:tcPr>
            <w:tcW w:w="280" w:type="dxa"/>
            <w:vAlign w:val="bottom"/>
            <w:shd w:val="clear" w:color="auto" w:fill="D2EEF5"/>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44,372</w:t>
            </w:r>
          </w:p>
        </w:tc>
        <w:tc>
          <w:tcPr>
            <w:tcW w:w="60" w:type="dxa"/>
            <w:vAlign w:val="bottom"/>
            <w:shd w:val="clear" w:color="auto" w:fill="D2EEF5"/>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100" w:type="dxa"/>
            <w:vAlign w:val="bottom"/>
          </w:tcPr>
          <w:p>
            <w:pPr>
              <w:spacing w:after="0"/>
              <w:rPr>
                <w:sz w:val="24"/>
                <w:szCs w:val="24"/>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20"/>
                <w:szCs w:val="20"/>
                <w:color w:val="auto"/>
              </w:rPr>
              <w:t>Work-in-process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872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1,137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100" w:type="dxa"/>
            <w:vAlign w:val="bottom"/>
            <w:tcBorders>
              <w:right w:val="single" w:sz="8" w:color="D2EEF5"/>
            </w:tcBorders>
          </w:tcPr>
          <w:p>
            <w:pPr>
              <w:spacing w:after="0"/>
              <w:rPr>
                <w:sz w:val="24"/>
                <w:szCs w:val="24"/>
                <w:color w:val="auto"/>
              </w:rPr>
            </w:pPr>
          </w:p>
        </w:tc>
        <w:tc>
          <w:tcPr>
            <w:tcW w:w="7480" w:type="dxa"/>
            <w:vAlign w:val="bottom"/>
            <w:shd w:val="clear" w:color="auto" w:fill="D2EEF5"/>
          </w:tcPr>
          <w:p>
            <w:pPr>
              <w:spacing w:after="0"/>
              <w:rPr>
                <w:sz w:val="20"/>
                <w:szCs w:val="20"/>
                <w:color w:val="auto"/>
              </w:rPr>
            </w:pPr>
            <w:r>
              <w:rPr>
                <w:rFonts w:ascii="Times New Roman" w:cs="Times New Roman" w:eastAsia="Times New Roman" w:hAnsi="Times New Roman"/>
                <w:sz w:val="20"/>
                <w:szCs w:val="20"/>
                <w:color w:val="auto"/>
              </w:rPr>
              <w:t>Raw materials</w:t>
            </w:r>
          </w:p>
        </w:tc>
        <w:tc>
          <w:tcPr>
            <w:tcW w:w="4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180" w:type="dxa"/>
            <w:vAlign w:val="bottom"/>
            <w:shd w:val="clear" w:color="auto" w:fill="D2EEF5"/>
          </w:tcPr>
          <w:p>
            <w:pPr>
              <w:spacing w:after="0"/>
              <w:rPr>
                <w:sz w:val="24"/>
                <w:szCs w:val="24"/>
                <w:color w:val="auto"/>
              </w:rPr>
            </w:pPr>
          </w:p>
        </w:tc>
        <w:tc>
          <w:tcPr>
            <w:tcW w:w="10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10,790</w:t>
            </w:r>
          </w:p>
        </w:tc>
        <w:tc>
          <w:tcPr>
            <w:tcW w:w="4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4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280" w:type="dxa"/>
            <w:vAlign w:val="bottom"/>
            <w:shd w:val="clear" w:color="auto" w:fill="D2EEF5"/>
          </w:tcPr>
          <w:p>
            <w:pPr>
              <w:spacing w:after="0"/>
              <w:rPr>
                <w:sz w:val="24"/>
                <w:szCs w:val="24"/>
                <w:color w:val="auto"/>
              </w:rPr>
            </w:pP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12,398</w:t>
            </w:r>
          </w:p>
        </w:tc>
        <w:tc>
          <w:tcPr>
            <w:tcW w:w="60" w:type="dxa"/>
            <w:vAlign w:val="bottom"/>
            <w:shd w:val="clear" w:color="auto" w:fill="D2EEF5"/>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100" w:type="dxa"/>
            <w:vAlign w:val="bottom"/>
          </w:tcPr>
          <w:p>
            <w:pPr>
              <w:spacing w:after="0"/>
              <w:rPr>
                <w:sz w:val="24"/>
                <w:szCs w:val="24"/>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20"/>
                <w:szCs w:val="20"/>
                <w:color w:val="auto"/>
              </w:rPr>
              <w:t>Allowance for inventory obsolescence</w:t>
            </w:r>
          </w:p>
        </w:tc>
        <w:tc>
          <w:tcPr>
            <w:tcW w:w="40" w:type="dxa"/>
            <w:vAlign w:val="bottom"/>
            <w:tcBorders>
              <w:bottom w:val="single" w:sz="8" w:color="D2EEF5"/>
            </w:tcBorders>
          </w:tcPr>
          <w:p>
            <w:pPr>
              <w:spacing w:after="0"/>
              <w:rPr>
                <w:sz w:val="24"/>
                <w:szCs w:val="24"/>
                <w:color w:val="auto"/>
              </w:rPr>
            </w:pPr>
          </w:p>
        </w:tc>
        <w:tc>
          <w:tcPr>
            <w:tcW w:w="20" w:type="dxa"/>
            <w:vAlign w:val="bottom"/>
            <w:tcBorders>
              <w:bottom w:val="single" w:sz="8" w:color="D2EEF5"/>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(3,652)</w:t>
            </w:r>
          </w:p>
        </w:tc>
        <w:tc>
          <w:tcPr>
            <w:tcW w:w="20" w:type="dxa"/>
            <w:vAlign w:val="bottom"/>
            <w:tcBorders>
              <w:bottom w:val="single" w:sz="8" w:color="D2EEF5"/>
            </w:tcBorders>
          </w:tcPr>
          <w:p>
            <w:pPr>
              <w:spacing w:after="0"/>
              <w:rPr>
                <w:sz w:val="24"/>
                <w:szCs w:val="24"/>
                <w:color w:val="auto"/>
              </w:rPr>
            </w:pPr>
          </w:p>
        </w:tc>
        <w:tc>
          <w:tcPr>
            <w:tcW w:w="40" w:type="dxa"/>
            <w:vAlign w:val="bottom"/>
            <w:tcBorders>
              <w:bottom w:val="single" w:sz="8" w:color="D2EEF5"/>
            </w:tcBorders>
          </w:tcPr>
          <w:p>
            <w:pPr>
              <w:spacing w:after="0"/>
              <w:rPr>
                <w:sz w:val="24"/>
                <w:szCs w:val="24"/>
                <w:color w:val="auto"/>
              </w:rPr>
            </w:pPr>
          </w:p>
        </w:tc>
        <w:tc>
          <w:tcPr>
            <w:tcW w:w="20" w:type="dxa"/>
            <w:vAlign w:val="bottom"/>
            <w:tcBorders>
              <w:bottom w:val="single" w:sz="8" w:color="D2EEF5"/>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(7,274)</w:t>
            </w:r>
          </w:p>
        </w:tc>
        <w:tc>
          <w:tcPr>
            <w:tcW w:w="0" w:type="dxa"/>
            <w:vAlign w:val="bottom"/>
          </w:tcPr>
          <w:p>
            <w:pPr>
              <w:spacing w:after="0"/>
              <w:rPr>
                <w:sz w:val="1"/>
                <w:szCs w:val="1"/>
                <w:color w:val="auto"/>
              </w:rPr>
            </w:pPr>
          </w:p>
        </w:tc>
      </w:tr>
      <w:tr>
        <w:trPr>
          <w:trHeight w:val="237"/>
        </w:trPr>
        <w:tc>
          <w:tcPr>
            <w:tcW w:w="100" w:type="dxa"/>
            <w:vAlign w:val="bottom"/>
            <w:tcBorders>
              <w:right w:val="single" w:sz="8" w:color="D2EEF5"/>
            </w:tcBorders>
          </w:tcPr>
          <w:p>
            <w:pPr>
              <w:spacing w:after="0"/>
              <w:rPr>
                <w:sz w:val="20"/>
                <w:szCs w:val="20"/>
                <w:color w:val="auto"/>
              </w:rPr>
            </w:pPr>
          </w:p>
        </w:tc>
        <w:tc>
          <w:tcPr>
            <w:tcW w:w="7480" w:type="dxa"/>
            <w:vAlign w:val="bottom"/>
            <w:shd w:val="clear" w:color="auto" w:fill="D2EEF5"/>
          </w:tcPr>
          <w:p>
            <w:pPr>
              <w:ind w:left="140"/>
              <w:spacing w:after="0"/>
              <w:rPr>
                <w:sz w:val="20"/>
                <w:szCs w:val="20"/>
                <w:color w:val="auto"/>
              </w:rPr>
            </w:pPr>
            <w:r>
              <w:rPr>
                <w:rFonts w:ascii="Times New Roman" w:cs="Times New Roman" w:eastAsia="Times New Roman" w:hAnsi="Times New Roman"/>
                <w:sz w:val="20"/>
                <w:szCs w:val="20"/>
                <w:b w:val="1"/>
                <w:bCs w:val="1"/>
                <w:color w:val="auto"/>
              </w:rPr>
              <w:t>Total inventories</w:t>
            </w:r>
          </w:p>
        </w:tc>
        <w:tc>
          <w:tcPr>
            <w:tcW w:w="60" w:type="dxa"/>
            <w:vAlign w:val="bottom"/>
            <w:gridSpan w:val="2"/>
            <w:shd w:val="clear" w:color="auto" w:fill="D2EEF5"/>
          </w:tcPr>
          <w:p>
            <w:pPr>
              <w:spacing w:after="0"/>
              <w:rPr>
                <w:sz w:val="20"/>
                <w:szCs w:val="20"/>
                <w:color w:val="auto"/>
              </w:rPr>
            </w:pPr>
          </w:p>
        </w:tc>
        <w:tc>
          <w:tcPr>
            <w:tcW w:w="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33,324</w:t>
            </w:r>
          </w:p>
        </w:tc>
        <w:tc>
          <w:tcPr>
            <w:tcW w:w="40" w:type="dxa"/>
            <w:vAlign w:val="bottom"/>
            <w:shd w:val="clear" w:color="auto" w:fill="D2EEF5"/>
          </w:tcPr>
          <w:p>
            <w:pPr>
              <w:spacing w:after="0"/>
              <w:rPr>
                <w:sz w:val="20"/>
                <w:szCs w:val="20"/>
                <w:color w:val="auto"/>
              </w:rPr>
            </w:pPr>
          </w:p>
        </w:tc>
        <w:tc>
          <w:tcPr>
            <w:tcW w:w="20" w:type="dxa"/>
            <w:vAlign w:val="bottom"/>
            <w:shd w:val="clear" w:color="auto" w:fill="D2EEF5"/>
          </w:tcPr>
          <w:p>
            <w:pPr>
              <w:spacing w:after="0"/>
              <w:rPr>
                <w:sz w:val="20"/>
                <w:szCs w:val="20"/>
                <w:color w:val="auto"/>
              </w:rPr>
            </w:pPr>
          </w:p>
        </w:tc>
        <w:tc>
          <w:tcPr>
            <w:tcW w:w="60" w:type="dxa"/>
            <w:vAlign w:val="bottom"/>
            <w:gridSpan w:val="2"/>
            <w:shd w:val="clear" w:color="auto" w:fill="D2EEF5"/>
          </w:tcPr>
          <w:p>
            <w:pPr>
              <w:spacing w:after="0"/>
              <w:rPr>
                <w:sz w:val="20"/>
                <w:szCs w:val="20"/>
                <w:color w:val="auto"/>
              </w:rPr>
            </w:pPr>
          </w:p>
        </w:tc>
        <w:tc>
          <w:tcPr>
            <w:tcW w:w="280" w:type="dxa"/>
            <w:vAlign w:val="bottom"/>
            <w:shd w:val="clear" w:color="auto" w:fill="D2EEF5"/>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50,633</w:t>
            </w:r>
          </w:p>
        </w:tc>
        <w:tc>
          <w:tcPr>
            <w:tcW w:w="60" w:type="dxa"/>
            <w:vAlign w:val="bottom"/>
            <w:shd w:val="clear" w:color="auto" w:fill="D2EEF5"/>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left="60" w:firstLine="720"/>
        <w:spacing w:after="0" w:line="288" w:lineRule="auto"/>
        <w:rPr>
          <w:sz w:val="20"/>
          <w:szCs w:val="20"/>
          <w:color w:val="auto"/>
        </w:rPr>
      </w:pPr>
      <w:r>
        <w:rPr>
          <w:rFonts w:ascii="Times New Roman" w:cs="Times New Roman" w:eastAsia="Times New Roman" w:hAnsi="Times New Roman"/>
          <w:sz w:val="20"/>
          <w:szCs w:val="20"/>
          <w:color w:val="auto"/>
        </w:rPr>
        <w:t>Inventories are stated at the lower of cost or net realizable value, and the Company maintains an allowance for excess and obsolete inventory that is based upon assumptions about future demand and market conditions. The allowance for excess</w:t>
      </w:r>
    </w:p>
    <w:p>
      <w:pPr>
        <w:sectPr>
          <w:pgSz w:w="12240" w:h="15840" w:orient="portrait"/>
          <w:cols w:equalWidth="0" w:num="1">
            <w:col w:w="10320"/>
          </w:cols>
          <w:pgMar w:left="940" w:top="4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10320"/>
          </w:cols>
          <w:pgMar w:left="940" w:top="420" w:right="980" w:bottom="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Hydrofarm Holdings Group, Inc.</w:t>
      </w:r>
    </w:p>
    <w:p>
      <w:pPr>
        <w:spacing w:after="0" w:line="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pacing w:after="0" w:line="343"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color w:val="auto"/>
        </w:rPr>
        <w:t>and obsolete inventory is subject to increase based on changes in estimates and other factors and decrease based on sales of products and disposals.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LEASES</w:t>
      </w:r>
    </w:p>
    <w:p>
      <w:pPr>
        <w:spacing w:after="0" w:line="214"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 xml:space="preserve">The Company leases its distribution centers and manufacturing facilities from third parties under various non-cancelable lease agreements expiring at various dates through 2038. Also, the Company leases some property, plant and equipment under finance leases. Certain leases contain escalation provisions and/or renewal options, giving the Company the right to extend the leases by up to 20 years. However, these options are generally not reflected in the calculation of the ROU assets and lease liabilities due to uncertainty surrounding the likelihood of renewal. The Company recognizes operating lease costs over the respective lease periods, including short-term and month-to-month leases. The Company incurred operating lease costs of $9,565 and $10,195 during the years ended December 31, 2025, and 2024, respectively. These costs are included primarily within SG&amp;A in the consolidated statements of operations and do not include lease termination costs associated with the IGE Asset Sale. Refer to Note 4 – </w:t>
      </w:r>
      <w:r>
        <w:rPr>
          <w:rFonts w:ascii="Times New Roman" w:cs="Times New Roman" w:eastAsia="Times New Roman" w:hAnsi="Times New Roman"/>
          <w:sz w:val="20"/>
          <w:szCs w:val="20"/>
          <w:i w:val="1"/>
          <w:iCs w:val="1"/>
          <w:color w:val="auto"/>
        </w:rPr>
        <w:t>Restructuring and Asset Sales</w:t>
      </w:r>
      <w:r>
        <w:rPr>
          <w:rFonts w:ascii="Times New Roman" w:cs="Times New Roman" w:eastAsia="Times New Roman" w:hAnsi="Times New Roman"/>
          <w:sz w:val="20"/>
          <w:szCs w:val="20"/>
          <w:color w:val="auto"/>
        </w:rPr>
        <w:t xml:space="preserve"> for further details.</w:t>
      </w:r>
    </w:p>
    <w:p>
      <w:pPr>
        <w:spacing w:after="0" w:line="161"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color w:val="auto"/>
        </w:rPr>
        <w:t>The Company has operating subleases and logistics agreements which have been accounted for by reference to the underlying asset subject to the lease, primarily as an offset to rent expense within SG&amp;A.</w:t>
      </w:r>
    </w:p>
    <w:p>
      <w:pPr>
        <w:spacing w:after="0" w:line="12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Total ROU assets, finance lease assets, and lease liabilities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jc w:val="right"/>
              <w:ind w:right="660"/>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5"/>
        </w:trPr>
        <w:tc>
          <w:tcPr>
            <w:tcW w:w="4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80" w:type="dxa"/>
            <w:vAlign w:val="bottom"/>
            <w:gridSpan w:val="3"/>
          </w:tcPr>
          <w:p>
            <w:pPr>
              <w:ind w:left="1000"/>
              <w:spacing w:after="0"/>
              <w:rPr>
                <w:sz w:val="20"/>
                <w:szCs w:val="20"/>
                <w:color w:val="auto"/>
              </w:rPr>
            </w:pPr>
            <w:r>
              <w:rPr>
                <w:rFonts w:ascii="Times New Roman" w:cs="Times New Roman" w:eastAsia="Times New Roman" w:hAnsi="Times New Roman"/>
                <w:sz w:val="20"/>
                <w:szCs w:val="20"/>
                <w:b w:val="1"/>
                <w:bCs w:val="1"/>
                <w:color w:val="auto"/>
              </w:rPr>
              <w:t>Balance Sheet Classification</w:t>
            </w:r>
          </w:p>
        </w:tc>
        <w:tc>
          <w:tcPr>
            <w:tcW w:w="300" w:type="dxa"/>
            <w:vAlign w:val="bottom"/>
          </w:tcPr>
          <w:p>
            <w:pPr>
              <w:spacing w:after="0"/>
              <w:rPr>
                <w:sz w:val="23"/>
                <w:szCs w:val="23"/>
                <w:color w:val="auto"/>
              </w:rPr>
            </w:pPr>
          </w:p>
        </w:tc>
        <w:tc>
          <w:tcPr>
            <w:tcW w:w="1000" w:type="dxa"/>
            <w:vAlign w:val="bottom"/>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66"/>
        </w:trPr>
        <w:tc>
          <w:tcPr>
            <w:tcW w:w="40" w:type="dxa"/>
            <w:vAlign w:val="bottom"/>
            <w:tcBorders>
              <w:top w:val="single" w:sz="8" w:color="D2EEF5"/>
            </w:tcBorders>
            <w:shd w:val="clear" w:color="auto" w:fill="D2EEF5"/>
          </w:tcPr>
          <w:p>
            <w:pPr>
              <w:spacing w:after="0"/>
              <w:rPr>
                <w:sz w:val="23"/>
                <w:szCs w:val="23"/>
                <w:color w:val="auto"/>
              </w:rPr>
            </w:pPr>
          </w:p>
        </w:tc>
        <w:tc>
          <w:tcPr>
            <w:tcW w:w="3000" w:type="dxa"/>
            <w:vAlign w:val="bottom"/>
            <w:tcBorders>
              <w:top w:val="single" w:sz="8" w:color="D2EEF5"/>
            </w:tcBorders>
            <w:shd w:val="clear" w:color="auto" w:fill="D2EEF5"/>
          </w:tcPr>
          <w:p>
            <w:pPr>
              <w:spacing w:after="0"/>
              <w:rPr>
                <w:sz w:val="20"/>
                <w:szCs w:val="20"/>
                <w:color w:val="auto"/>
              </w:rPr>
            </w:pPr>
            <w:r>
              <w:rPr>
                <w:rFonts w:ascii="Times New Roman" w:cs="Times New Roman" w:eastAsia="Times New Roman" w:hAnsi="Times New Roman"/>
                <w:sz w:val="20"/>
                <w:szCs w:val="20"/>
                <w:b w:val="1"/>
                <w:bCs w:val="1"/>
                <w:color w:val="auto"/>
              </w:rPr>
              <w:t>Lease assets</w:t>
            </w:r>
          </w:p>
        </w:tc>
        <w:tc>
          <w:tcPr>
            <w:tcW w:w="60" w:type="dxa"/>
            <w:vAlign w:val="bottom"/>
            <w:tcBorders>
              <w:top w:val="single" w:sz="8" w:color="D2EEF5"/>
            </w:tcBorders>
            <w:shd w:val="clear" w:color="auto" w:fill="D2EEF5"/>
          </w:tcPr>
          <w:p>
            <w:pPr>
              <w:spacing w:after="0"/>
              <w:rPr>
                <w:sz w:val="23"/>
                <w:szCs w:val="23"/>
                <w:color w:val="auto"/>
              </w:rPr>
            </w:pPr>
          </w:p>
        </w:tc>
        <w:tc>
          <w:tcPr>
            <w:tcW w:w="4420" w:type="dxa"/>
            <w:vAlign w:val="bottom"/>
            <w:tcBorders>
              <w:top w:val="single" w:sz="8" w:color="auto"/>
            </w:tcBorders>
            <w:shd w:val="clear" w:color="auto" w:fill="D2EEF5"/>
          </w:tcPr>
          <w:p>
            <w:pPr>
              <w:spacing w:after="0"/>
              <w:rPr>
                <w:sz w:val="23"/>
                <w:szCs w:val="23"/>
                <w:color w:val="auto"/>
              </w:rPr>
            </w:pPr>
          </w:p>
        </w:tc>
        <w:tc>
          <w:tcPr>
            <w:tcW w:w="40" w:type="dxa"/>
            <w:vAlign w:val="bottom"/>
            <w:tcBorders>
              <w:top w:val="single" w:sz="8" w:color="D2EEF5"/>
            </w:tcBorders>
            <w:shd w:val="clear" w:color="auto" w:fill="D2EEF5"/>
          </w:tcPr>
          <w:p>
            <w:pPr>
              <w:spacing w:after="0"/>
              <w:rPr>
                <w:sz w:val="23"/>
                <w:szCs w:val="23"/>
                <w:color w:val="auto"/>
              </w:rPr>
            </w:pPr>
          </w:p>
        </w:tc>
        <w:tc>
          <w:tcPr>
            <w:tcW w:w="20" w:type="dxa"/>
            <w:vAlign w:val="bottom"/>
            <w:tcBorders>
              <w:top w:val="single" w:sz="8" w:color="D2EEF5"/>
            </w:tcBorders>
            <w:shd w:val="clear" w:color="auto" w:fill="D2EEF5"/>
          </w:tcPr>
          <w:p>
            <w:pPr>
              <w:spacing w:after="0"/>
              <w:rPr>
                <w:sz w:val="23"/>
                <w:szCs w:val="23"/>
                <w:color w:val="auto"/>
              </w:rPr>
            </w:pPr>
          </w:p>
        </w:tc>
        <w:tc>
          <w:tcPr>
            <w:tcW w:w="300" w:type="dxa"/>
            <w:vAlign w:val="bottom"/>
            <w:tcBorders>
              <w:top w:val="single" w:sz="8" w:color="auto"/>
            </w:tcBorders>
            <w:shd w:val="clear" w:color="auto" w:fill="D2EEF5"/>
          </w:tcPr>
          <w:p>
            <w:pPr>
              <w:spacing w:after="0"/>
              <w:rPr>
                <w:sz w:val="23"/>
                <w:szCs w:val="23"/>
                <w:color w:val="auto"/>
              </w:rPr>
            </w:pPr>
          </w:p>
        </w:tc>
        <w:tc>
          <w:tcPr>
            <w:tcW w:w="1000" w:type="dxa"/>
            <w:vAlign w:val="bottom"/>
            <w:tcBorders>
              <w:top w:val="single" w:sz="8" w:color="auto"/>
            </w:tcBorders>
            <w:shd w:val="clear" w:color="auto" w:fill="D2EEF5"/>
          </w:tcPr>
          <w:p>
            <w:pPr>
              <w:spacing w:after="0"/>
              <w:rPr>
                <w:sz w:val="23"/>
                <w:szCs w:val="23"/>
                <w:color w:val="auto"/>
              </w:rPr>
            </w:pPr>
          </w:p>
        </w:tc>
        <w:tc>
          <w:tcPr>
            <w:tcW w:w="60" w:type="dxa"/>
            <w:vAlign w:val="bottom"/>
            <w:tcBorders>
              <w:top w:val="single" w:sz="8" w:color="D2EEF5"/>
            </w:tcBorders>
            <w:shd w:val="clear" w:color="auto" w:fill="D2EEF5"/>
          </w:tcPr>
          <w:p>
            <w:pPr>
              <w:spacing w:after="0"/>
              <w:rPr>
                <w:sz w:val="23"/>
                <w:szCs w:val="23"/>
                <w:color w:val="auto"/>
              </w:rPr>
            </w:pPr>
          </w:p>
        </w:tc>
        <w:tc>
          <w:tcPr>
            <w:tcW w:w="20" w:type="dxa"/>
            <w:vAlign w:val="bottom"/>
            <w:tcBorders>
              <w:top w:val="single" w:sz="8" w:color="D2EEF5"/>
            </w:tcBorders>
            <w:shd w:val="clear" w:color="auto" w:fill="D2EEF5"/>
          </w:tcPr>
          <w:p>
            <w:pPr>
              <w:spacing w:after="0"/>
              <w:rPr>
                <w:sz w:val="23"/>
                <w:szCs w:val="23"/>
                <w:color w:val="auto"/>
              </w:rPr>
            </w:pPr>
          </w:p>
        </w:tc>
        <w:tc>
          <w:tcPr>
            <w:tcW w:w="280" w:type="dxa"/>
            <w:vAlign w:val="bottom"/>
            <w:tcBorders>
              <w:top w:val="single" w:sz="8" w:color="auto"/>
            </w:tcBorders>
            <w:shd w:val="clear" w:color="auto" w:fill="D2EEF5"/>
          </w:tcPr>
          <w:p>
            <w:pPr>
              <w:spacing w:after="0"/>
              <w:rPr>
                <w:sz w:val="23"/>
                <w:szCs w:val="23"/>
                <w:color w:val="auto"/>
              </w:rPr>
            </w:pPr>
          </w:p>
        </w:tc>
        <w:tc>
          <w:tcPr>
            <w:tcW w:w="1020" w:type="dxa"/>
            <w:vAlign w:val="bottom"/>
            <w:tcBorders>
              <w:top w:val="single" w:sz="8" w:color="auto"/>
            </w:tcBorders>
            <w:shd w:val="clear" w:color="auto" w:fill="D2EEF5"/>
          </w:tcPr>
          <w:p>
            <w:pPr>
              <w:spacing w:after="0"/>
              <w:rPr>
                <w:sz w:val="23"/>
                <w:szCs w:val="23"/>
                <w:color w:val="auto"/>
              </w:rPr>
            </w:pPr>
          </w:p>
        </w:tc>
      </w:tr>
      <w:tr>
        <w:trPr>
          <w:trHeight w:val="280"/>
        </w:trPr>
        <w:tc>
          <w:tcPr>
            <w:tcW w:w="40" w:type="dxa"/>
            <w:vAlign w:val="bottom"/>
          </w:tcPr>
          <w:p>
            <w:pPr>
              <w:spacing w:after="0"/>
              <w:rPr>
                <w:sz w:val="24"/>
                <w:szCs w:val="24"/>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assets</w:t>
            </w:r>
          </w:p>
        </w:tc>
        <w:tc>
          <w:tcPr>
            <w:tcW w:w="60" w:type="dxa"/>
            <w:vAlign w:val="bottom"/>
          </w:tcPr>
          <w:p>
            <w:pPr>
              <w:spacing w:after="0"/>
              <w:rPr>
                <w:sz w:val="24"/>
                <w:szCs w:val="24"/>
                <w:color w:val="auto"/>
              </w:rPr>
            </w:pPr>
          </w:p>
        </w:tc>
        <w:tc>
          <w:tcPr>
            <w:tcW w:w="448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37,765</w:t>
            </w:r>
          </w:p>
        </w:tc>
        <w:tc>
          <w:tcPr>
            <w:tcW w:w="3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42,869</w:t>
            </w:r>
          </w:p>
        </w:tc>
      </w:tr>
      <w:tr>
        <w:trPr>
          <w:trHeight w:val="290"/>
        </w:trPr>
        <w:tc>
          <w:tcPr>
            <w:tcW w:w="40" w:type="dxa"/>
            <w:vAlign w:val="bottom"/>
            <w:shd w:val="clear" w:color="auto" w:fill="D2EEF5"/>
          </w:tcPr>
          <w:p>
            <w:pPr>
              <w:spacing w:after="0"/>
              <w:rPr>
                <w:sz w:val="24"/>
                <w:szCs w:val="24"/>
                <w:color w:val="auto"/>
              </w:rPr>
            </w:pPr>
          </w:p>
        </w:tc>
        <w:tc>
          <w:tcPr>
            <w:tcW w:w="3000" w:type="dxa"/>
            <w:vAlign w:val="bottom"/>
            <w:shd w:val="clear" w:color="auto" w:fill="D2EEF5"/>
          </w:tcPr>
          <w:p>
            <w:pPr>
              <w:spacing w:after="0"/>
              <w:rPr>
                <w:sz w:val="20"/>
                <w:szCs w:val="20"/>
                <w:color w:val="auto"/>
              </w:rPr>
            </w:pPr>
            <w:r>
              <w:rPr>
                <w:rFonts w:ascii="Times New Roman" w:cs="Times New Roman" w:eastAsia="Times New Roman" w:hAnsi="Times New Roman"/>
                <w:sz w:val="20"/>
                <w:szCs w:val="20"/>
                <w:color w:val="auto"/>
              </w:rPr>
              <w:t>Finance lease assets</w:t>
            </w:r>
          </w:p>
        </w:tc>
        <w:tc>
          <w:tcPr>
            <w:tcW w:w="60" w:type="dxa"/>
            <w:vAlign w:val="bottom"/>
            <w:shd w:val="clear" w:color="auto" w:fill="D2EEF5"/>
          </w:tcPr>
          <w:p>
            <w:pPr>
              <w:spacing w:after="0"/>
              <w:rPr>
                <w:sz w:val="24"/>
                <w:szCs w:val="24"/>
                <w:color w:val="auto"/>
              </w:rPr>
            </w:pPr>
          </w:p>
        </w:tc>
        <w:tc>
          <w:tcPr>
            <w:tcW w:w="4420" w:type="dxa"/>
            <w:vAlign w:val="bottom"/>
            <w:shd w:val="clear" w:color="auto" w:fill="D2EEF5"/>
          </w:tcPr>
          <w:p>
            <w:pPr>
              <w:ind w:left="40"/>
              <w:spacing w:after="0"/>
              <w:rPr>
                <w:sz w:val="20"/>
                <w:szCs w:val="20"/>
                <w:color w:val="auto"/>
              </w:rPr>
            </w:pPr>
            <w:r>
              <w:rPr>
                <w:rFonts w:ascii="Times New Roman" w:cs="Times New Roman" w:eastAsia="Times New Roman" w:hAnsi="Times New Roman"/>
                <w:sz w:val="20"/>
                <w:szCs w:val="20"/>
                <w:color w:val="auto"/>
              </w:rPr>
              <w:t>Property, plant and equipment, net</w:t>
            </w:r>
          </w:p>
        </w:tc>
        <w:tc>
          <w:tcPr>
            <w:tcW w:w="4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300" w:type="dxa"/>
            <w:vAlign w:val="bottom"/>
            <w:tcBorders>
              <w:bottom w:val="single" w:sz="8" w:color="auto"/>
            </w:tcBorders>
            <w:shd w:val="clear" w:color="auto" w:fill="D2EEF5"/>
          </w:tcPr>
          <w:p>
            <w:pPr>
              <w:spacing w:after="0"/>
              <w:rPr>
                <w:sz w:val="24"/>
                <w:szCs w:val="24"/>
                <w:color w:val="auto"/>
              </w:rPr>
            </w:pPr>
          </w:p>
        </w:tc>
        <w:tc>
          <w:tcPr>
            <w:tcW w:w="10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6,575</w:t>
            </w:r>
          </w:p>
        </w:tc>
        <w:tc>
          <w:tcPr>
            <w:tcW w:w="6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280" w:type="dxa"/>
            <w:vAlign w:val="bottom"/>
            <w:tcBorders>
              <w:bottom w:val="single" w:sz="8" w:color="auto"/>
            </w:tcBorders>
            <w:shd w:val="clear" w:color="auto" w:fill="D2EEF5"/>
          </w:tcPr>
          <w:p>
            <w:pPr>
              <w:spacing w:after="0"/>
              <w:rPr>
                <w:sz w:val="24"/>
                <w:szCs w:val="24"/>
                <w:color w:val="auto"/>
              </w:rPr>
            </w:pPr>
          </w:p>
        </w:tc>
        <w:tc>
          <w:tcPr>
            <w:tcW w:w="10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7,279</w:t>
            </w:r>
          </w:p>
        </w:tc>
      </w:tr>
      <w:tr>
        <w:trPr>
          <w:trHeight w:val="304"/>
        </w:trPr>
        <w:tc>
          <w:tcPr>
            <w:tcW w:w="40" w:type="dxa"/>
            <w:vAlign w:val="bottom"/>
            <w:tcBorders>
              <w:bottom w:val="single" w:sz="8" w:color="D2EEF5"/>
            </w:tcBorders>
          </w:tcPr>
          <w:p>
            <w:pPr>
              <w:spacing w:after="0"/>
              <w:rPr>
                <w:sz w:val="24"/>
                <w:szCs w:val="24"/>
                <w:color w:val="auto"/>
              </w:rPr>
            </w:pPr>
          </w:p>
        </w:tc>
        <w:tc>
          <w:tcPr>
            <w:tcW w:w="3000" w:type="dxa"/>
            <w:vAlign w:val="bottom"/>
            <w:tcBorders>
              <w:bottom w:val="single" w:sz="8" w:color="D2EEF5"/>
            </w:tcBorders>
          </w:tcPr>
          <w:p>
            <w:pPr>
              <w:spacing w:after="0"/>
              <w:rPr>
                <w:sz w:val="20"/>
                <w:szCs w:val="20"/>
                <w:color w:val="auto"/>
              </w:rPr>
            </w:pPr>
            <w:r>
              <w:rPr>
                <w:rFonts w:ascii="Times New Roman" w:cs="Times New Roman" w:eastAsia="Times New Roman" w:hAnsi="Times New Roman"/>
                <w:sz w:val="20"/>
                <w:szCs w:val="20"/>
                <w:b w:val="1"/>
                <w:bCs w:val="1"/>
                <w:color w:val="auto"/>
              </w:rPr>
              <w:t>Total lease assets</w:t>
            </w:r>
          </w:p>
        </w:tc>
        <w:tc>
          <w:tcPr>
            <w:tcW w:w="60" w:type="dxa"/>
            <w:vAlign w:val="bottom"/>
            <w:tcBorders>
              <w:bottom w:val="single" w:sz="8" w:color="D2EEF5"/>
            </w:tcBorders>
          </w:tcPr>
          <w:p>
            <w:pPr>
              <w:spacing w:after="0"/>
              <w:rPr>
                <w:sz w:val="24"/>
                <w:szCs w:val="24"/>
                <w:color w:val="auto"/>
              </w:rPr>
            </w:pPr>
          </w:p>
        </w:tc>
        <w:tc>
          <w:tcPr>
            <w:tcW w:w="4420" w:type="dxa"/>
            <w:vAlign w:val="bottom"/>
            <w:tcBorders>
              <w:bottom w:val="single" w:sz="8" w:color="D2EEF5"/>
            </w:tcBorders>
          </w:tcPr>
          <w:p>
            <w:pPr>
              <w:spacing w:after="0"/>
              <w:rPr>
                <w:sz w:val="24"/>
                <w:szCs w:val="24"/>
                <w:color w:val="auto"/>
              </w:rPr>
            </w:pPr>
          </w:p>
        </w:tc>
        <w:tc>
          <w:tcPr>
            <w:tcW w:w="40" w:type="dxa"/>
            <w:vAlign w:val="bottom"/>
            <w:tcBorders>
              <w:bottom w:val="single" w:sz="8" w:color="D2EEF5"/>
            </w:tcBorders>
          </w:tcPr>
          <w:p>
            <w:pPr>
              <w:spacing w:after="0"/>
              <w:rPr>
                <w:sz w:val="24"/>
                <w:szCs w:val="24"/>
                <w:color w:val="auto"/>
              </w:rPr>
            </w:pPr>
          </w:p>
        </w:tc>
        <w:tc>
          <w:tcPr>
            <w:tcW w:w="20" w:type="dxa"/>
            <w:vAlign w:val="bottom"/>
            <w:tcBorders>
              <w:bottom w:val="single" w:sz="8" w:color="D2EEF5"/>
            </w:tcBorders>
          </w:tcPr>
          <w:p>
            <w:pPr>
              <w:spacing w:after="0"/>
              <w:rPr>
                <w:sz w:val="24"/>
                <w:szCs w:val="24"/>
                <w:color w:val="auto"/>
              </w:rPr>
            </w:pP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44,340</w:t>
            </w:r>
          </w:p>
        </w:tc>
        <w:tc>
          <w:tcPr>
            <w:tcW w:w="60" w:type="dxa"/>
            <w:vAlign w:val="bottom"/>
            <w:tcBorders>
              <w:bottom w:val="single" w:sz="8" w:color="D2EEF5"/>
            </w:tcBorders>
          </w:tcPr>
          <w:p>
            <w:pPr>
              <w:spacing w:after="0"/>
              <w:rPr>
                <w:sz w:val="24"/>
                <w:szCs w:val="24"/>
                <w:color w:val="auto"/>
              </w:rPr>
            </w:pPr>
          </w:p>
        </w:tc>
        <w:tc>
          <w:tcPr>
            <w:tcW w:w="20" w:type="dxa"/>
            <w:vAlign w:val="bottom"/>
            <w:tcBorders>
              <w:bottom w:val="single" w:sz="8" w:color="D2EEF5"/>
            </w:tcBorders>
          </w:tcPr>
          <w:p>
            <w:pPr>
              <w:spacing w:after="0"/>
              <w:rPr>
                <w:sz w:val="24"/>
                <w:szCs w:val="24"/>
                <w:color w:val="auto"/>
              </w:rPr>
            </w:pPr>
          </w:p>
        </w:tc>
        <w:tc>
          <w:tcPr>
            <w:tcW w:w="2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50,148</w:t>
            </w:r>
          </w:p>
        </w:tc>
      </w:tr>
      <w:tr>
        <w:trPr>
          <w:trHeight w:val="226"/>
        </w:trPr>
        <w:tc>
          <w:tcPr>
            <w:tcW w:w="40" w:type="dxa"/>
            <w:vAlign w:val="bottom"/>
            <w:shd w:val="clear" w:color="auto" w:fill="D2EEF5"/>
          </w:tcPr>
          <w:p>
            <w:pPr>
              <w:spacing w:after="0"/>
              <w:rPr>
                <w:sz w:val="19"/>
                <w:szCs w:val="19"/>
                <w:color w:val="auto"/>
              </w:rPr>
            </w:pPr>
          </w:p>
        </w:tc>
        <w:tc>
          <w:tcPr>
            <w:tcW w:w="3000" w:type="dxa"/>
            <w:vAlign w:val="bottom"/>
            <w:shd w:val="clear" w:color="auto" w:fill="D2EEF5"/>
          </w:tcPr>
          <w:p>
            <w:pPr>
              <w:spacing w:after="0"/>
              <w:rPr>
                <w:sz w:val="19"/>
                <w:szCs w:val="19"/>
                <w:color w:val="auto"/>
              </w:rPr>
            </w:pPr>
          </w:p>
        </w:tc>
        <w:tc>
          <w:tcPr>
            <w:tcW w:w="60" w:type="dxa"/>
            <w:vAlign w:val="bottom"/>
            <w:shd w:val="clear" w:color="auto" w:fill="D2EEF5"/>
          </w:tcPr>
          <w:p>
            <w:pPr>
              <w:spacing w:after="0"/>
              <w:rPr>
                <w:sz w:val="19"/>
                <w:szCs w:val="19"/>
                <w:color w:val="auto"/>
              </w:rPr>
            </w:pPr>
          </w:p>
        </w:tc>
        <w:tc>
          <w:tcPr>
            <w:tcW w:w="4420" w:type="dxa"/>
            <w:vAlign w:val="bottom"/>
            <w:shd w:val="clear" w:color="auto" w:fill="D2EEF5"/>
          </w:tcPr>
          <w:p>
            <w:pPr>
              <w:spacing w:after="0"/>
              <w:rPr>
                <w:sz w:val="19"/>
                <w:szCs w:val="19"/>
                <w:color w:val="auto"/>
              </w:rPr>
            </w:pPr>
          </w:p>
        </w:tc>
        <w:tc>
          <w:tcPr>
            <w:tcW w:w="4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300" w:type="dxa"/>
            <w:vAlign w:val="bottom"/>
            <w:shd w:val="clear" w:color="auto" w:fill="D2EEF5"/>
          </w:tcPr>
          <w:p>
            <w:pPr>
              <w:spacing w:after="0"/>
              <w:rPr>
                <w:sz w:val="19"/>
                <w:szCs w:val="19"/>
                <w:color w:val="auto"/>
              </w:rPr>
            </w:pPr>
          </w:p>
        </w:tc>
        <w:tc>
          <w:tcPr>
            <w:tcW w:w="1000" w:type="dxa"/>
            <w:vAlign w:val="bottom"/>
            <w:shd w:val="clear" w:color="auto" w:fill="D2EEF5"/>
          </w:tcPr>
          <w:p>
            <w:pPr>
              <w:spacing w:after="0"/>
              <w:rPr>
                <w:sz w:val="19"/>
                <w:szCs w:val="19"/>
                <w:color w:val="auto"/>
              </w:rPr>
            </w:pPr>
          </w:p>
        </w:tc>
        <w:tc>
          <w:tcPr>
            <w:tcW w:w="60" w:type="dxa"/>
            <w:vAlign w:val="bottom"/>
            <w:shd w:val="clear" w:color="auto" w:fill="D2EEF5"/>
          </w:tcPr>
          <w:p>
            <w:pPr>
              <w:spacing w:after="0"/>
              <w:rPr>
                <w:sz w:val="19"/>
                <w:szCs w:val="19"/>
                <w:color w:val="auto"/>
              </w:rPr>
            </w:pPr>
          </w:p>
        </w:tc>
        <w:tc>
          <w:tcPr>
            <w:tcW w:w="20" w:type="dxa"/>
            <w:vAlign w:val="bottom"/>
            <w:shd w:val="clear" w:color="auto" w:fill="D2EEF5"/>
          </w:tcPr>
          <w:p>
            <w:pPr>
              <w:spacing w:after="0"/>
              <w:rPr>
                <w:sz w:val="19"/>
                <w:szCs w:val="19"/>
                <w:color w:val="auto"/>
              </w:rPr>
            </w:pPr>
          </w:p>
        </w:tc>
        <w:tc>
          <w:tcPr>
            <w:tcW w:w="280" w:type="dxa"/>
            <w:vAlign w:val="bottom"/>
            <w:shd w:val="clear" w:color="auto" w:fill="D2EEF5"/>
          </w:tcPr>
          <w:p>
            <w:pPr>
              <w:spacing w:after="0"/>
              <w:rPr>
                <w:sz w:val="19"/>
                <w:szCs w:val="19"/>
                <w:color w:val="auto"/>
              </w:rPr>
            </w:pPr>
          </w:p>
        </w:tc>
        <w:tc>
          <w:tcPr>
            <w:tcW w:w="1020" w:type="dxa"/>
            <w:vAlign w:val="bottom"/>
            <w:shd w:val="clear" w:color="auto" w:fill="D2EEF5"/>
          </w:tcPr>
          <w:p>
            <w:pPr>
              <w:spacing w:after="0"/>
              <w:rPr>
                <w:sz w:val="19"/>
                <w:szCs w:val="19"/>
                <w:color w:val="auto"/>
              </w:rPr>
            </w:pPr>
          </w:p>
        </w:tc>
      </w:tr>
      <w:tr>
        <w:trPr>
          <w:trHeight w:val="280"/>
        </w:trPr>
        <w:tc>
          <w:tcPr>
            <w:tcW w:w="40" w:type="dxa"/>
            <w:vAlign w:val="bottom"/>
          </w:tcPr>
          <w:p>
            <w:pPr>
              <w:spacing w:after="0"/>
              <w:rPr>
                <w:sz w:val="24"/>
                <w:szCs w:val="24"/>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Lease liabilities</w:t>
            </w:r>
          </w:p>
        </w:tc>
        <w:tc>
          <w:tcPr>
            <w:tcW w:w="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90"/>
        </w:trPr>
        <w:tc>
          <w:tcPr>
            <w:tcW w:w="40" w:type="dxa"/>
            <w:vAlign w:val="bottom"/>
            <w:shd w:val="clear" w:color="auto" w:fill="D2EEF5"/>
          </w:tcPr>
          <w:p>
            <w:pPr>
              <w:spacing w:after="0"/>
              <w:rPr>
                <w:sz w:val="24"/>
                <w:szCs w:val="24"/>
                <w:color w:val="auto"/>
              </w:rPr>
            </w:pPr>
          </w:p>
        </w:tc>
        <w:tc>
          <w:tcPr>
            <w:tcW w:w="3000" w:type="dxa"/>
            <w:vAlign w:val="bottom"/>
            <w:shd w:val="clear" w:color="auto" w:fill="D2EEF5"/>
          </w:tcPr>
          <w:p>
            <w:pPr>
              <w:spacing w:after="0"/>
              <w:rPr>
                <w:sz w:val="20"/>
                <w:szCs w:val="20"/>
                <w:color w:val="auto"/>
              </w:rPr>
            </w:pPr>
            <w:r>
              <w:rPr>
                <w:rFonts w:ascii="Times New Roman" w:cs="Times New Roman" w:eastAsia="Times New Roman" w:hAnsi="Times New Roman"/>
                <w:sz w:val="20"/>
                <w:szCs w:val="20"/>
                <w:color w:val="auto"/>
              </w:rPr>
              <w:t>Current:</w:t>
            </w:r>
          </w:p>
        </w:tc>
        <w:tc>
          <w:tcPr>
            <w:tcW w:w="60" w:type="dxa"/>
            <w:vAlign w:val="bottom"/>
            <w:shd w:val="clear" w:color="auto" w:fill="D2EEF5"/>
          </w:tcPr>
          <w:p>
            <w:pPr>
              <w:spacing w:after="0"/>
              <w:rPr>
                <w:sz w:val="24"/>
                <w:szCs w:val="24"/>
                <w:color w:val="auto"/>
              </w:rPr>
            </w:pPr>
          </w:p>
        </w:tc>
        <w:tc>
          <w:tcPr>
            <w:tcW w:w="4420" w:type="dxa"/>
            <w:vAlign w:val="bottom"/>
            <w:shd w:val="clear" w:color="auto" w:fill="D2EEF5"/>
          </w:tcPr>
          <w:p>
            <w:pPr>
              <w:spacing w:after="0"/>
              <w:rPr>
                <w:sz w:val="24"/>
                <w:szCs w:val="24"/>
                <w:color w:val="auto"/>
              </w:rPr>
            </w:pPr>
          </w:p>
        </w:tc>
        <w:tc>
          <w:tcPr>
            <w:tcW w:w="4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300" w:type="dxa"/>
            <w:vAlign w:val="bottom"/>
            <w:shd w:val="clear" w:color="auto" w:fill="D2EEF5"/>
          </w:tcPr>
          <w:p>
            <w:pPr>
              <w:spacing w:after="0"/>
              <w:rPr>
                <w:sz w:val="24"/>
                <w:szCs w:val="24"/>
                <w:color w:val="auto"/>
              </w:rPr>
            </w:pPr>
          </w:p>
        </w:tc>
        <w:tc>
          <w:tcPr>
            <w:tcW w:w="1000" w:type="dxa"/>
            <w:vAlign w:val="bottom"/>
            <w:shd w:val="clear" w:color="auto" w:fill="D2EEF5"/>
          </w:tcPr>
          <w:p>
            <w:pPr>
              <w:spacing w:after="0"/>
              <w:rPr>
                <w:sz w:val="24"/>
                <w:szCs w:val="24"/>
                <w:color w:val="auto"/>
              </w:rPr>
            </w:pPr>
          </w:p>
        </w:tc>
        <w:tc>
          <w:tcPr>
            <w:tcW w:w="6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280" w:type="dxa"/>
            <w:vAlign w:val="bottom"/>
            <w:shd w:val="clear" w:color="auto" w:fill="D2EEF5"/>
          </w:tcPr>
          <w:p>
            <w:pPr>
              <w:spacing w:after="0"/>
              <w:rPr>
                <w:sz w:val="24"/>
                <w:szCs w:val="24"/>
                <w:color w:val="auto"/>
              </w:rPr>
            </w:pPr>
          </w:p>
        </w:tc>
        <w:tc>
          <w:tcPr>
            <w:tcW w:w="1020" w:type="dxa"/>
            <w:vAlign w:val="bottom"/>
            <w:shd w:val="clear" w:color="auto" w:fill="D2EEF5"/>
          </w:tcPr>
          <w:p>
            <w:pPr>
              <w:spacing w:after="0"/>
              <w:rPr>
                <w:sz w:val="24"/>
                <w:szCs w:val="24"/>
                <w:color w:val="auto"/>
              </w:rPr>
            </w:pPr>
          </w:p>
        </w:tc>
      </w:tr>
      <w:tr>
        <w:trPr>
          <w:trHeight w:val="310"/>
        </w:trPr>
        <w:tc>
          <w:tcPr>
            <w:tcW w:w="40" w:type="dxa"/>
            <w:vAlign w:val="bottom"/>
          </w:tcPr>
          <w:p>
            <w:pPr>
              <w:spacing w:after="0"/>
              <w:rPr>
                <w:sz w:val="24"/>
                <w:szCs w:val="24"/>
                <w:color w:val="auto"/>
              </w:rPr>
            </w:pPr>
          </w:p>
        </w:tc>
        <w:tc>
          <w:tcPr>
            <w:tcW w:w="30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Operating leases</w:t>
            </w:r>
          </w:p>
        </w:tc>
        <w:tc>
          <w:tcPr>
            <w:tcW w:w="60" w:type="dxa"/>
            <w:vAlign w:val="bottom"/>
          </w:tcPr>
          <w:p>
            <w:pPr>
              <w:spacing w:after="0"/>
              <w:rPr>
                <w:sz w:val="24"/>
                <w:szCs w:val="24"/>
                <w:color w:val="auto"/>
              </w:rPr>
            </w:pPr>
          </w:p>
        </w:tc>
        <w:tc>
          <w:tcPr>
            <w:tcW w:w="448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Current portion of operating lease liabilities</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7,543</w:t>
            </w:r>
          </w:p>
        </w:tc>
        <w:tc>
          <w:tcPr>
            <w:tcW w:w="3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7,731</w:t>
            </w:r>
          </w:p>
        </w:tc>
      </w:tr>
      <w:tr>
        <w:trPr>
          <w:trHeight w:val="320"/>
        </w:trPr>
        <w:tc>
          <w:tcPr>
            <w:tcW w:w="40" w:type="dxa"/>
            <w:vAlign w:val="bottom"/>
            <w:shd w:val="clear" w:color="auto" w:fill="D2EEF5"/>
          </w:tcPr>
          <w:p>
            <w:pPr>
              <w:spacing w:after="0"/>
              <w:rPr>
                <w:sz w:val="24"/>
                <w:szCs w:val="24"/>
                <w:color w:val="auto"/>
              </w:rPr>
            </w:pPr>
          </w:p>
        </w:tc>
        <w:tc>
          <w:tcPr>
            <w:tcW w:w="3000" w:type="dxa"/>
            <w:vAlign w:val="bottom"/>
            <w:shd w:val="clear" w:color="auto" w:fill="D2EEF5"/>
          </w:tcPr>
          <w:p>
            <w:pPr>
              <w:ind w:left="120"/>
              <w:spacing w:after="0"/>
              <w:rPr>
                <w:sz w:val="20"/>
                <w:szCs w:val="20"/>
                <w:color w:val="auto"/>
              </w:rPr>
            </w:pPr>
            <w:r>
              <w:rPr>
                <w:rFonts w:ascii="Times New Roman" w:cs="Times New Roman" w:eastAsia="Times New Roman" w:hAnsi="Times New Roman"/>
                <w:sz w:val="20"/>
                <w:szCs w:val="20"/>
                <w:color w:val="auto"/>
              </w:rPr>
              <w:t>Finance leases</w:t>
            </w:r>
          </w:p>
        </w:tc>
        <w:tc>
          <w:tcPr>
            <w:tcW w:w="60" w:type="dxa"/>
            <w:vAlign w:val="bottom"/>
            <w:shd w:val="clear" w:color="auto" w:fill="D2EEF5"/>
          </w:tcPr>
          <w:p>
            <w:pPr>
              <w:spacing w:after="0"/>
              <w:rPr>
                <w:sz w:val="24"/>
                <w:szCs w:val="24"/>
                <w:color w:val="auto"/>
              </w:rPr>
            </w:pPr>
          </w:p>
        </w:tc>
        <w:tc>
          <w:tcPr>
            <w:tcW w:w="4420" w:type="dxa"/>
            <w:vAlign w:val="bottom"/>
            <w:shd w:val="clear" w:color="auto" w:fill="D2EEF5"/>
          </w:tcPr>
          <w:p>
            <w:pPr>
              <w:ind w:left="40"/>
              <w:spacing w:after="0"/>
              <w:rPr>
                <w:sz w:val="20"/>
                <w:szCs w:val="20"/>
                <w:color w:val="auto"/>
              </w:rPr>
            </w:pPr>
            <w:r>
              <w:rPr>
                <w:rFonts w:ascii="Times New Roman" w:cs="Times New Roman" w:eastAsia="Times New Roman" w:hAnsi="Times New Roman"/>
                <w:sz w:val="20"/>
                <w:szCs w:val="20"/>
                <w:color w:val="auto"/>
              </w:rPr>
              <w:t>Current portion of finance lease liabilities</w:t>
            </w:r>
          </w:p>
        </w:tc>
        <w:tc>
          <w:tcPr>
            <w:tcW w:w="4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300" w:type="dxa"/>
            <w:vAlign w:val="bottom"/>
            <w:shd w:val="clear" w:color="auto" w:fill="D2EEF5"/>
          </w:tcPr>
          <w:p>
            <w:pPr>
              <w:spacing w:after="0"/>
              <w:rPr>
                <w:sz w:val="24"/>
                <w:szCs w:val="24"/>
                <w:color w:val="auto"/>
              </w:rPr>
            </w:pP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455</w:t>
            </w:r>
          </w:p>
        </w:tc>
        <w:tc>
          <w:tcPr>
            <w:tcW w:w="6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280" w:type="dxa"/>
            <w:vAlign w:val="bottom"/>
            <w:shd w:val="clear" w:color="auto" w:fill="D2EEF5"/>
          </w:tcPr>
          <w:p>
            <w:pPr>
              <w:spacing w:after="0"/>
              <w:rPr>
                <w:sz w:val="24"/>
                <w:szCs w:val="24"/>
                <w:color w:val="auto"/>
              </w:rPr>
            </w:pPr>
          </w:p>
        </w:tc>
        <w:tc>
          <w:tcPr>
            <w:tcW w:w="10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459</w:t>
            </w:r>
          </w:p>
        </w:tc>
      </w:tr>
      <w:tr>
        <w:trPr>
          <w:trHeight w:val="308"/>
        </w:trPr>
        <w:tc>
          <w:tcPr>
            <w:tcW w:w="40" w:type="dxa"/>
            <w:vAlign w:val="bottom"/>
          </w:tcPr>
          <w:p>
            <w:pPr>
              <w:spacing w:after="0"/>
              <w:rPr>
                <w:sz w:val="24"/>
                <w:szCs w:val="24"/>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Noncurrent:</w:t>
            </w:r>
          </w:p>
        </w:tc>
        <w:tc>
          <w:tcPr>
            <w:tcW w:w="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22"/>
        </w:trPr>
        <w:tc>
          <w:tcPr>
            <w:tcW w:w="40" w:type="dxa"/>
            <w:vAlign w:val="bottom"/>
            <w:shd w:val="clear" w:color="auto" w:fill="D2EEF5"/>
          </w:tcPr>
          <w:p>
            <w:pPr>
              <w:spacing w:after="0"/>
              <w:rPr>
                <w:sz w:val="24"/>
                <w:szCs w:val="24"/>
                <w:color w:val="auto"/>
              </w:rPr>
            </w:pPr>
          </w:p>
        </w:tc>
        <w:tc>
          <w:tcPr>
            <w:tcW w:w="3000" w:type="dxa"/>
            <w:vAlign w:val="bottom"/>
            <w:shd w:val="clear" w:color="auto" w:fill="D2EEF5"/>
          </w:tcPr>
          <w:p>
            <w:pPr>
              <w:ind w:left="120"/>
              <w:spacing w:after="0"/>
              <w:rPr>
                <w:sz w:val="20"/>
                <w:szCs w:val="20"/>
                <w:color w:val="auto"/>
              </w:rPr>
            </w:pPr>
            <w:r>
              <w:rPr>
                <w:rFonts w:ascii="Times New Roman" w:cs="Times New Roman" w:eastAsia="Times New Roman" w:hAnsi="Times New Roman"/>
                <w:sz w:val="20"/>
                <w:szCs w:val="20"/>
                <w:color w:val="auto"/>
              </w:rPr>
              <w:t>Operating leases</w:t>
            </w:r>
          </w:p>
        </w:tc>
        <w:tc>
          <w:tcPr>
            <w:tcW w:w="60" w:type="dxa"/>
            <w:vAlign w:val="bottom"/>
            <w:shd w:val="clear" w:color="auto" w:fill="D2EEF5"/>
          </w:tcPr>
          <w:p>
            <w:pPr>
              <w:spacing w:after="0"/>
              <w:rPr>
                <w:sz w:val="24"/>
                <w:szCs w:val="24"/>
                <w:color w:val="auto"/>
              </w:rPr>
            </w:pPr>
          </w:p>
        </w:tc>
        <w:tc>
          <w:tcPr>
            <w:tcW w:w="4420" w:type="dxa"/>
            <w:vAlign w:val="bottom"/>
            <w:shd w:val="clear" w:color="auto" w:fill="D2EEF5"/>
          </w:tcPr>
          <w:p>
            <w:pPr>
              <w:ind w:left="40"/>
              <w:spacing w:after="0"/>
              <w:rPr>
                <w:sz w:val="20"/>
                <w:szCs w:val="20"/>
                <w:color w:val="auto"/>
              </w:rPr>
            </w:pPr>
            <w:r>
              <w:rPr>
                <w:rFonts w:ascii="Times New Roman" w:cs="Times New Roman" w:eastAsia="Times New Roman" w:hAnsi="Times New Roman"/>
                <w:sz w:val="20"/>
                <w:szCs w:val="20"/>
                <w:color w:val="auto"/>
              </w:rPr>
              <w:t>Long-term operating lease liabilities</w:t>
            </w:r>
          </w:p>
        </w:tc>
        <w:tc>
          <w:tcPr>
            <w:tcW w:w="4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300" w:type="dxa"/>
            <w:vAlign w:val="bottom"/>
            <w:shd w:val="clear" w:color="auto" w:fill="D2EEF5"/>
          </w:tcPr>
          <w:p>
            <w:pPr>
              <w:spacing w:after="0"/>
              <w:rPr>
                <w:sz w:val="24"/>
                <w:szCs w:val="24"/>
                <w:color w:val="auto"/>
              </w:rPr>
            </w:pP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32,800</w:t>
            </w:r>
          </w:p>
        </w:tc>
        <w:tc>
          <w:tcPr>
            <w:tcW w:w="6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280" w:type="dxa"/>
            <w:vAlign w:val="bottom"/>
            <w:shd w:val="clear" w:color="auto" w:fill="D2EEF5"/>
          </w:tcPr>
          <w:p>
            <w:pPr>
              <w:spacing w:after="0"/>
              <w:rPr>
                <w:sz w:val="24"/>
                <w:szCs w:val="24"/>
                <w:color w:val="auto"/>
              </w:rPr>
            </w:pPr>
          </w:p>
        </w:tc>
        <w:tc>
          <w:tcPr>
            <w:tcW w:w="10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37,553</w:t>
            </w:r>
          </w:p>
        </w:tc>
      </w:tr>
      <w:tr>
        <w:trPr>
          <w:trHeight w:val="339"/>
        </w:trPr>
        <w:tc>
          <w:tcPr>
            <w:tcW w:w="40" w:type="dxa"/>
            <w:vAlign w:val="bottom"/>
            <w:tcBorders>
              <w:bottom w:val="single" w:sz="8" w:color="D2EEF5"/>
            </w:tcBorders>
          </w:tcPr>
          <w:p>
            <w:pPr>
              <w:spacing w:after="0"/>
              <w:rPr>
                <w:sz w:val="24"/>
                <w:szCs w:val="24"/>
                <w:color w:val="auto"/>
              </w:rPr>
            </w:pPr>
          </w:p>
        </w:tc>
        <w:tc>
          <w:tcPr>
            <w:tcW w:w="3000" w:type="dxa"/>
            <w:vAlign w:val="bottom"/>
            <w:tcBorders>
              <w:bottom w:val="single" w:sz="8" w:color="D2EEF5"/>
            </w:tcBorders>
          </w:tcPr>
          <w:p>
            <w:pPr>
              <w:ind w:left="120"/>
              <w:spacing w:after="0"/>
              <w:rPr>
                <w:sz w:val="20"/>
                <w:szCs w:val="20"/>
                <w:color w:val="auto"/>
              </w:rPr>
            </w:pPr>
            <w:r>
              <w:rPr>
                <w:rFonts w:ascii="Times New Roman" w:cs="Times New Roman" w:eastAsia="Times New Roman" w:hAnsi="Times New Roman"/>
                <w:sz w:val="20"/>
                <w:szCs w:val="20"/>
                <w:color w:val="auto"/>
              </w:rPr>
              <w:t>Finance leases</w:t>
            </w:r>
          </w:p>
        </w:tc>
        <w:tc>
          <w:tcPr>
            <w:tcW w:w="60" w:type="dxa"/>
            <w:vAlign w:val="bottom"/>
            <w:tcBorders>
              <w:bottom w:val="single" w:sz="8" w:color="D2EEF5"/>
            </w:tcBorders>
          </w:tcPr>
          <w:p>
            <w:pPr>
              <w:spacing w:after="0"/>
              <w:rPr>
                <w:sz w:val="24"/>
                <w:szCs w:val="24"/>
                <w:color w:val="auto"/>
              </w:rPr>
            </w:pPr>
          </w:p>
        </w:tc>
        <w:tc>
          <w:tcPr>
            <w:tcW w:w="4480" w:type="dxa"/>
            <w:vAlign w:val="bottom"/>
            <w:tcBorders>
              <w:bottom w:val="single" w:sz="8" w:color="D2EEF5"/>
            </w:tcBorders>
            <w:gridSpan w:val="3"/>
          </w:tcPr>
          <w:p>
            <w:pPr>
              <w:ind w:left="40"/>
              <w:spacing w:after="0"/>
              <w:rPr>
                <w:sz w:val="20"/>
                <w:szCs w:val="20"/>
                <w:color w:val="auto"/>
              </w:rPr>
            </w:pPr>
            <w:r>
              <w:rPr>
                <w:rFonts w:ascii="Times New Roman" w:cs="Times New Roman" w:eastAsia="Times New Roman" w:hAnsi="Times New Roman"/>
                <w:sz w:val="20"/>
                <w:szCs w:val="20"/>
                <w:color w:val="auto"/>
              </w:rPr>
              <w:t>Long-term finance lease liabilities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7,381</w:t>
            </w:r>
          </w:p>
        </w:tc>
        <w:tc>
          <w:tcPr>
            <w:tcW w:w="60" w:type="dxa"/>
            <w:vAlign w:val="bottom"/>
            <w:tcBorders>
              <w:bottom w:val="single" w:sz="8" w:color="D2EEF5"/>
            </w:tcBorders>
          </w:tcPr>
          <w:p>
            <w:pPr>
              <w:spacing w:after="0"/>
              <w:rPr>
                <w:sz w:val="24"/>
                <w:szCs w:val="24"/>
                <w:color w:val="auto"/>
              </w:rPr>
            </w:pPr>
          </w:p>
        </w:tc>
        <w:tc>
          <w:tcPr>
            <w:tcW w:w="20" w:type="dxa"/>
            <w:vAlign w:val="bottom"/>
            <w:tcBorders>
              <w:bottom w:val="single" w:sz="8" w:color="D2EEF5"/>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7,830</w:t>
            </w:r>
          </w:p>
        </w:tc>
      </w:tr>
      <w:tr>
        <w:trPr>
          <w:trHeight w:val="278"/>
        </w:trPr>
        <w:tc>
          <w:tcPr>
            <w:tcW w:w="40" w:type="dxa"/>
            <w:vAlign w:val="bottom"/>
            <w:tcBorders>
              <w:top w:val="single" w:sz="8" w:color="D2EEF5"/>
            </w:tcBorders>
            <w:shd w:val="clear" w:color="auto" w:fill="D2EEF5"/>
          </w:tcPr>
          <w:p>
            <w:pPr>
              <w:spacing w:after="0"/>
              <w:rPr>
                <w:sz w:val="24"/>
                <w:szCs w:val="24"/>
                <w:color w:val="auto"/>
              </w:rPr>
            </w:pPr>
          </w:p>
        </w:tc>
        <w:tc>
          <w:tcPr>
            <w:tcW w:w="3000" w:type="dxa"/>
            <w:vAlign w:val="bottom"/>
            <w:tcBorders>
              <w:top w:val="single" w:sz="8" w:color="D2EEF5"/>
            </w:tcBorders>
            <w:shd w:val="clear" w:color="auto" w:fill="D2EEF5"/>
          </w:tcPr>
          <w:p>
            <w:pPr>
              <w:spacing w:after="0"/>
              <w:rPr>
                <w:sz w:val="20"/>
                <w:szCs w:val="20"/>
                <w:color w:val="auto"/>
              </w:rPr>
            </w:pPr>
            <w:r>
              <w:rPr>
                <w:rFonts w:ascii="Times New Roman" w:cs="Times New Roman" w:eastAsia="Times New Roman" w:hAnsi="Times New Roman"/>
                <w:sz w:val="20"/>
                <w:szCs w:val="20"/>
                <w:b w:val="1"/>
                <w:bCs w:val="1"/>
                <w:color w:val="auto"/>
              </w:rPr>
              <w:t>Total lease liabilities</w:t>
            </w:r>
          </w:p>
        </w:tc>
        <w:tc>
          <w:tcPr>
            <w:tcW w:w="60" w:type="dxa"/>
            <w:vAlign w:val="bottom"/>
            <w:tcBorders>
              <w:top w:val="single" w:sz="8" w:color="D2EEF5"/>
            </w:tcBorders>
            <w:shd w:val="clear" w:color="auto" w:fill="D2EEF5"/>
          </w:tcPr>
          <w:p>
            <w:pPr>
              <w:spacing w:after="0"/>
              <w:rPr>
                <w:sz w:val="24"/>
                <w:szCs w:val="24"/>
                <w:color w:val="auto"/>
              </w:rPr>
            </w:pPr>
          </w:p>
        </w:tc>
        <w:tc>
          <w:tcPr>
            <w:tcW w:w="4420" w:type="dxa"/>
            <w:vAlign w:val="bottom"/>
            <w:tcBorders>
              <w:top w:val="single" w:sz="8" w:color="D2EEF5"/>
            </w:tcBorders>
            <w:shd w:val="clear" w:color="auto" w:fill="D2EEF5"/>
          </w:tcPr>
          <w:p>
            <w:pPr>
              <w:spacing w:after="0"/>
              <w:rPr>
                <w:sz w:val="24"/>
                <w:szCs w:val="24"/>
                <w:color w:val="auto"/>
              </w:rPr>
            </w:pPr>
          </w:p>
        </w:tc>
        <w:tc>
          <w:tcPr>
            <w:tcW w:w="40" w:type="dxa"/>
            <w:vAlign w:val="bottom"/>
            <w:tcBorders>
              <w:top w:val="single" w:sz="8" w:color="D2EEF5"/>
            </w:tcBorders>
            <w:shd w:val="clear" w:color="auto" w:fill="D2EEF5"/>
          </w:tcPr>
          <w:p>
            <w:pPr>
              <w:spacing w:after="0"/>
              <w:rPr>
                <w:sz w:val="24"/>
                <w:szCs w:val="24"/>
                <w:color w:val="auto"/>
              </w:rPr>
            </w:pPr>
          </w:p>
        </w:tc>
        <w:tc>
          <w:tcPr>
            <w:tcW w:w="20" w:type="dxa"/>
            <w:vAlign w:val="bottom"/>
            <w:tcBorders>
              <w:top w:val="single" w:sz="8" w:color="D2EEF5"/>
              <w:bottom w:val="single" w:sz="8" w:color="auto"/>
            </w:tcBorders>
            <w:shd w:val="clear" w:color="auto" w:fill="D2EEF5"/>
          </w:tcPr>
          <w:p>
            <w:pPr>
              <w:spacing w:after="0"/>
              <w:rPr>
                <w:sz w:val="24"/>
                <w:szCs w:val="24"/>
                <w:color w:val="auto"/>
              </w:rPr>
            </w:pPr>
          </w:p>
        </w:tc>
        <w:tc>
          <w:tcPr>
            <w:tcW w:w="300" w:type="dxa"/>
            <w:vAlign w:val="bottom"/>
            <w:tcBorders>
              <w:top w:val="single" w:sz="8" w:color="D2EEF5"/>
              <w:bottom w:val="single" w:sz="8" w:color="auto"/>
            </w:tcBorders>
            <w:shd w:val="clear" w:color="auto" w:fill="D2EEF5"/>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tcBorders>
              <w:top w:val="single" w:sz="8" w:color="D2EEF5"/>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48,179</w:t>
            </w:r>
          </w:p>
        </w:tc>
        <w:tc>
          <w:tcPr>
            <w:tcW w:w="60" w:type="dxa"/>
            <w:vAlign w:val="bottom"/>
            <w:tcBorders>
              <w:top w:val="single" w:sz="8" w:color="D2EEF5"/>
            </w:tcBorders>
            <w:shd w:val="clear" w:color="auto" w:fill="D2EEF5"/>
          </w:tcPr>
          <w:p>
            <w:pPr>
              <w:spacing w:after="0"/>
              <w:rPr>
                <w:sz w:val="24"/>
                <w:szCs w:val="24"/>
                <w:color w:val="auto"/>
              </w:rPr>
            </w:pPr>
          </w:p>
        </w:tc>
        <w:tc>
          <w:tcPr>
            <w:tcW w:w="20" w:type="dxa"/>
            <w:vAlign w:val="bottom"/>
            <w:tcBorders>
              <w:top w:val="single" w:sz="8" w:color="D2EEF5"/>
              <w:bottom w:val="single" w:sz="8" w:color="auto"/>
            </w:tcBorders>
            <w:shd w:val="clear" w:color="auto" w:fill="D2EEF5"/>
          </w:tcPr>
          <w:p>
            <w:pPr>
              <w:spacing w:after="0"/>
              <w:rPr>
                <w:sz w:val="24"/>
                <w:szCs w:val="24"/>
                <w:color w:val="auto"/>
              </w:rPr>
            </w:pPr>
          </w:p>
        </w:tc>
        <w:tc>
          <w:tcPr>
            <w:tcW w:w="280" w:type="dxa"/>
            <w:vAlign w:val="bottom"/>
            <w:tcBorders>
              <w:top w:val="single" w:sz="8" w:color="D2EEF5"/>
              <w:bottom w:val="single" w:sz="8" w:color="auto"/>
            </w:tcBorders>
            <w:shd w:val="clear" w:color="auto" w:fill="D2EEF5"/>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Borders>
              <w:top w:val="single" w:sz="8" w:color="D2EEF5"/>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53,573</w:t>
            </w:r>
          </w:p>
        </w:tc>
      </w:tr>
      <w:tr>
        <w:trPr>
          <w:trHeight w:val="20"/>
        </w:trPr>
        <w:tc>
          <w:tcPr>
            <w:tcW w:w="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Total lease costs and sublease and logistics income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w w:val="99"/>
              </w:rPr>
              <w:t>Years ended December 31,</w:t>
            </w:r>
          </w:p>
        </w:tc>
      </w:tr>
      <w:tr>
        <w:trPr>
          <w:trHeight w:val="316"/>
        </w:trPr>
        <w:tc>
          <w:tcPr>
            <w:tcW w:w="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480" w:type="dxa"/>
            <w:vAlign w:val="bottom"/>
            <w:gridSpan w:val="2"/>
          </w:tcPr>
          <w:p>
            <w:pPr>
              <w:ind w:left="1140"/>
              <w:spacing w:after="0"/>
              <w:rPr>
                <w:sz w:val="20"/>
                <w:szCs w:val="20"/>
                <w:color w:val="auto"/>
              </w:rPr>
            </w:pPr>
            <w:r>
              <w:rPr>
                <w:rFonts w:ascii="Times New Roman" w:cs="Times New Roman" w:eastAsia="Times New Roman" w:hAnsi="Times New Roman"/>
                <w:sz w:val="20"/>
                <w:szCs w:val="20"/>
                <w:b w:val="1"/>
                <w:bCs w:val="1"/>
                <w:color w:val="auto"/>
              </w:rPr>
              <w:t>Classification</w:t>
            </w:r>
          </w:p>
        </w:tc>
        <w:tc>
          <w:tcPr>
            <w:tcW w:w="180" w:type="dxa"/>
            <w:vAlign w:val="bottom"/>
          </w:tcPr>
          <w:p>
            <w:pPr>
              <w:spacing w:after="0"/>
              <w:rPr>
                <w:sz w:val="24"/>
                <w:szCs w:val="24"/>
                <w:color w:val="auto"/>
              </w:rPr>
            </w:pPr>
          </w:p>
        </w:tc>
        <w:tc>
          <w:tcPr>
            <w:tcW w:w="1120" w:type="dxa"/>
            <w:vAlign w:val="bottom"/>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75"/>
        </w:trPr>
        <w:tc>
          <w:tcPr>
            <w:tcW w:w="40" w:type="dxa"/>
            <w:vAlign w:val="bottom"/>
            <w:tcBorders>
              <w:top w:val="single" w:sz="8" w:color="D2EEF5"/>
            </w:tcBorders>
            <w:shd w:val="clear" w:color="auto" w:fill="D2EEF5"/>
          </w:tcPr>
          <w:p>
            <w:pPr>
              <w:spacing w:after="0"/>
              <w:rPr>
                <w:sz w:val="23"/>
                <w:szCs w:val="23"/>
                <w:color w:val="auto"/>
              </w:rPr>
            </w:pPr>
          </w:p>
        </w:tc>
        <w:tc>
          <w:tcPr>
            <w:tcW w:w="4060" w:type="dxa"/>
            <w:vAlign w:val="bottom"/>
            <w:tcBorders>
              <w:top w:val="single" w:sz="8" w:color="D2EEF5"/>
            </w:tcBorders>
            <w:shd w:val="clear" w:color="auto" w:fill="D2EEF5"/>
          </w:tcPr>
          <w:p>
            <w:pPr>
              <w:spacing w:after="0"/>
              <w:rPr>
                <w:sz w:val="20"/>
                <w:szCs w:val="20"/>
                <w:color w:val="auto"/>
              </w:rPr>
            </w:pPr>
            <w:r>
              <w:rPr>
                <w:rFonts w:ascii="Times New Roman" w:cs="Times New Roman" w:eastAsia="Times New Roman" w:hAnsi="Times New Roman"/>
                <w:sz w:val="20"/>
                <w:szCs w:val="20"/>
                <w:color w:val="auto"/>
              </w:rPr>
              <w:t>Operating lease costs</w:t>
            </w:r>
          </w:p>
        </w:tc>
        <w:tc>
          <w:tcPr>
            <w:tcW w:w="3420" w:type="dxa"/>
            <w:vAlign w:val="bottom"/>
            <w:tcBorders>
              <w:top w:val="single" w:sz="8" w:color="auto"/>
            </w:tcBorders>
            <w:shd w:val="clear" w:color="auto" w:fill="D2EEF5"/>
          </w:tcPr>
          <w:p>
            <w:pPr>
              <w:ind w:left="60"/>
              <w:spacing w:after="0" w:line="275" w:lineRule="exact"/>
              <w:rPr>
                <w:sz w:val="20"/>
                <w:szCs w:val="20"/>
                <w:color w:val="auto"/>
              </w:rPr>
            </w:pPr>
            <w:r>
              <w:rPr>
                <w:rFonts w:ascii="Times New Roman" w:cs="Times New Roman" w:eastAsia="Times New Roman" w:hAnsi="Times New Roman"/>
                <w:sz w:val="20"/>
                <w:szCs w:val="20"/>
                <w:color w:val="auto"/>
              </w:rPr>
              <w:t>Selling, general and administrative</w:t>
            </w:r>
            <w:r>
              <w:rPr>
                <w:rFonts w:ascii="Times New Roman" w:cs="Times New Roman" w:eastAsia="Times New Roman" w:hAnsi="Times New Roman"/>
                <w:sz w:val="25"/>
                <w:szCs w:val="25"/>
                <w:color w:val="auto"/>
                <w:vertAlign w:val="superscript"/>
              </w:rPr>
              <w:t>(1)</w:t>
            </w:r>
          </w:p>
        </w:tc>
        <w:tc>
          <w:tcPr>
            <w:tcW w:w="60" w:type="dxa"/>
            <w:vAlign w:val="bottom"/>
            <w:tcBorders>
              <w:top w:val="single" w:sz="8" w:color="D2EEF5"/>
            </w:tcBorders>
            <w:shd w:val="clear" w:color="auto" w:fill="D2EEF5"/>
          </w:tcPr>
          <w:p>
            <w:pPr>
              <w:spacing w:after="0"/>
              <w:rPr>
                <w:sz w:val="23"/>
                <w:szCs w:val="23"/>
                <w:color w:val="auto"/>
              </w:rPr>
            </w:pPr>
          </w:p>
        </w:tc>
        <w:tc>
          <w:tcPr>
            <w:tcW w:w="180" w:type="dxa"/>
            <w:vAlign w:val="bottom"/>
            <w:tcBorders>
              <w:top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tcBorders>
              <w:top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9,565</w:t>
            </w:r>
          </w:p>
        </w:tc>
        <w:tc>
          <w:tcPr>
            <w:tcW w:w="60" w:type="dxa"/>
            <w:vAlign w:val="bottom"/>
            <w:tcBorders>
              <w:top w:val="single" w:sz="8" w:color="D2EEF5"/>
            </w:tcBorders>
            <w:shd w:val="clear" w:color="auto" w:fill="D2EEF5"/>
          </w:tcPr>
          <w:p>
            <w:pPr>
              <w:spacing w:after="0"/>
              <w:rPr>
                <w:sz w:val="23"/>
                <w:szCs w:val="23"/>
                <w:color w:val="auto"/>
              </w:rPr>
            </w:pPr>
          </w:p>
        </w:tc>
        <w:tc>
          <w:tcPr>
            <w:tcW w:w="300" w:type="dxa"/>
            <w:vAlign w:val="bottom"/>
            <w:tcBorders>
              <w:top w:val="single" w:sz="8" w:color="auto"/>
            </w:tcBorders>
            <w:shd w:val="clear" w:color="auto" w:fill="D2EEF5"/>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Borders>
              <w:top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10,195</w:t>
            </w:r>
          </w:p>
        </w:tc>
      </w:tr>
      <w:tr>
        <w:trPr>
          <w:trHeight w:val="309"/>
        </w:trPr>
        <w:tc>
          <w:tcPr>
            <w:tcW w:w="40" w:type="dxa"/>
            <w:vAlign w:val="bottom"/>
          </w:tcPr>
          <w:p>
            <w:pPr>
              <w:spacing w:after="0"/>
              <w:rPr>
                <w:sz w:val="24"/>
                <w:szCs w:val="24"/>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20"/>
                <w:szCs w:val="20"/>
                <w:color w:val="auto"/>
              </w:rPr>
              <w:t>Finance lease costs:</w:t>
            </w:r>
          </w:p>
        </w:tc>
        <w:tc>
          <w:tcPr>
            <w:tcW w:w="3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21"/>
        </w:trPr>
        <w:tc>
          <w:tcPr>
            <w:tcW w:w="40" w:type="dxa"/>
            <w:vAlign w:val="bottom"/>
            <w:shd w:val="clear" w:color="auto" w:fill="D2EEF5"/>
          </w:tcPr>
          <w:p>
            <w:pPr>
              <w:spacing w:after="0"/>
              <w:rPr>
                <w:sz w:val="24"/>
                <w:szCs w:val="24"/>
                <w:color w:val="auto"/>
              </w:rPr>
            </w:pPr>
          </w:p>
        </w:tc>
        <w:tc>
          <w:tcPr>
            <w:tcW w:w="4060" w:type="dxa"/>
            <w:vAlign w:val="bottom"/>
            <w:shd w:val="clear" w:color="auto" w:fill="D2EEF5"/>
          </w:tcPr>
          <w:p>
            <w:pPr>
              <w:ind w:left="120"/>
              <w:spacing w:after="0"/>
              <w:rPr>
                <w:sz w:val="20"/>
                <w:szCs w:val="20"/>
                <w:color w:val="auto"/>
              </w:rPr>
            </w:pPr>
            <w:r>
              <w:rPr>
                <w:rFonts w:ascii="Times New Roman" w:cs="Times New Roman" w:eastAsia="Times New Roman" w:hAnsi="Times New Roman"/>
                <w:sz w:val="20"/>
                <w:szCs w:val="20"/>
                <w:color w:val="auto"/>
              </w:rPr>
              <w:t>Amortization of lease assets</w:t>
            </w:r>
          </w:p>
        </w:tc>
        <w:tc>
          <w:tcPr>
            <w:tcW w:w="3420" w:type="dxa"/>
            <w:vAlign w:val="bottom"/>
            <w:shd w:val="clear" w:color="auto" w:fill="D2EEF5"/>
          </w:tcPr>
          <w:p>
            <w:pPr>
              <w:ind w:left="60"/>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60" w:type="dxa"/>
            <w:vAlign w:val="bottom"/>
            <w:shd w:val="clear" w:color="auto" w:fill="D2EEF5"/>
          </w:tcPr>
          <w:p>
            <w:pPr>
              <w:spacing w:after="0"/>
              <w:rPr>
                <w:sz w:val="24"/>
                <w:szCs w:val="24"/>
                <w:color w:val="auto"/>
              </w:rPr>
            </w:pPr>
          </w:p>
        </w:tc>
        <w:tc>
          <w:tcPr>
            <w:tcW w:w="180" w:type="dxa"/>
            <w:vAlign w:val="bottom"/>
            <w:shd w:val="clear" w:color="auto" w:fill="D2EEF5"/>
          </w:tcPr>
          <w:p>
            <w:pPr>
              <w:spacing w:after="0"/>
              <w:rPr>
                <w:sz w:val="24"/>
                <w:szCs w:val="24"/>
                <w:color w:val="auto"/>
              </w:rPr>
            </w:pPr>
          </w:p>
        </w:tc>
        <w:tc>
          <w:tcPr>
            <w:tcW w:w="11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698</w:t>
            </w:r>
          </w:p>
        </w:tc>
        <w:tc>
          <w:tcPr>
            <w:tcW w:w="60" w:type="dxa"/>
            <w:vAlign w:val="bottom"/>
            <w:shd w:val="clear" w:color="auto" w:fill="D2EEF5"/>
          </w:tcPr>
          <w:p>
            <w:pPr>
              <w:spacing w:after="0"/>
              <w:rPr>
                <w:sz w:val="24"/>
                <w:szCs w:val="24"/>
                <w:color w:val="auto"/>
              </w:rPr>
            </w:pPr>
          </w:p>
        </w:tc>
        <w:tc>
          <w:tcPr>
            <w:tcW w:w="300" w:type="dxa"/>
            <w:vAlign w:val="bottom"/>
            <w:shd w:val="clear" w:color="auto" w:fill="D2EEF5"/>
          </w:tcPr>
          <w:p>
            <w:pPr>
              <w:spacing w:after="0"/>
              <w:rPr>
                <w:sz w:val="24"/>
                <w:szCs w:val="24"/>
                <w:color w:val="auto"/>
              </w:rPr>
            </w:pPr>
          </w:p>
        </w:tc>
        <w:tc>
          <w:tcPr>
            <w:tcW w:w="10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734</w:t>
            </w:r>
          </w:p>
        </w:tc>
      </w:tr>
      <w:tr>
        <w:trPr>
          <w:trHeight w:val="311"/>
        </w:trPr>
        <w:tc>
          <w:tcPr>
            <w:tcW w:w="40" w:type="dxa"/>
            <w:vAlign w:val="bottom"/>
          </w:tcPr>
          <w:p>
            <w:pPr>
              <w:spacing w:after="0"/>
              <w:rPr>
                <w:sz w:val="24"/>
                <w:szCs w:val="24"/>
                <w:color w:val="auto"/>
              </w:rPr>
            </w:pPr>
          </w:p>
        </w:tc>
        <w:tc>
          <w:tcPr>
            <w:tcW w:w="4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Amortization of lease assets</w:t>
            </w:r>
          </w:p>
        </w:tc>
        <w:tc>
          <w:tcPr>
            <w:tcW w:w="3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Cost of goods sold</w:t>
            </w:r>
          </w:p>
        </w:tc>
        <w:tc>
          <w:tcPr>
            <w:tcW w:w="18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137</w:t>
            </w:r>
          </w:p>
        </w:tc>
      </w:tr>
      <w:tr>
        <w:trPr>
          <w:trHeight w:val="319"/>
        </w:trPr>
        <w:tc>
          <w:tcPr>
            <w:tcW w:w="40" w:type="dxa"/>
            <w:vAlign w:val="bottom"/>
            <w:shd w:val="clear" w:color="auto" w:fill="D2EEF5"/>
          </w:tcPr>
          <w:p>
            <w:pPr>
              <w:spacing w:after="0"/>
              <w:rPr>
                <w:sz w:val="24"/>
                <w:szCs w:val="24"/>
                <w:color w:val="auto"/>
              </w:rPr>
            </w:pPr>
          </w:p>
        </w:tc>
        <w:tc>
          <w:tcPr>
            <w:tcW w:w="4060" w:type="dxa"/>
            <w:vAlign w:val="bottom"/>
            <w:shd w:val="clear" w:color="auto" w:fill="D2EEF5"/>
          </w:tcPr>
          <w:p>
            <w:pPr>
              <w:ind w:left="120"/>
              <w:spacing w:after="0"/>
              <w:rPr>
                <w:sz w:val="20"/>
                <w:szCs w:val="20"/>
                <w:color w:val="auto"/>
              </w:rPr>
            </w:pPr>
            <w:r>
              <w:rPr>
                <w:rFonts w:ascii="Times New Roman" w:cs="Times New Roman" w:eastAsia="Times New Roman" w:hAnsi="Times New Roman"/>
                <w:sz w:val="20"/>
                <w:szCs w:val="20"/>
                <w:color w:val="auto"/>
              </w:rPr>
              <w:t>Interest on lease liabilities</w:t>
            </w:r>
          </w:p>
        </w:tc>
        <w:tc>
          <w:tcPr>
            <w:tcW w:w="3420" w:type="dxa"/>
            <w:vAlign w:val="bottom"/>
            <w:shd w:val="clear" w:color="auto" w:fill="D2EEF5"/>
          </w:tcPr>
          <w:p>
            <w:pPr>
              <w:ind w:left="60"/>
              <w:spacing w:after="0"/>
              <w:rPr>
                <w:sz w:val="20"/>
                <w:szCs w:val="20"/>
                <w:color w:val="auto"/>
              </w:rPr>
            </w:pPr>
            <w:r>
              <w:rPr>
                <w:rFonts w:ascii="Times New Roman" w:cs="Times New Roman" w:eastAsia="Times New Roman" w:hAnsi="Times New Roman"/>
                <w:sz w:val="20"/>
                <w:szCs w:val="20"/>
                <w:color w:val="auto"/>
              </w:rPr>
              <w:t>Interest expense</w:t>
            </w:r>
          </w:p>
        </w:tc>
        <w:tc>
          <w:tcPr>
            <w:tcW w:w="60" w:type="dxa"/>
            <w:vAlign w:val="bottom"/>
            <w:shd w:val="clear" w:color="auto" w:fill="D2EEF5"/>
          </w:tcPr>
          <w:p>
            <w:pPr>
              <w:spacing w:after="0"/>
              <w:rPr>
                <w:sz w:val="24"/>
                <w:szCs w:val="24"/>
                <w:color w:val="auto"/>
              </w:rPr>
            </w:pPr>
          </w:p>
        </w:tc>
        <w:tc>
          <w:tcPr>
            <w:tcW w:w="180" w:type="dxa"/>
            <w:vAlign w:val="bottom"/>
            <w:shd w:val="clear" w:color="auto" w:fill="D2EEF5"/>
          </w:tcPr>
          <w:p>
            <w:pPr>
              <w:spacing w:after="0"/>
              <w:rPr>
                <w:sz w:val="24"/>
                <w:szCs w:val="24"/>
                <w:color w:val="auto"/>
              </w:rPr>
            </w:pPr>
          </w:p>
        </w:tc>
        <w:tc>
          <w:tcPr>
            <w:tcW w:w="11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421</w:t>
            </w:r>
          </w:p>
        </w:tc>
        <w:tc>
          <w:tcPr>
            <w:tcW w:w="60" w:type="dxa"/>
            <w:vAlign w:val="bottom"/>
            <w:shd w:val="clear" w:color="auto" w:fill="D2EEF5"/>
          </w:tcPr>
          <w:p>
            <w:pPr>
              <w:spacing w:after="0"/>
              <w:rPr>
                <w:sz w:val="24"/>
                <w:szCs w:val="24"/>
                <w:color w:val="auto"/>
              </w:rPr>
            </w:pPr>
          </w:p>
        </w:tc>
        <w:tc>
          <w:tcPr>
            <w:tcW w:w="300" w:type="dxa"/>
            <w:vAlign w:val="bottom"/>
            <w:shd w:val="clear" w:color="auto" w:fill="D2EEF5"/>
          </w:tcPr>
          <w:p>
            <w:pPr>
              <w:spacing w:after="0"/>
              <w:rPr>
                <w:sz w:val="24"/>
                <w:szCs w:val="24"/>
                <w:color w:val="auto"/>
              </w:rPr>
            </w:pPr>
          </w:p>
        </w:tc>
        <w:tc>
          <w:tcPr>
            <w:tcW w:w="10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459</w:t>
            </w:r>
          </w:p>
        </w:tc>
      </w:tr>
      <w:tr>
        <w:trPr>
          <w:trHeight w:val="294"/>
        </w:trPr>
        <w:tc>
          <w:tcPr>
            <w:tcW w:w="40" w:type="dxa"/>
            <w:vAlign w:val="bottom"/>
          </w:tcPr>
          <w:p>
            <w:pPr>
              <w:spacing w:after="0"/>
              <w:rPr>
                <w:sz w:val="24"/>
                <w:szCs w:val="24"/>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20"/>
                <w:szCs w:val="20"/>
                <w:color w:val="auto"/>
              </w:rPr>
              <w:t>Sublease and logistics income</w:t>
            </w:r>
          </w:p>
        </w:tc>
        <w:tc>
          <w:tcPr>
            <w:tcW w:w="3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(4,797)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(3,851)</w:t>
            </w:r>
          </w:p>
        </w:tc>
      </w:tr>
    </w:tbl>
    <w:p>
      <w:pPr>
        <w:ind w:left="920" w:hanging="210"/>
        <w:spacing w:after="0" w:line="191" w:lineRule="auto"/>
        <w:tabs>
          <w:tab w:leader="none" w:pos="920" w:val="left"/>
        </w:tabs>
        <w:numPr>
          <w:ilvl w:val="0"/>
          <w:numId w:val="3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Operating lease costs are primarily recorded in SG&amp;A.</w:t>
      </w:r>
    </w:p>
    <w:p>
      <w:pPr>
        <w:sectPr>
          <w:pgSz w:w="12240" w:h="15840" w:orient="portrait"/>
          <w:cols w:equalWidth="0" w:num="1">
            <w:col w:w="10260"/>
          </w:cols>
          <w:pgMar w:left="1000" w:top="4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10260"/>
          </w:cols>
          <w:pgMar w:left="1000" w:top="420" w:right="980" w:bottom="0" w:gutter="0" w:footer="0" w:header="0"/>
          <w:type w:val="continuous"/>
        </w:sectPr>
      </w:pPr>
    </w:p>
    <w:bookmarkStart w:id="80" w:name="page81"/>
    <w:bookmarkEnd w:id="80"/>
    <w:p>
      <w:pPr>
        <w:ind w:left="60"/>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4"/>
          <w:szCs w:val="24"/>
          <w:b w:val="1"/>
          <w:bCs w:val="1"/>
          <w:color w:val="auto"/>
        </w:rPr>
        <w:t>Hydrofarm Holdings Group, Inc.</w:t>
      </w:r>
    </w:p>
    <w:p>
      <w:pPr>
        <w:spacing w:after="0" w:line="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pacing w:after="0" w:line="343" w:lineRule="exact"/>
        <w:rPr>
          <w:sz w:val="20"/>
          <w:szCs w:val="20"/>
          <w:color w:val="auto"/>
        </w:rPr>
      </w:pPr>
    </w:p>
    <w:p>
      <w:pPr>
        <w:jc w:val="both"/>
        <w:ind w:left="60" w:firstLine="720"/>
        <w:spacing w:after="0" w:line="263" w:lineRule="auto"/>
        <w:rPr>
          <w:sz w:val="20"/>
          <w:szCs w:val="20"/>
          <w:color w:val="auto"/>
        </w:rPr>
      </w:pPr>
      <w:r>
        <w:rPr>
          <w:rFonts w:ascii="Times New Roman" w:cs="Times New Roman" w:eastAsia="Times New Roman" w:hAnsi="Times New Roman"/>
          <w:sz w:val="20"/>
          <w:szCs w:val="20"/>
          <w:color w:val="auto"/>
        </w:rPr>
        <w:t>In addition to the operating lease costs above, short-term and month-to-month lease expense was zero and $61 for the years ended December 31, 2025, and 2024, respectively, and other costs associated with operating leases were $3,461 and $3,207, respectively, for non-lease components such as common area maintenance and other miscellaneous items. These costs were included primarily within SG&amp;A in the consolidated statements of operations.</w:t>
      </w:r>
    </w:p>
    <w:p>
      <w:pPr>
        <w:spacing w:after="0" w:line="152" w:lineRule="exact"/>
        <w:rPr>
          <w:sz w:val="20"/>
          <w:szCs w:val="20"/>
          <w:color w:val="auto"/>
        </w:rPr>
      </w:pPr>
    </w:p>
    <w:p>
      <w:pPr>
        <w:jc w:val="both"/>
        <w:ind w:left="60" w:firstLine="720"/>
        <w:spacing w:after="0" w:line="288" w:lineRule="auto"/>
        <w:rPr>
          <w:sz w:val="20"/>
          <w:szCs w:val="20"/>
          <w:color w:val="auto"/>
        </w:rPr>
      </w:pPr>
      <w:r>
        <w:rPr>
          <w:rFonts w:ascii="Times New Roman" w:cs="Times New Roman" w:eastAsia="Times New Roman" w:hAnsi="Times New Roman"/>
          <w:sz w:val="20"/>
          <w:szCs w:val="20"/>
          <w:color w:val="auto"/>
        </w:rPr>
        <w:t>The aggregate future minimum lease payments under long-term non-cancelable operating and finance leases with remaining terms greater than one year as of December 31, 2025, are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Year ending December 31,</w:t>
            </w:r>
          </w:p>
        </w:tc>
        <w:tc>
          <w:tcPr>
            <w:tcW w:w="60" w:type="dxa"/>
            <w:vAlign w:val="bottom"/>
            <w:tcBorders>
              <w:bottom w:val="single" w:sz="8" w:color="D2EEF5"/>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Operating</w:t>
            </w:r>
          </w:p>
        </w:tc>
        <w:tc>
          <w:tcPr>
            <w:tcW w:w="40" w:type="dxa"/>
            <w:vAlign w:val="bottom"/>
            <w:tcBorders>
              <w:bottom w:val="single" w:sz="8" w:color="D2EEF5"/>
            </w:tcBorders>
          </w:tcPr>
          <w:p>
            <w:pPr>
              <w:spacing w:after="0"/>
              <w:rPr>
                <w:sz w:val="24"/>
                <w:szCs w:val="24"/>
                <w:color w:val="auto"/>
              </w:rPr>
            </w:pPr>
          </w:p>
        </w:tc>
        <w:tc>
          <w:tcPr>
            <w:tcW w:w="20" w:type="dxa"/>
            <w:vAlign w:val="bottom"/>
            <w:tcBorders>
              <w:bottom w:val="single" w:sz="8" w:color="D2EEF5"/>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Finance</w:t>
            </w:r>
          </w:p>
        </w:tc>
      </w:tr>
      <w:tr>
        <w:trPr>
          <w:trHeight w:val="265"/>
        </w:trPr>
        <w:tc>
          <w:tcPr>
            <w:tcW w:w="7520" w:type="dxa"/>
            <w:vAlign w:val="bottom"/>
            <w:shd w:val="clear" w:color="auto" w:fill="D2EEF5"/>
          </w:tcPr>
          <w:p>
            <w:pPr>
              <w:jc w:val="right"/>
              <w:ind w:right="6960"/>
              <w:spacing w:after="0"/>
              <w:rPr>
                <w:sz w:val="20"/>
                <w:szCs w:val="20"/>
                <w:color w:val="auto"/>
              </w:rPr>
            </w:pPr>
            <w:r>
              <w:rPr>
                <w:rFonts w:ascii="Times New Roman" w:cs="Times New Roman" w:eastAsia="Times New Roman" w:hAnsi="Times New Roman"/>
                <w:sz w:val="20"/>
                <w:szCs w:val="20"/>
                <w:color w:val="auto"/>
              </w:rPr>
              <w:t>2026</w:t>
            </w:r>
          </w:p>
        </w:tc>
        <w:tc>
          <w:tcPr>
            <w:tcW w:w="60" w:type="dxa"/>
            <w:vAlign w:val="bottom"/>
            <w:shd w:val="clear" w:color="auto" w:fill="D2EEF5"/>
          </w:tcPr>
          <w:p>
            <w:pPr>
              <w:spacing w:after="0"/>
              <w:rPr>
                <w:sz w:val="23"/>
                <w:szCs w:val="23"/>
                <w:color w:val="auto"/>
              </w:rPr>
            </w:pPr>
          </w:p>
        </w:tc>
        <w:tc>
          <w:tcPr>
            <w:tcW w:w="2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9,044</w:t>
            </w:r>
          </w:p>
        </w:tc>
        <w:tc>
          <w:tcPr>
            <w:tcW w:w="40" w:type="dxa"/>
            <w:vAlign w:val="bottom"/>
            <w:shd w:val="clear" w:color="auto" w:fill="D2EEF5"/>
          </w:tcPr>
          <w:p>
            <w:pPr>
              <w:spacing w:after="0"/>
              <w:rPr>
                <w:sz w:val="23"/>
                <w:szCs w:val="23"/>
                <w:color w:val="auto"/>
              </w:rPr>
            </w:pPr>
          </w:p>
        </w:tc>
        <w:tc>
          <w:tcPr>
            <w:tcW w:w="20" w:type="dxa"/>
            <w:vAlign w:val="bottom"/>
            <w:shd w:val="clear" w:color="auto" w:fill="D2EEF5"/>
          </w:tcPr>
          <w:p>
            <w:pPr>
              <w:spacing w:after="0"/>
              <w:rPr>
                <w:sz w:val="23"/>
                <w:szCs w:val="23"/>
                <w:color w:val="auto"/>
              </w:rPr>
            </w:pPr>
          </w:p>
        </w:tc>
        <w:tc>
          <w:tcPr>
            <w:tcW w:w="2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850</w:t>
            </w:r>
          </w:p>
        </w:tc>
      </w:tr>
      <w:tr>
        <w:trPr>
          <w:trHeight w:val="281"/>
        </w:trPr>
        <w:tc>
          <w:tcPr>
            <w:tcW w:w="7520" w:type="dxa"/>
            <w:vAlign w:val="bottom"/>
          </w:tcPr>
          <w:p>
            <w:pPr>
              <w:jc w:val="right"/>
              <w:ind w:right="6960"/>
              <w:spacing w:after="0"/>
              <w:rPr>
                <w:sz w:val="20"/>
                <w:szCs w:val="20"/>
                <w:color w:val="auto"/>
              </w:rPr>
            </w:pPr>
            <w:r>
              <w:rPr>
                <w:rFonts w:ascii="Times New Roman" w:cs="Times New Roman" w:eastAsia="Times New Roman" w:hAnsi="Times New Roman"/>
                <w:sz w:val="20"/>
                <w:szCs w:val="20"/>
                <w:color w:val="auto"/>
              </w:rPr>
              <w:t>2027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9,266</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852</w:t>
            </w:r>
          </w:p>
        </w:tc>
      </w:tr>
      <w:tr>
        <w:trPr>
          <w:trHeight w:val="289"/>
        </w:trPr>
        <w:tc>
          <w:tcPr>
            <w:tcW w:w="7520" w:type="dxa"/>
            <w:vAlign w:val="bottom"/>
            <w:shd w:val="clear" w:color="auto" w:fill="D2EEF5"/>
          </w:tcPr>
          <w:p>
            <w:pPr>
              <w:jc w:val="right"/>
              <w:ind w:right="6960"/>
              <w:spacing w:after="0"/>
              <w:rPr>
                <w:sz w:val="20"/>
                <w:szCs w:val="20"/>
                <w:color w:val="auto"/>
              </w:rPr>
            </w:pPr>
            <w:r>
              <w:rPr>
                <w:rFonts w:ascii="Times New Roman" w:cs="Times New Roman" w:eastAsia="Times New Roman" w:hAnsi="Times New Roman"/>
                <w:sz w:val="20"/>
                <w:szCs w:val="20"/>
                <w:color w:val="auto"/>
              </w:rPr>
              <w:t>2028</w:t>
            </w:r>
          </w:p>
        </w:tc>
        <w:tc>
          <w:tcPr>
            <w:tcW w:w="60" w:type="dxa"/>
            <w:vAlign w:val="bottom"/>
            <w:shd w:val="clear" w:color="auto" w:fill="D2EEF5"/>
          </w:tcPr>
          <w:p>
            <w:pPr>
              <w:spacing w:after="0"/>
              <w:rPr>
                <w:sz w:val="24"/>
                <w:szCs w:val="24"/>
                <w:color w:val="auto"/>
              </w:rPr>
            </w:pPr>
          </w:p>
        </w:tc>
        <w:tc>
          <w:tcPr>
            <w:tcW w:w="200" w:type="dxa"/>
            <w:vAlign w:val="bottom"/>
            <w:shd w:val="clear" w:color="auto" w:fill="D2EEF5"/>
          </w:tcPr>
          <w:p>
            <w:pPr>
              <w:spacing w:after="0"/>
              <w:rPr>
                <w:sz w:val="24"/>
                <w:szCs w:val="24"/>
                <w:color w:val="auto"/>
              </w:rPr>
            </w:pPr>
          </w:p>
        </w:tc>
        <w:tc>
          <w:tcPr>
            <w:tcW w:w="11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8,728</w:t>
            </w:r>
          </w:p>
        </w:tc>
        <w:tc>
          <w:tcPr>
            <w:tcW w:w="4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10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806</w:t>
            </w:r>
          </w:p>
        </w:tc>
      </w:tr>
      <w:tr>
        <w:trPr>
          <w:trHeight w:val="281"/>
        </w:trPr>
        <w:tc>
          <w:tcPr>
            <w:tcW w:w="7520" w:type="dxa"/>
            <w:vAlign w:val="bottom"/>
          </w:tcPr>
          <w:p>
            <w:pPr>
              <w:jc w:val="right"/>
              <w:ind w:right="6960"/>
              <w:spacing w:after="0"/>
              <w:rPr>
                <w:sz w:val="20"/>
                <w:szCs w:val="20"/>
                <w:color w:val="auto"/>
              </w:rPr>
            </w:pPr>
            <w:r>
              <w:rPr>
                <w:rFonts w:ascii="Times New Roman" w:cs="Times New Roman" w:eastAsia="Times New Roman" w:hAnsi="Times New Roman"/>
                <w:sz w:val="20"/>
                <w:szCs w:val="20"/>
                <w:color w:val="auto"/>
              </w:rPr>
              <w:t>2029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5,862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822</w:t>
            </w:r>
          </w:p>
        </w:tc>
      </w:tr>
      <w:tr>
        <w:trPr>
          <w:trHeight w:val="289"/>
        </w:trPr>
        <w:tc>
          <w:tcPr>
            <w:tcW w:w="7520" w:type="dxa"/>
            <w:vAlign w:val="bottom"/>
            <w:shd w:val="clear" w:color="auto" w:fill="D2EEF5"/>
          </w:tcPr>
          <w:p>
            <w:pPr>
              <w:jc w:val="right"/>
              <w:ind w:right="6960"/>
              <w:spacing w:after="0"/>
              <w:rPr>
                <w:sz w:val="20"/>
                <w:szCs w:val="20"/>
                <w:color w:val="auto"/>
              </w:rPr>
            </w:pPr>
            <w:r>
              <w:rPr>
                <w:rFonts w:ascii="Times New Roman" w:cs="Times New Roman" w:eastAsia="Times New Roman" w:hAnsi="Times New Roman"/>
                <w:sz w:val="20"/>
                <w:szCs w:val="20"/>
                <w:color w:val="auto"/>
              </w:rPr>
              <w:t>2030</w:t>
            </w:r>
          </w:p>
        </w:tc>
        <w:tc>
          <w:tcPr>
            <w:tcW w:w="60" w:type="dxa"/>
            <w:vAlign w:val="bottom"/>
            <w:shd w:val="clear" w:color="auto" w:fill="D2EEF5"/>
          </w:tcPr>
          <w:p>
            <w:pPr>
              <w:spacing w:after="0"/>
              <w:rPr>
                <w:sz w:val="24"/>
                <w:szCs w:val="24"/>
                <w:color w:val="auto"/>
              </w:rPr>
            </w:pPr>
          </w:p>
        </w:tc>
        <w:tc>
          <w:tcPr>
            <w:tcW w:w="200" w:type="dxa"/>
            <w:vAlign w:val="bottom"/>
            <w:shd w:val="clear" w:color="auto" w:fill="D2EEF5"/>
          </w:tcPr>
          <w:p>
            <w:pPr>
              <w:spacing w:after="0"/>
              <w:rPr>
                <w:sz w:val="24"/>
                <w:szCs w:val="24"/>
                <w:color w:val="auto"/>
              </w:rPr>
            </w:pPr>
          </w:p>
        </w:tc>
        <w:tc>
          <w:tcPr>
            <w:tcW w:w="11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4,742</w:t>
            </w:r>
          </w:p>
        </w:tc>
        <w:tc>
          <w:tcPr>
            <w:tcW w:w="4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10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838</w:t>
            </w:r>
          </w:p>
        </w:tc>
      </w:tr>
      <w:tr>
        <w:trPr>
          <w:trHeight w:val="285"/>
        </w:trPr>
        <w:tc>
          <w:tcPr>
            <w:tcW w:w="75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Thereafter</w:t>
            </w:r>
          </w:p>
        </w:tc>
        <w:tc>
          <w:tcPr>
            <w:tcW w:w="60" w:type="dxa"/>
            <w:vAlign w:val="bottom"/>
            <w:tcBorders>
              <w:bottom w:val="single" w:sz="8" w:color="D2EEF5"/>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7,846</w:t>
            </w:r>
          </w:p>
        </w:tc>
        <w:tc>
          <w:tcPr>
            <w:tcW w:w="40" w:type="dxa"/>
            <w:vAlign w:val="bottom"/>
            <w:tcBorders>
              <w:bottom w:val="single" w:sz="8" w:color="D2EEF5"/>
            </w:tcBorders>
          </w:tcPr>
          <w:p>
            <w:pPr>
              <w:spacing w:after="0"/>
              <w:rPr>
                <w:sz w:val="24"/>
                <w:szCs w:val="24"/>
                <w:color w:val="auto"/>
              </w:rPr>
            </w:pPr>
          </w:p>
        </w:tc>
        <w:tc>
          <w:tcPr>
            <w:tcW w:w="20" w:type="dxa"/>
            <w:vAlign w:val="bottom"/>
            <w:tcBorders>
              <w:bottom w:val="single" w:sz="8" w:color="D2EEF5"/>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6,379</w:t>
            </w:r>
          </w:p>
        </w:tc>
      </w:tr>
      <w:tr>
        <w:trPr>
          <w:trHeight w:val="265"/>
        </w:trPr>
        <w:tc>
          <w:tcPr>
            <w:tcW w:w="7520" w:type="dxa"/>
            <w:vAlign w:val="bottom"/>
            <w:shd w:val="clear" w:color="auto" w:fill="D2EEF5"/>
          </w:tcPr>
          <w:p>
            <w:pPr>
              <w:ind w:left="60"/>
              <w:spacing w:after="0"/>
              <w:rPr>
                <w:sz w:val="20"/>
                <w:szCs w:val="20"/>
                <w:color w:val="auto"/>
              </w:rPr>
            </w:pPr>
            <w:r>
              <w:rPr>
                <w:rFonts w:ascii="Times New Roman" w:cs="Times New Roman" w:eastAsia="Times New Roman" w:hAnsi="Times New Roman"/>
                <w:sz w:val="20"/>
                <w:szCs w:val="20"/>
                <w:b w:val="1"/>
                <w:bCs w:val="1"/>
                <w:color w:val="auto"/>
              </w:rPr>
              <w:t>Total lease payments</w:t>
            </w:r>
          </w:p>
        </w:tc>
        <w:tc>
          <w:tcPr>
            <w:tcW w:w="60" w:type="dxa"/>
            <w:vAlign w:val="bottom"/>
            <w:shd w:val="clear" w:color="auto" w:fill="D2EEF5"/>
          </w:tcPr>
          <w:p>
            <w:pPr>
              <w:spacing w:after="0"/>
              <w:rPr>
                <w:sz w:val="23"/>
                <w:szCs w:val="23"/>
                <w:color w:val="auto"/>
              </w:rPr>
            </w:pPr>
          </w:p>
        </w:tc>
        <w:tc>
          <w:tcPr>
            <w:tcW w:w="200" w:type="dxa"/>
            <w:vAlign w:val="bottom"/>
            <w:shd w:val="clear" w:color="auto" w:fill="D2EEF5"/>
          </w:tcPr>
          <w:p>
            <w:pPr>
              <w:spacing w:after="0"/>
              <w:rPr>
                <w:sz w:val="23"/>
                <w:szCs w:val="23"/>
                <w:color w:val="auto"/>
              </w:rPr>
            </w:pPr>
          </w:p>
        </w:tc>
        <w:tc>
          <w:tcPr>
            <w:tcW w:w="11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45,488</w:t>
            </w:r>
          </w:p>
        </w:tc>
        <w:tc>
          <w:tcPr>
            <w:tcW w:w="40" w:type="dxa"/>
            <w:vAlign w:val="bottom"/>
            <w:shd w:val="clear" w:color="auto" w:fill="D2EEF5"/>
          </w:tcPr>
          <w:p>
            <w:pPr>
              <w:spacing w:after="0"/>
              <w:rPr>
                <w:sz w:val="23"/>
                <w:szCs w:val="23"/>
                <w:color w:val="auto"/>
              </w:rPr>
            </w:pPr>
          </w:p>
        </w:tc>
        <w:tc>
          <w:tcPr>
            <w:tcW w:w="20" w:type="dxa"/>
            <w:vAlign w:val="bottom"/>
            <w:shd w:val="clear" w:color="auto" w:fill="D2EEF5"/>
          </w:tcPr>
          <w:p>
            <w:pPr>
              <w:spacing w:after="0"/>
              <w:rPr>
                <w:sz w:val="23"/>
                <w:szCs w:val="23"/>
                <w:color w:val="auto"/>
              </w:rPr>
            </w:pPr>
          </w:p>
        </w:tc>
        <w:tc>
          <w:tcPr>
            <w:tcW w:w="220" w:type="dxa"/>
            <w:vAlign w:val="bottom"/>
            <w:shd w:val="clear" w:color="auto" w:fill="D2EEF5"/>
          </w:tcPr>
          <w:p>
            <w:pPr>
              <w:spacing w:after="0"/>
              <w:rPr>
                <w:sz w:val="23"/>
                <w:szCs w:val="23"/>
                <w:color w:val="auto"/>
              </w:rPr>
            </w:pPr>
          </w:p>
        </w:tc>
        <w:tc>
          <w:tcPr>
            <w:tcW w:w="10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10,547</w:t>
            </w:r>
          </w:p>
        </w:tc>
      </w:tr>
      <w:tr>
        <w:trPr>
          <w:trHeight w:val="285"/>
        </w:trPr>
        <w:tc>
          <w:tcPr>
            <w:tcW w:w="75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Less portion representing interest</w:t>
            </w:r>
          </w:p>
        </w:tc>
        <w:tc>
          <w:tcPr>
            <w:tcW w:w="60" w:type="dxa"/>
            <w:vAlign w:val="bottom"/>
            <w:tcBorders>
              <w:bottom w:val="single" w:sz="8" w:color="D2EEF5"/>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5,145</w:t>
            </w:r>
          </w:p>
        </w:tc>
        <w:tc>
          <w:tcPr>
            <w:tcW w:w="40" w:type="dxa"/>
            <w:vAlign w:val="bottom"/>
            <w:tcBorders>
              <w:bottom w:val="single" w:sz="8" w:color="D2EEF5"/>
            </w:tcBorders>
          </w:tcPr>
          <w:p>
            <w:pPr>
              <w:spacing w:after="0"/>
              <w:rPr>
                <w:sz w:val="24"/>
                <w:szCs w:val="24"/>
                <w:color w:val="auto"/>
              </w:rPr>
            </w:pPr>
          </w:p>
        </w:tc>
        <w:tc>
          <w:tcPr>
            <w:tcW w:w="20" w:type="dxa"/>
            <w:vAlign w:val="bottom"/>
            <w:tcBorders>
              <w:bottom w:val="single" w:sz="8" w:color="D2EEF5"/>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2,711</w:t>
            </w:r>
          </w:p>
        </w:tc>
      </w:tr>
      <w:tr>
        <w:trPr>
          <w:trHeight w:val="265"/>
        </w:trPr>
        <w:tc>
          <w:tcPr>
            <w:tcW w:w="7520" w:type="dxa"/>
            <w:vAlign w:val="bottom"/>
            <w:shd w:val="clear" w:color="auto" w:fill="D2EEF5"/>
          </w:tcPr>
          <w:p>
            <w:pPr>
              <w:ind w:left="60"/>
              <w:spacing w:after="0"/>
              <w:rPr>
                <w:sz w:val="20"/>
                <w:szCs w:val="20"/>
                <w:color w:val="auto"/>
              </w:rPr>
            </w:pPr>
            <w:r>
              <w:rPr>
                <w:rFonts w:ascii="Times New Roman" w:cs="Times New Roman" w:eastAsia="Times New Roman" w:hAnsi="Times New Roman"/>
                <w:sz w:val="20"/>
                <w:szCs w:val="20"/>
                <w:b w:val="1"/>
                <w:bCs w:val="1"/>
                <w:color w:val="auto"/>
              </w:rPr>
              <w:t>Total principal</w:t>
            </w:r>
          </w:p>
        </w:tc>
        <w:tc>
          <w:tcPr>
            <w:tcW w:w="60" w:type="dxa"/>
            <w:vAlign w:val="bottom"/>
            <w:shd w:val="clear" w:color="auto" w:fill="D2EEF5"/>
          </w:tcPr>
          <w:p>
            <w:pPr>
              <w:spacing w:after="0"/>
              <w:rPr>
                <w:sz w:val="23"/>
                <w:szCs w:val="23"/>
                <w:color w:val="auto"/>
              </w:rPr>
            </w:pPr>
          </w:p>
        </w:tc>
        <w:tc>
          <w:tcPr>
            <w:tcW w:w="200" w:type="dxa"/>
            <w:vAlign w:val="bottom"/>
            <w:shd w:val="clear" w:color="auto" w:fill="D2EEF5"/>
          </w:tcPr>
          <w:p>
            <w:pPr>
              <w:spacing w:after="0"/>
              <w:rPr>
                <w:sz w:val="23"/>
                <w:szCs w:val="23"/>
                <w:color w:val="auto"/>
              </w:rPr>
            </w:pPr>
          </w:p>
        </w:tc>
        <w:tc>
          <w:tcPr>
            <w:tcW w:w="11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40,343</w:t>
            </w:r>
          </w:p>
        </w:tc>
        <w:tc>
          <w:tcPr>
            <w:tcW w:w="40" w:type="dxa"/>
            <w:vAlign w:val="bottom"/>
            <w:shd w:val="clear" w:color="auto" w:fill="D2EEF5"/>
          </w:tcPr>
          <w:p>
            <w:pPr>
              <w:spacing w:after="0"/>
              <w:rPr>
                <w:sz w:val="23"/>
                <w:szCs w:val="23"/>
                <w:color w:val="auto"/>
              </w:rPr>
            </w:pPr>
          </w:p>
        </w:tc>
        <w:tc>
          <w:tcPr>
            <w:tcW w:w="20" w:type="dxa"/>
            <w:vAlign w:val="bottom"/>
            <w:shd w:val="clear" w:color="auto" w:fill="D2EEF5"/>
          </w:tcPr>
          <w:p>
            <w:pPr>
              <w:spacing w:after="0"/>
              <w:rPr>
                <w:sz w:val="23"/>
                <w:szCs w:val="23"/>
                <w:color w:val="auto"/>
              </w:rPr>
            </w:pPr>
          </w:p>
        </w:tc>
        <w:tc>
          <w:tcPr>
            <w:tcW w:w="220" w:type="dxa"/>
            <w:vAlign w:val="bottom"/>
            <w:shd w:val="clear" w:color="auto" w:fill="D2EEF5"/>
          </w:tcPr>
          <w:p>
            <w:pPr>
              <w:spacing w:after="0"/>
              <w:rPr>
                <w:sz w:val="23"/>
                <w:szCs w:val="23"/>
                <w:color w:val="auto"/>
              </w:rPr>
            </w:pPr>
          </w:p>
        </w:tc>
        <w:tc>
          <w:tcPr>
            <w:tcW w:w="10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7,836</w:t>
            </w:r>
          </w:p>
        </w:tc>
      </w:tr>
      <w:tr>
        <w:trPr>
          <w:trHeight w:val="285"/>
        </w:trPr>
        <w:tc>
          <w:tcPr>
            <w:tcW w:w="75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Less current portion</w:t>
            </w:r>
          </w:p>
        </w:tc>
        <w:tc>
          <w:tcPr>
            <w:tcW w:w="60" w:type="dxa"/>
            <w:vAlign w:val="bottom"/>
            <w:tcBorders>
              <w:bottom w:val="single" w:sz="8" w:color="D2EEF5"/>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7,543</w:t>
            </w:r>
          </w:p>
        </w:tc>
        <w:tc>
          <w:tcPr>
            <w:tcW w:w="40" w:type="dxa"/>
            <w:vAlign w:val="bottom"/>
            <w:tcBorders>
              <w:bottom w:val="single" w:sz="8" w:color="D2EEF5"/>
            </w:tcBorders>
          </w:tcPr>
          <w:p>
            <w:pPr>
              <w:spacing w:after="0"/>
              <w:rPr>
                <w:sz w:val="24"/>
                <w:szCs w:val="24"/>
                <w:color w:val="auto"/>
              </w:rPr>
            </w:pPr>
          </w:p>
        </w:tc>
        <w:tc>
          <w:tcPr>
            <w:tcW w:w="20" w:type="dxa"/>
            <w:vAlign w:val="bottom"/>
            <w:tcBorders>
              <w:bottom w:val="single" w:sz="8" w:color="D2EEF5"/>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455</w:t>
            </w:r>
          </w:p>
        </w:tc>
      </w:tr>
      <w:tr>
        <w:trPr>
          <w:trHeight w:val="267"/>
        </w:trPr>
        <w:tc>
          <w:tcPr>
            <w:tcW w:w="7520" w:type="dxa"/>
            <w:vAlign w:val="bottom"/>
            <w:shd w:val="clear" w:color="auto" w:fill="D2EEF5"/>
          </w:tcPr>
          <w:p>
            <w:pPr>
              <w:ind w:left="60"/>
              <w:spacing w:after="0"/>
              <w:rPr>
                <w:sz w:val="20"/>
                <w:szCs w:val="20"/>
                <w:color w:val="auto"/>
              </w:rPr>
            </w:pPr>
            <w:r>
              <w:rPr>
                <w:rFonts w:ascii="Times New Roman" w:cs="Times New Roman" w:eastAsia="Times New Roman" w:hAnsi="Times New Roman"/>
                <w:sz w:val="20"/>
                <w:szCs w:val="20"/>
                <w:b w:val="1"/>
                <w:bCs w:val="1"/>
                <w:color w:val="auto"/>
              </w:rPr>
              <w:t>Long-term portion</w:t>
            </w:r>
          </w:p>
        </w:tc>
        <w:tc>
          <w:tcPr>
            <w:tcW w:w="60" w:type="dxa"/>
            <w:vAlign w:val="bottom"/>
            <w:shd w:val="clear" w:color="auto" w:fill="D2EEF5"/>
          </w:tcPr>
          <w:p>
            <w:pPr>
              <w:spacing w:after="0"/>
              <w:rPr>
                <w:sz w:val="23"/>
                <w:szCs w:val="23"/>
                <w:color w:val="auto"/>
              </w:rPr>
            </w:pPr>
          </w:p>
        </w:tc>
        <w:tc>
          <w:tcPr>
            <w:tcW w:w="2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32,800</w:t>
            </w:r>
          </w:p>
        </w:tc>
        <w:tc>
          <w:tcPr>
            <w:tcW w:w="40" w:type="dxa"/>
            <w:vAlign w:val="bottom"/>
            <w:shd w:val="clear" w:color="auto" w:fill="D2EEF5"/>
          </w:tcPr>
          <w:p>
            <w:pPr>
              <w:spacing w:after="0"/>
              <w:rPr>
                <w:sz w:val="23"/>
                <w:szCs w:val="23"/>
                <w:color w:val="auto"/>
              </w:rPr>
            </w:pPr>
          </w:p>
        </w:tc>
        <w:tc>
          <w:tcPr>
            <w:tcW w:w="20" w:type="dxa"/>
            <w:vAlign w:val="bottom"/>
            <w:tcBorders>
              <w:bottom w:val="single" w:sz="8" w:color="auto"/>
            </w:tcBorders>
            <w:shd w:val="clear" w:color="auto" w:fill="D2EEF5"/>
          </w:tcPr>
          <w:p>
            <w:pPr>
              <w:spacing w:after="0"/>
              <w:rPr>
                <w:sz w:val="23"/>
                <w:szCs w:val="23"/>
                <w:color w:val="auto"/>
              </w:rPr>
            </w:pPr>
          </w:p>
        </w:tc>
        <w:tc>
          <w:tcPr>
            <w:tcW w:w="2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7,381</w:t>
            </w:r>
          </w:p>
        </w:tc>
      </w:tr>
      <w:tr>
        <w:trPr>
          <w:trHeight w:val="20"/>
        </w:trPr>
        <w:tc>
          <w:tcPr>
            <w:tcW w:w="7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ind w:left="60" w:firstLine="720"/>
        <w:spacing w:after="0" w:line="288" w:lineRule="auto"/>
        <w:rPr>
          <w:sz w:val="20"/>
          <w:szCs w:val="20"/>
          <w:color w:val="auto"/>
        </w:rPr>
      </w:pPr>
      <w:r>
        <w:rPr>
          <w:rFonts w:ascii="Times New Roman" w:cs="Times New Roman" w:eastAsia="Times New Roman" w:hAnsi="Times New Roman"/>
          <w:sz w:val="20"/>
          <w:szCs w:val="20"/>
          <w:color w:val="auto"/>
        </w:rPr>
        <w:t>The following table summarizes the weighted-average remaining lease term as well as the weighted average discount rate as of December 31, 2025, and 2024:</w:t>
      </w:r>
    </w:p>
    <w:p>
      <w:pPr>
        <w:spacing w:after="0" w:line="208" w:lineRule="exact"/>
        <w:rPr>
          <w:sz w:val="20"/>
          <w:szCs w:val="20"/>
          <w:color w:val="auto"/>
        </w:rPr>
      </w:pPr>
    </w:p>
    <w:tbl>
      <w:tblPr>
        <w:tblLayout w:type="fixed"/>
        <w:tblInd w:w="60" w:type="dxa"/>
        <w:tblCellMar>
          <w:top w:w="0" w:type="dxa"/>
          <w:left w:w="0" w:type="dxa"/>
          <w:bottom w:w="0" w:type="dxa"/>
          <w:right w:w="0" w:type="dxa"/>
        </w:tblCellMar>
      </w:tblPr>
      <w:tr>
        <w:trPr>
          <w:trHeight w:val="283"/>
        </w:trPr>
        <w:tc>
          <w:tcPr>
            <w:tcW w:w="4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tcBorders>
              <w:bottom w:val="single" w:sz="8" w:color="auto"/>
            </w:tcBorders>
            <w:gridSpan w:val="3"/>
          </w:tcPr>
          <w:p>
            <w:pPr>
              <w:jc w:val="right"/>
              <w:ind w:right="660"/>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96"/>
        </w:trPr>
        <w:tc>
          <w:tcPr>
            <w:tcW w:w="4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2025</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95"/>
        </w:trPr>
        <w:tc>
          <w:tcPr>
            <w:tcW w:w="40" w:type="dxa"/>
            <w:vAlign w:val="bottom"/>
            <w:tcBorders>
              <w:top w:val="single" w:sz="8" w:color="D2EEF5"/>
            </w:tcBorders>
            <w:shd w:val="clear" w:color="auto" w:fill="D2EEF5"/>
          </w:tcPr>
          <w:p>
            <w:pPr>
              <w:spacing w:after="0"/>
              <w:rPr>
                <w:sz w:val="24"/>
                <w:szCs w:val="24"/>
                <w:color w:val="auto"/>
              </w:rPr>
            </w:pPr>
          </w:p>
        </w:tc>
        <w:tc>
          <w:tcPr>
            <w:tcW w:w="7420" w:type="dxa"/>
            <w:vAlign w:val="bottom"/>
            <w:tcBorders>
              <w:top w:val="single" w:sz="8" w:color="D2EEF5"/>
            </w:tcBorders>
            <w:shd w:val="clear" w:color="auto" w:fill="D2EEF5"/>
          </w:tcPr>
          <w:p>
            <w:pPr>
              <w:spacing w:after="0"/>
              <w:rPr>
                <w:sz w:val="20"/>
                <w:szCs w:val="20"/>
                <w:color w:val="auto"/>
              </w:rPr>
            </w:pPr>
            <w:r>
              <w:rPr>
                <w:rFonts w:ascii="Times New Roman" w:cs="Times New Roman" w:eastAsia="Times New Roman" w:hAnsi="Times New Roman"/>
                <w:sz w:val="20"/>
                <w:szCs w:val="20"/>
                <w:b w:val="1"/>
                <w:bCs w:val="1"/>
                <w:color w:val="auto"/>
              </w:rPr>
              <w:t>Weighted-average remaining lease term in years:</w:t>
            </w:r>
          </w:p>
        </w:tc>
        <w:tc>
          <w:tcPr>
            <w:tcW w:w="120" w:type="dxa"/>
            <w:vAlign w:val="bottom"/>
            <w:tcBorders>
              <w:top w:val="single" w:sz="8" w:color="D2EEF5"/>
            </w:tcBorders>
            <w:shd w:val="clear" w:color="auto" w:fill="D2EEF5"/>
          </w:tcPr>
          <w:p>
            <w:pPr>
              <w:spacing w:after="0"/>
              <w:rPr>
                <w:sz w:val="24"/>
                <w:szCs w:val="24"/>
                <w:color w:val="auto"/>
              </w:rPr>
            </w:pPr>
          </w:p>
        </w:tc>
        <w:tc>
          <w:tcPr>
            <w:tcW w:w="1300" w:type="dxa"/>
            <w:vAlign w:val="bottom"/>
            <w:tcBorders>
              <w:top w:val="single" w:sz="8" w:color="auto"/>
            </w:tcBorders>
            <w:shd w:val="clear" w:color="auto" w:fill="D2EEF5"/>
          </w:tcPr>
          <w:p>
            <w:pPr>
              <w:spacing w:after="0"/>
              <w:rPr>
                <w:sz w:val="24"/>
                <w:szCs w:val="24"/>
                <w:color w:val="auto"/>
              </w:rPr>
            </w:pPr>
          </w:p>
        </w:tc>
        <w:tc>
          <w:tcPr>
            <w:tcW w:w="60" w:type="dxa"/>
            <w:vAlign w:val="bottom"/>
            <w:tcBorders>
              <w:top w:val="single" w:sz="8" w:color="D2EEF5"/>
            </w:tcBorders>
            <w:shd w:val="clear" w:color="auto" w:fill="D2EEF5"/>
          </w:tcPr>
          <w:p>
            <w:pPr>
              <w:spacing w:after="0"/>
              <w:rPr>
                <w:sz w:val="24"/>
                <w:szCs w:val="24"/>
                <w:color w:val="auto"/>
              </w:rPr>
            </w:pPr>
          </w:p>
        </w:tc>
        <w:tc>
          <w:tcPr>
            <w:tcW w:w="1320" w:type="dxa"/>
            <w:vAlign w:val="bottom"/>
            <w:tcBorders>
              <w:top w:val="single" w:sz="8" w:color="auto"/>
            </w:tcBorders>
            <w:shd w:val="clear" w:color="auto" w:fill="D2EEF5"/>
          </w:tcPr>
          <w:p>
            <w:pPr>
              <w:spacing w:after="0"/>
              <w:rPr>
                <w:sz w:val="24"/>
                <w:szCs w:val="24"/>
                <w:color w:val="auto"/>
              </w:rPr>
            </w:pPr>
          </w:p>
        </w:tc>
      </w:tr>
      <w:tr>
        <w:trPr>
          <w:trHeight w:val="311"/>
        </w:trPr>
        <w:tc>
          <w:tcPr>
            <w:tcW w:w="40" w:type="dxa"/>
            <w:vAlign w:val="bottom"/>
          </w:tcPr>
          <w:p>
            <w:pPr>
              <w:spacing w:after="0"/>
              <w:rPr>
                <w:sz w:val="24"/>
                <w:szCs w:val="24"/>
                <w:color w:val="auto"/>
              </w:rPr>
            </w:pPr>
          </w:p>
        </w:tc>
        <w:tc>
          <w:tcPr>
            <w:tcW w:w="75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Operating leases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6.0</w:t>
            </w:r>
          </w:p>
        </w:tc>
      </w:tr>
      <w:tr>
        <w:trPr>
          <w:trHeight w:val="319"/>
        </w:trPr>
        <w:tc>
          <w:tcPr>
            <w:tcW w:w="40" w:type="dxa"/>
            <w:vAlign w:val="bottom"/>
            <w:shd w:val="clear" w:color="auto" w:fill="D2EEF5"/>
          </w:tcPr>
          <w:p>
            <w:pPr>
              <w:spacing w:after="0"/>
              <w:rPr>
                <w:sz w:val="24"/>
                <w:szCs w:val="24"/>
                <w:color w:val="auto"/>
              </w:rPr>
            </w:pPr>
          </w:p>
        </w:tc>
        <w:tc>
          <w:tcPr>
            <w:tcW w:w="7420" w:type="dxa"/>
            <w:vAlign w:val="bottom"/>
            <w:shd w:val="clear" w:color="auto" w:fill="D2EEF5"/>
          </w:tcPr>
          <w:p>
            <w:pPr>
              <w:ind w:left="120"/>
              <w:spacing w:after="0"/>
              <w:rPr>
                <w:sz w:val="20"/>
                <w:szCs w:val="20"/>
                <w:color w:val="auto"/>
              </w:rPr>
            </w:pPr>
            <w:r>
              <w:rPr>
                <w:rFonts w:ascii="Times New Roman" w:cs="Times New Roman" w:eastAsia="Times New Roman" w:hAnsi="Times New Roman"/>
                <w:sz w:val="20"/>
                <w:szCs w:val="20"/>
                <w:color w:val="auto"/>
              </w:rPr>
              <w:t>Finance leases</w:t>
            </w:r>
          </w:p>
        </w:tc>
        <w:tc>
          <w:tcPr>
            <w:tcW w:w="120" w:type="dxa"/>
            <w:vAlign w:val="bottom"/>
            <w:shd w:val="clear" w:color="auto" w:fill="D2EEF5"/>
          </w:tcPr>
          <w:p>
            <w:pPr>
              <w:spacing w:after="0"/>
              <w:rPr>
                <w:sz w:val="24"/>
                <w:szCs w:val="24"/>
                <w:color w:val="auto"/>
              </w:rPr>
            </w:pPr>
          </w:p>
        </w:tc>
        <w:tc>
          <w:tcPr>
            <w:tcW w:w="13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11.9</w:t>
            </w:r>
          </w:p>
        </w:tc>
        <w:tc>
          <w:tcPr>
            <w:tcW w:w="60" w:type="dxa"/>
            <w:vAlign w:val="bottom"/>
            <w:shd w:val="clear" w:color="auto" w:fill="D2EEF5"/>
          </w:tcPr>
          <w:p>
            <w:pPr>
              <w:spacing w:after="0"/>
              <w:rPr>
                <w:sz w:val="24"/>
                <w:szCs w:val="24"/>
                <w:color w:val="auto"/>
              </w:rPr>
            </w:pPr>
          </w:p>
        </w:tc>
        <w:tc>
          <w:tcPr>
            <w:tcW w:w="13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12.9</w:t>
            </w:r>
          </w:p>
        </w:tc>
      </w:tr>
      <w:tr>
        <w:trPr>
          <w:trHeight w:val="316"/>
        </w:trPr>
        <w:tc>
          <w:tcPr>
            <w:tcW w:w="40" w:type="dxa"/>
            <w:vAlign w:val="bottom"/>
          </w:tcPr>
          <w:p>
            <w:pPr>
              <w:spacing w:after="0"/>
              <w:rPr>
                <w:sz w:val="24"/>
                <w:szCs w:val="24"/>
                <w:color w:val="auto"/>
              </w:rPr>
            </w:pPr>
          </w:p>
        </w:tc>
        <w:tc>
          <w:tcPr>
            <w:tcW w:w="7540" w:type="dxa"/>
            <w:vAlign w:val="bottom"/>
            <w:gridSpan w:val="2"/>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14"/>
        </w:trPr>
        <w:tc>
          <w:tcPr>
            <w:tcW w:w="40" w:type="dxa"/>
            <w:vAlign w:val="bottom"/>
            <w:shd w:val="clear" w:color="auto" w:fill="D2EEF5"/>
          </w:tcPr>
          <w:p>
            <w:pPr>
              <w:spacing w:after="0"/>
              <w:rPr>
                <w:sz w:val="24"/>
                <w:szCs w:val="24"/>
                <w:color w:val="auto"/>
              </w:rPr>
            </w:pPr>
          </w:p>
        </w:tc>
        <w:tc>
          <w:tcPr>
            <w:tcW w:w="7420" w:type="dxa"/>
            <w:vAlign w:val="bottom"/>
            <w:shd w:val="clear" w:color="auto" w:fill="D2EEF5"/>
          </w:tcPr>
          <w:p>
            <w:pPr>
              <w:spacing w:after="0"/>
              <w:rPr>
                <w:sz w:val="20"/>
                <w:szCs w:val="20"/>
                <w:color w:val="auto"/>
              </w:rPr>
            </w:pPr>
            <w:r>
              <w:rPr>
                <w:rFonts w:ascii="Times New Roman" w:cs="Times New Roman" w:eastAsia="Times New Roman" w:hAnsi="Times New Roman"/>
                <w:sz w:val="20"/>
                <w:szCs w:val="20"/>
                <w:b w:val="1"/>
                <w:bCs w:val="1"/>
                <w:color w:val="auto"/>
              </w:rPr>
              <w:t>Weighted-average discount rate:</w:t>
            </w:r>
          </w:p>
        </w:tc>
        <w:tc>
          <w:tcPr>
            <w:tcW w:w="120" w:type="dxa"/>
            <w:vAlign w:val="bottom"/>
            <w:shd w:val="clear" w:color="auto" w:fill="D2EEF5"/>
          </w:tcPr>
          <w:p>
            <w:pPr>
              <w:spacing w:after="0"/>
              <w:rPr>
                <w:sz w:val="24"/>
                <w:szCs w:val="24"/>
                <w:color w:val="auto"/>
              </w:rPr>
            </w:pPr>
          </w:p>
        </w:tc>
        <w:tc>
          <w:tcPr>
            <w:tcW w:w="1300" w:type="dxa"/>
            <w:vAlign w:val="bottom"/>
            <w:shd w:val="clear" w:color="auto" w:fill="D2EEF5"/>
          </w:tcPr>
          <w:p>
            <w:pPr>
              <w:spacing w:after="0"/>
              <w:rPr>
                <w:sz w:val="24"/>
                <w:szCs w:val="24"/>
                <w:color w:val="auto"/>
              </w:rPr>
            </w:pPr>
          </w:p>
        </w:tc>
        <w:tc>
          <w:tcPr>
            <w:tcW w:w="60" w:type="dxa"/>
            <w:vAlign w:val="bottom"/>
            <w:shd w:val="clear" w:color="auto" w:fill="D2EEF5"/>
          </w:tcPr>
          <w:p>
            <w:pPr>
              <w:spacing w:after="0"/>
              <w:rPr>
                <w:sz w:val="24"/>
                <w:szCs w:val="24"/>
                <w:color w:val="auto"/>
              </w:rPr>
            </w:pPr>
          </w:p>
        </w:tc>
        <w:tc>
          <w:tcPr>
            <w:tcW w:w="1320" w:type="dxa"/>
            <w:vAlign w:val="bottom"/>
            <w:shd w:val="clear" w:color="auto" w:fill="D2EEF5"/>
          </w:tcPr>
          <w:p>
            <w:pPr>
              <w:spacing w:after="0"/>
              <w:rPr>
                <w:sz w:val="24"/>
                <w:szCs w:val="24"/>
                <w:color w:val="auto"/>
              </w:rPr>
            </w:pPr>
          </w:p>
        </w:tc>
      </w:tr>
      <w:tr>
        <w:trPr>
          <w:trHeight w:val="311"/>
        </w:trPr>
        <w:tc>
          <w:tcPr>
            <w:tcW w:w="40" w:type="dxa"/>
            <w:vAlign w:val="bottom"/>
          </w:tcPr>
          <w:p>
            <w:pPr>
              <w:spacing w:after="0"/>
              <w:rPr>
                <w:sz w:val="24"/>
                <w:szCs w:val="24"/>
                <w:color w:val="auto"/>
              </w:rPr>
            </w:pPr>
          </w:p>
        </w:tc>
        <w:tc>
          <w:tcPr>
            <w:tcW w:w="75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Operating leases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4.33 %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4.12 %</w:t>
            </w:r>
          </w:p>
        </w:tc>
      </w:tr>
      <w:tr>
        <w:trPr>
          <w:trHeight w:val="319"/>
        </w:trPr>
        <w:tc>
          <w:tcPr>
            <w:tcW w:w="40" w:type="dxa"/>
            <w:vAlign w:val="bottom"/>
            <w:shd w:val="clear" w:color="auto" w:fill="D2EEF5"/>
          </w:tcPr>
          <w:p>
            <w:pPr>
              <w:spacing w:after="0"/>
              <w:rPr>
                <w:sz w:val="24"/>
                <w:szCs w:val="24"/>
                <w:color w:val="auto"/>
              </w:rPr>
            </w:pPr>
          </w:p>
        </w:tc>
        <w:tc>
          <w:tcPr>
            <w:tcW w:w="7420" w:type="dxa"/>
            <w:vAlign w:val="bottom"/>
            <w:shd w:val="clear" w:color="auto" w:fill="D2EEF5"/>
          </w:tcPr>
          <w:p>
            <w:pPr>
              <w:ind w:left="120"/>
              <w:spacing w:after="0"/>
              <w:rPr>
                <w:sz w:val="20"/>
                <w:szCs w:val="20"/>
                <w:color w:val="auto"/>
              </w:rPr>
            </w:pPr>
            <w:r>
              <w:rPr>
                <w:rFonts w:ascii="Times New Roman" w:cs="Times New Roman" w:eastAsia="Times New Roman" w:hAnsi="Times New Roman"/>
                <w:sz w:val="20"/>
                <w:szCs w:val="20"/>
                <w:color w:val="auto"/>
              </w:rPr>
              <w:t>Finance leases</w:t>
            </w:r>
          </w:p>
        </w:tc>
        <w:tc>
          <w:tcPr>
            <w:tcW w:w="120" w:type="dxa"/>
            <w:vAlign w:val="bottom"/>
            <w:shd w:val="clear" w:color="auto" w:fill="D2EEF5"/>
          </w:tcPr>
          <w:p>
            <w:pPr>
              <w:spacing w:after="0"/>
              <w:rPr>
                <w:sz w:val="24"/>
                <w:szCs w:val="24"/>
                <w:color w:val="auto"/>
              </w:rPr>
            </w:pPr>
          </w:p>
        </w:tc>
        <w:tc>
          <w:tcPr>
            <w:tcW w:w="13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5.43 %</w:t>
            </w:r>
          </w:p>
        </w:tc>
        <w:tc>
          <w:tcPr>
            <w:tcW w:w="60" w:type="dxa"/>
            <w:vAlign w:val="bottom"/>
            <w:shd w:val="clear" w:color="auto" w:fill="D2EEF5"/>
          </w:tcPr>
          <w:p>
            <w:pPr>
              <w:spacing w:after="0"/>
              <w:rPr>
                <w:sz w:val="24"/>
                <w:szCs w:val="24"/>
                <w:color w:val="auto"/>
              </w:rPr>
            </w:pPr>
          </w:p>
        </w:tc>
        <w:tc>
          <w:tcPr>
            <w:tcW w:w="13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5.39 %</w:t>
            </w:r>
          </w:p>
        </w:tc>
      </w:tr>
    </w:tbl>
    <w:p>
      <w:pPr>
        <w:spacing w:after="0" w:line="15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color w:val="auto"/>
        </w:rPr>
        <w:t>Cash paid for amounts included in lease liabilities for the years ended December 31, 2025, and 2024, were:</w:t>
      </w:r>
    </w:p>
    <w:p>
      <w:pPr>
        <w:spacing w:after="0" w:line="260" w:lineRule="exact"/>
        <w:rPr>
          <w:sz w:val="20"/>
          <w:szCs w:val="20"/>
          <w:color w:val="auto"/>
        </w:rPr>
      </w:pPr>
    </w:p>
    <w:tbl>
      <w:tblPr>
        <w:tblLayout w:type="fixed"/>
        <w:tblInd w:w="60" w:type="dxa"/>
        <w:tblCellMar>
          <w:top w:w="0" w:type="dxa"/>
          <w:left w:w="0" w:type="dxa"/>
          <w:bottom w:w="0" w:type="dxa"/>
          <w:right w:w="0" w:type="dxa"/>
        </w:tblCellMar>
      </w:tblPr>
      <w:tr>
        <w:trPr>
          <w:trHeight w:val="283"/>
        </w:trPr>
        <w:tc>
          <w:tcPr>
            <w:tcW w:w="7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w w:val="99"/>
              </w:rPr>
              <w:t>Years ended December 31,</w:t>
            </w:r>
          </w:p>
        </w:tc>
      </w:tr>
      <w:tr>
        <w:trPr>
          <w:trHeight w:val="296"/>
        </w:trPr>
        <w:tc>
          <w:tcPr>
            <w:tcW w:w="758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Cash paid for amounts included in lease liabilities:</w:t>
            </w:r>
          </w:p>
        </w:tc>
        <w:tc>
          <w:tcPr>
            <w:tcW w:w="180" w:type="dxa"/>
            <w:vAlign w:val="bottom"/>
          </w:tcPr>
          <w:p>
            <w:pPr>
              <w:spacing w:after="0"/>
              <w:rPr>
                <w:sz w:val="24"/>
                <w:szCs w:val="24"/>
                <w:color w:val="auto"/>
              </w:rPr>
            </w:pPr>
          </w:p>
        </w:tc>
        <w:tc>
          <w:tcPr>
            <w:tcW w:w="1120" w:type="dxa"/>
            <w:vAlign w:val="bottom"/>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95"/>
        </w:trPr>
        <w:tc>
          <w:tcPr>
            <w:tcW w:w="7520" w:type="dxa"/>
            <w:vAlign w:val="bottom"/>
            <w:tcBorders>
              <w:top w:val="single" w:sz="8" w:color="auto"/>
            </w:tcBorders>
            <w:shd w:val="clear" w:color="auto" w:fill="D2EEF5"/>
          </w:tcPr>
          <w:p>
            <w:pPr>
              <w:ind w:left="160"/>
              <w:spacing w:after="0"/>
              <w:rPr>
                <w:sz w:val="20"/>
                <w:szCs w:val="20"/>
                <w:color w:val="auto"/>
              </w:rPr>
            </w:pPr>
            <w:r>
              <w:rPr>
                <w:rFonts w:ascii="Times New Roman" w:cs="Times New Roman" w:eastAsia="Times New Roman" w:hAnsi="Times New Roman"/>
                <w:sz w:val="20"/>
                <w:szCs w:val="20"/>
                <w:color w:val="auto"/>
              </w:rPr>
              <w:t>Operating cash flows from operating leases</w:t>
            </w:r>
          </w:p>
        </w:tc>
        <w:tc>
          <w:tcPr>
            <w:tcW w:w="60" w:type="dxa"/>
            <w:vAlign w:val="bottom"/>
            <w:tcBorders>
              <w:top w:val="single" w:sz="8" w:color="D2EEF5"/>
            </w:tcBorders>
            <w:shd w:val="clear" w:color="auto" w:fill="D2EEF5"/>
          </w:tcPr>
          <w:p>
            <w:pPr>
              <w:spacing w:after="0"/>
              <w:rPr>
                <w:sz w:val="24"/>
                <w:szCs w:val="24"/>
                <w:color w:val="auto"/>
              </w:rPr>
            </w:pPr>
          </w:p>
        </w:tc>
        <w:tc>
          <w:tcPr>
            <w:tcW w:w="180" w:type="dxa"/>
            <w:vAlign w:val="bottom"/>
            <w:tcBorders>
              <w:top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tcBorders>
              <w:top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(9,452)</w:t>
            </w:r>
          </w:p>
        </w:tc>
        <w:tc>
          <w:tcPr>
            <w:tcW w:w="60" w:type="dxa"/>
            <w:vAlign w:val="bottom"/>
            <w:tcBorders>
              <w:top w:val="single" w:sz="8" w:color="D2EEF5"/>
            </w:tcBorders>
            <w:shd w:val="clear" w:color="auto" w:fill="D2EEF5"/>
          </w:tcPr>
          <w:p>
            <w:pPr>
              <w:spacing w:after="0"/>
              <w:rPr>
                <w:sz w:val="24"/>
                <w:szCs w:val="24"/>
                <w:color w:val="auto"/>
              </w:rPr>
            </w:pPr>
          </w:p>
        </w:tc>
        <w:tc>
          <w:tcPr>
            <w:tcW w:w="320" w:type="dxa"/>
            <w:vAlign w:val="bottom"/>
            <w:tcBorders>
              <w:top w:val="single" w:sz="8" w:color="auto"/>
            </w:tcBorders>
            <w:shd w:val="clear" w:color="auto" w:fill="D2EEF5"/>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tcBorders>
              <w:top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(9,653)</w:t>
            </w:r>
          </w:p>
        </w:tc>
      </w:tr>
      <w:tr>
        <w:trPr>
          <w:trHeight w:val="311"/>
        </w:trPr>
        <w:tc>
          <w:tcPr>
            <w:tcW w:w="75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Operating cash flows from finance leases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(421)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(459)</w:t>
            </w:r>
          </w:p>
        </w:tc>
      </w:tr>
      <w:tr>
        <w:trPr>
          <w:trHeight w:val="319"/>
        </w:trPr>
        <w:tc>
          <w:tcPr>
            <w:tcW w:w="7520" w:type="dxa"/>
            <w:vAlign w:val="bottom"/>
            <w:shd w:val="clear" w:color="auto" w:fill="D2EEF5"/>
          </w:tcPr>
          <w:p>
            <w:pPr>
              <w:ind w:left="160"/>
              <w:spacing w:after="0"/>
              <w:rPr>
                <w:sz w:val="20"/>
                <w:szCs w:val="20"/>
                <w:color w:val="auto"/>
              </w:rPr>
            </w:pPr>
            <w:r>
              <w:rPr>
                <w:rFonts w:ascii="Times New Roman" w:cs="Times New Roman" w:eastAsia="Times New Roman" w:hAnsi="Times New Roman"/>
                <w:sz w:val="20"/>
                <w:szCs w:val="20"/>
                <w:color w:val="auto"/>
              </w:rPr>
              <w:t>Financing cash flows from finance leases</w:t>
            </w:r>
          </w:p>
        </w:tc>
        <w:tc>
          <w:tcPr>
            <w:tcW w:w="60" w:type="dxa"/>
            <w:vAlign w:val="bottom"/>
            <w:shd w:val="clear" w:color="auto" w:fill="D2EEF5"/>
          </w:tcPr>
          <w:p>
            <w:pPr>
              <w:spacing w:after="0"/>
              <w:rPr>
                <w:sz w:val="24"/>
                <w:szCs w:val="24"/>
                <w:color w:val="auto"/>
              </w:rPr>
            </w:pPr>
          </w:p>
        </w:tc>
        <w:tc>
          <w:tcPr>
            <w:tcW w:w="180" w:type="dxa"/>
            <w:vAlign w:val="bottom"/>
            <w:shd w:val="clear" w:color="auto" w:fill="D2EEF5"/>
          </w:tcPr>
          <w:p>
            <w:pPr>
              <w:spacing w:after="0"/>
              <w:rPr>
                <w:sz w:val="24"/>
                <w:szCs w:val="24"/>
                <w:color w:val="auto"/>
              </w:rPr>
            </w:pPr>
          </w:p>
        </w:tc>
        <w:tc>
          <w:tcPr>
            <w:tcW w:w="11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(463)</w:t>
            </w:r>
          </w:p>
        </w:tc>
        <w:tc>
          <w:tcPr>
            <w:tcW w:w="60" w:type="dxa"/>
            <w:vAlign w:val="bottom"/>
            <w:shd w:val="clear" w:color="auto" w:fill="D2EEF5"/>
          </w:tcPr>
          <w:p>
            <w:pPr>
              <w:spacing w:after="0"/>
              <w:rPr>
                <w:sz w:val="24"/>
                <w:szCs w:val="24"/>
                <w:color w:val="auto"/>
              </w:rPr>
            </w:pPr>
          </w:p>
        </w:tc>
        <w:tc>
          <w:tcPr>
            <w:tcW w:w="320" w:type="dxa"/>
            <w:vAlign w:val="bottom"/>
            <w:shd w:val="clear" w:color="auto" w:fill="D2EEF5"/>
          </w:tcPr>
          <w:p>
            <w:pPr>
              <w:spacing w:after="0"/>
              <w:rPr>
                <w:sz w:val="24"/>
                <w:szCs w:val="24"/>
                <w:color w:val="auto"/>
              </w:rPr>
            </w:pP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(680)</w:t>
            </w:r>
          </w:p>
        </w:tc>
      </w:tr>
    </w:tbl>
    <w:p>
      <w:pPr>
        <w:spacing w:after="0" w:line="200" w:lineRule="exact"/>
        <w:rPr>
          <w:sz w:val="20"/>
          <w:szCs w:val="20"/>
          <w:color w:val="auto"/>
        </w:rPr>
      </w:pPr>
    </w:p>
    <w:p>
      <w:pPr>
        <w:sectPr>
          <w:pgSz w:w="12240" w:h="15840" w:orient="portrait"/>
          <w:cols w:equalWidth="0" w:num="1">
            <w:col w:w="10320"/>
          </w:cols>
          <w:pgMar w:left="940" w:top="4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10320"/>
          </w:cols>
          <w:pgMar w:left="940" w:top="420" w:right="980" w:bottom="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Hydrofarm Holdings Group, Inc.</w:t>
      </w:r>
    </w:p>
    <w:p>
      <w:pPr>
        <w:spacing w:after="0" w:line="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75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9. PROPERTY, PLANT AND EQUIPMENT, NET</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436"/>
        </w:trPr>
        <w:tc>
          <w:tcPr>
            <w:tcW w:w="40" w:type="dxa"/>
            <w:vAlign w:val="bottom"/>
          </w:tcPr>
          <w:p>
            <w:pPr>
              <w:spacing w:after="0"/>
              <w:rPr>
                <w:sz w:val="24"/>
                <w:szCs w:val="24"/>
                <w:color w:val="auto"/>
              </w:rPr>
            </w:pPr>
          </w:p>
        </w:tc>
        <w:tc>
          <w:tcPr>
            <w:tcW w:w="7540" w:type="dxa"/>
            <w:vAlign w:val="bottom"/>
            <w:gridSpan w:val="3"/>
          </w:tcPr>
          <w:p>
            <w:pPr>
              <w:ind w:left="680"/>
              <w:spacing w:after="0"/>
              <w:rPr>
                <w:sz w:val="20"/>
                <w:szCs w:val="20"/>
                <w:color w:val="auto"/>
              </w:rPr>
            </w:pPr>
            <w:r>
              <w:rPr>
                <w:rFonts w:ascii="Times New Roman" w:cs="Times New Roman" w:eastAsia="Times New Roman" w:hAnsi="Times New Roman"/>
                <w:sz w:val="20"/>
                <w:szCs w:val="20"/>
                <w:color w:val="auto"/>
              </w:rPr>
              <w:t>Property, plant and equipment, net comprised the following:</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07"/>
        </w:trPr>
        <w:tc>
          <w:tcPr>
            <w:tcW w:w="4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4"/>
          </w:tcPr>
          <w:p>
            <w:pPr>
              <w:jc w:val="right"/>
              <w:ind w:right="660"/>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80"/>
        </w:trPr>
        <w:tc>
          <w:tcPr>
            <w:tcW w:w="4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40" w:type="dxa"/>
            <w:vAlign w:val="bottom"/>
            <w:tcBorders>
              <w:bottom w:val="single" w:sz="8" w:color="D2EEF5"/>
            </w:tcBorders>
          </w:tcPr>
          <w:p>
            <w:pPr>
              <w:spacing w:after="0"/>
              <w:rPr>
                <w:sz w:val="24"/>
                <w:szCs w:val="24"/>
                <w:color w:val="auto"/>
              </w:rPr>
            </w:pPr>
          </w:p>
        </w:tc>
        <w:tc>
          <w:tcPr>
            <w:tcW w:w="20" w:type="dxa"/>
            <w:vAlign w:val="bottom"/>
            <w:tcBorders>
              <w:bottom w:val="single" w:sz="8" w:color="D2EEF5"/>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Borders>
              <w:bottom w:val="single" w:sz="8" w:color="D2EEF5"/>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65"/>
        </w:trPr>
        <w:tc>
          <w:tcPr>
            <w:tcW w:w="40" w:type="dxa"/>
            <w:vAlign w:val="bottom"/>
            <w:shd w:val="clear" w:color="auto" w:fill="D2EEF5"/>
          </w:tcPr>
          <w:p>
            <w:pPr>
              <w:spacing w:after="0"/>
              <w:rPr>
                <w:sz w:val="23"/>
                <w:szCs w:val="23"/>
                <w:color w:val="auto"/>
              </w:rPr>
            </w:pPr>
          </w:p>
        </w:tc>
        <w:tc>
          <w:tcPr>
            <w:tcW w:w="7480" w:type="dxa"/>
            <w:vAlign w:val="bottom"/>
            <w:shd w:val="clear" w:color="auto" w:fill="D2EEF5"/>
          </w:tcPr>
          <w:p>
            <w:pPr>
              <w:spacing w:after="0"/>
              <w:rPr>
                <w:sz w:val="20"/>
                <w:szCs w:val="20"/>
                <w:color w:val="auto"/>
              </w:rPr>
            </w:pPr>
            <w:r>
              <w:rPr>
                <w:rFonts w:ascii="Times New Roman" w:cs="Times New Roman" w:eastAsia="Times New Roman" w:hAnsi="Times New Roman"/>
                <w:sz w:val="20"/>
                <w:szCs w:val="20"/>
                <w:color w:val="auto"/>
              </w:rPr>
              <w:t>Machinery and equipment</w:t>
            </w:r>
          </w:p>
        </w:tc>
        <w:tc>
          <w:tcPr>
            <w:tcW w:w="40" w:type="dxa"/>
            <w:vAlign w:val="bottom"/>
            <w:shd w:val="clear" w:color="auto" w:fill="D2EEF5"/>
          </w:tcPr>
          <w:p>
            <w:pPr>
              <w:spacing w:after="0"/>
              <w:rPr>
                <w:sz w:val="23"/>
                <w:szCs w:val="23"/>
                <w:color w:val="auto"/>
              </w:rPr>
            </w:pPr>
          </w:p>
        </w:tc>
        <w:tc>
          <w:tcPr>
            <w:tcW w:w="20" w:type="dxa"/>
            <w:vAlign w:val="bottom"/>
            <w:shd w:val="clear" w:color="auto" w:fill="D2EEF5"/>
          </w:tcPr>
          <w:p>
            <w:pPr>
              <w:spacing w:after="0"/>
              <w:rPr>
                <w:sz w:val="23"/>
                <w:szCs w:val="23"/>
                <w:color w:val="auto"/>
              </w:rPr>
            </w:pPr>
          </w:p>
        </w:tc>
        <w:tc>
          <w:tcPr>
            <w:tcW w:w="300" w:type="dxa"/>
            <w:vAlign w:val="bottom"/>
            <w:shd w:val="clear" w:color="auto" w:fill="D2EEF5"/>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23,577</w:t>
            </w:r>
          </w:p>
        </w:tc>
        <w:tc>
          <w:tcPr>
            <w:tcW w:w="60" w:type="dxa"/>
            <w:vAlign w:val="bottom"/>
            <w:shd w:val="clear" w:color="auto" w:fill="D2EEF5"/>
          </w:tcPr>
          <w:p>
            <w:pPr>
              <w:spacing w:after="0"/>
              <w:rPr>
                <w:sz w:val="23"/>
                <w:szCs w:val="23"/>
                <w:color w:val="auto"/>
              </w:rPr>
            </w:pPr>
          </w:p>
        </w:tc>
        <w:tc>
          <w:tcPr>
            <w:tcW w:w="300" w:type="dxa"/>
            <w:vAlign w:val="bottom"/>
            <w:shd w:val="clear" w:color="auto" w:fill="D2EEF5"/>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23,531</w:t>
            </w:r>
          </w:p>
        </w:tc>
      </w:tr>
      <w:tr>
        <w:trPr>
          <w:trHeight w:val="281"/>
        </w:trPr>
        <w:tc>
          <w:tcPr>
            <w:tcW w:w="40" w:type="dxa"/>
            <w:vAlign w:val="bottom"/>
          </w:tcPr>
          <w:p>
            <w:pPr>
              <w:spacing w:after="0"/>
              <w:rPr>
                <w:sz w:val="24"/>
                <w:szCs w:val="24"/>
                <w:color w:val="auto"/>
              </w:rPr>
            </w:pPr>
          </w:p>
        </w:tc>
        <w:tc>
          <w:tcPr>
            <w:tcW w:w="75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Peat bogs and related development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12,828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11,895</w:t>
            </w:r>
          </w:p>
        </w:tc>
      </w:tr>
      <w:tr>
        <w:trPr>
          <w:trHeight w:val="289"/>
        </w:trPr>
        <w:tc>
          <w:tcPr>
            <w:tcW w:w="40" w:type="dxa"/>
            <w:vAlign w:val="bottom"/>
            <w:shd w:val="clear" w:color="auto" w:fill="D2EEF5"/>
          </w:tcPr>
          <w:p>
            <w:pPr>
              <w:spacing w:after="0"/>
              <w:rPr>
                <w:sz w:val="24"/>
                <w:szCs w:val="24"/>
                <w:color w:val="auto"/>
              </w:rPr>
            </w:pPr>
          </w:p>
        </w:tc>
        <w:tc>
          <w:tcPr>
            <w:tcW w:w="7480" w:type="dxa"/>
            <w:vAlign w:val="bottom"/>
            <w:shd w:val="clear" w:color="auto" w:fill="D2EEF5"/>
          </w:tcPr>
          <w:p>
            <w:pPr>
              <w:spacing w:after="0"/>
              <w:rPr>
                <w:sz w:val="20"/>
                <w:szCs w:val="20"/>
                <w:color w:val="auto"/>
              </w:rPr>
            </w:pPr>
            <w:r>
              <w:rPr>
                <w:rFonts w:ascii="Times New Roman" w:cs="Times New Roman" w:eastAsia="Times New Roman" w:hAnsi="Times New Roman"/>
                <w:sz w:val="20"/>
                <w:szCs w:val="20"/>
                <w:color w:val="auto"/>
              </w:rPr>
              <w:t>Building and improvements</w:t>
            </w:r>
          </w:p>
        </w:tc>
        <w:tc>
          <w:tcPr>
            <w:tcW w:w="4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300" w:type="dxa"/>
            <w:vAlign w:val="bottom"/>
            <w:shd w:val="clear" w:color="auto" w:fill="D2EEF5"/>
          </w:tcPr>
          <w:p>
            <w:pPr>
              <w:spacing w:after="0"/>
              <w:rPr>
                <w:sz w:val="24"/>
                <w:szCs w:val="24"/>
                <w:color w:val="auto"/>
              </w:rPr>
            </w:pP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8,917</w:t>
            </w:r>
          </w:p>
        </w:tc>
        <w:tc>
          <w:tcPr>
            <w:tcW w:w="60" w:type="dxa"/>
            <w:vAlign w:val="bottom"/>
            <w:shd w:val="clear" w:color="auto" w:fill="D2EEF5"/>
          </w:tcPr>
          <w:p>
            <w:pPr>
              <w:spacing w:after="0"/>
              <w:rPr>
                <w:sz w:val="24"/>
                <w:szCs w:val="24"/>
                <w:color w:val="auto"/>
              </w:rPr>
            </w:pPr>
          </w:p>
        </w:tc>
        <w:tc>
          <w:tcPr>
            <w:tcW w:w="300" w:type="dxa"/>
            <w:vAlign w:val="bottom"/>
            <w:shd w:val="clear" w:color="auto" w:fill="D2EEF5"/>
          </w:tcPr>
          <w:p>
            <w:pPr>
              <w:spacing w:after="0"/>
              <w:rPr>
                <w:sz w:val="24"/>
                <w:szCs w:val="24"/>
                <w:color w:val="auto"/>
              </w:rPr>
            </w:pPr>
          </w:p>
        </w:tc>
        <w:tc>
          <w:tcPr>
            <w:tcW w:w="10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10,313</w:t>
            </w:r>
          </w:p>
        </w:tc>
      </w:tr>
      <w:tr>
        <w:trPr>
          <w:trHeight w:val="285"/>
        </w:trPr>
        <w:tc>
          <w:tcPr>
            <w:tcW w:w="40" w:type="dxa"/>
            <w:vAlign w:val="bottom"/>
          </w:tcPr>
          <w:p>
            <w:pPr>
              <w:spacing w:after="0"/>
              <w:rPr>
                <w:sz w:val="24"/>
                <w:szCs w:val="24"/>
                <w:color w:val="auto"/>
              </w:rPr>
            </w:pPr>
          </w:p>
        </w:tc>
        <w:tc>
          <w:tcPr>
            <w:tcW w:w="75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Land</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4,093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5,630</w:t>
            </w:r>
          </w:p>
        </w:tc>
      </w:tr>
      <w:tr>
        <w:trPr>
          <w:trHeight w:val="265"/>
        </w:trPr>
        <w:tc>
          <w:tcPr>
            <w:tcW w:w="40" w:type="dxa"/>
            <w:vAlign w:val="bottom"/>
            <w:shd w:val="clear" w:color="auto" w:fill="D2EEF5"/>
          </w:tcPr>
          <w:p>
            <w:pPr>
              <w:spacing w:after="0"/>
              <w:rPr>
                <w:sz w:val="23"/>
                <w:szCs w:val="23"/>
                <w:color w:val="auto"/>
              </w:rPr>
            </w:pPr>
          </w:p>
        </w:tc>
        <w:tc>
          <w:tcPr>
            <w:tcW w:w="7480" w:type="dxa"/>
            <w:vAlign w:val="bottom"/>
            <w:shd w:val="clear" w:color="auto" w:fill="D2EEF5"/>
          </w:tcPr>
          <w:p>
            <w:pPr>
              <w:spacing w:after="0"/>
              <w:rPr>
                <w:sz w:val="20"/>
                <w:szCs w:val="20"/>
                <w:color w:val="auto"/>
              </w:rPr>
            </w:pPr>
            <w:r>
              <w:rPr>
                <w:rFonts w:ascii="Times New Roman" w:cs="Times New Roman" w:eastAsia="Times New Roman" w:hAnsi="Times New Roman"/>
                <w:sz w:val="20"/>
                <w:szCs w:val="20"/>
                <w:color w:val="auto"/>
              </w:rPr>
              <w:t>Furniture and fixtures</w:t>
            </w:r>
          </w:p>
        </w:tc>
        <w:tc>
          <w:tcPr>
            <w:tcW w:w="40" w:type="dxa"/>
            <w:vAlign w:val="bottom"/>
            <w:tcBorders>
              <w:top w:val="single" w:sz="8" w:color="D2EEF5"/>
            </w:tcBorders>
            <w:shd w:val="clear" w:color="auto" w:fill="D2EEF5"/>
          </w:tcPr>
          <w:p>
            <w:pPr>
              <w:spacing w:after="0"/>
              <w:rPr>
                <w:sz w:val="23"/>
                <w:szCs w:val="23"/>
                <w:color w:val="auto"/>
              </w:rPr>
            </w:pPr>
          </w:p>
        </w:tc>
        <w:tc>
          <w:tcPr>
            <w:tcW w:w="20" w:type="dxa"/>
            <w:vAlign w:val="bottom"/>
            <w:tcBorders>
              <w:top w:val="single" w:sz="8" w:color="D2EEF5"/>
            </w:tcBorders>
            <w:shd w:val="clear" w:color="auto" w:fill="D2EEF5"/>
          </w:tcPr>
          <w:p>
            <w:pPr>
              <w:spacing w:after="0"/>
              <w:rPr>
                <w:sz w:val="23"/>
                <w:szCs w:val="23"/>
                <w:color w:val="auto"/>
              </w:rPr>
            </w:pPr>
          </w:p>
        </w:tc>
        <w:tc>
          <w:tcPr>
            <w:tcW w:w="300" w:type="dxa"/>
            <w:vAlign w:val="bottom"/>
            <w:tcBorders>
              <w:top w:val="single" w:sz="8" w:color="D2EEF5"/>
            </w:tcBorders>
            <w:shd w:val="clear" w:color="auto" w:fill="D2EEF5"/>
          </w:tcPr>
          <w:p>
            <w:pPr>
              <w:spacing w:after="0"/>
              <w:rPr>
                <w:sz w:val="23"/>
                <w:szCs w:val="23"/>
                <w:color w:val="auto"/>
              </w:rPr>
            </w:pPr>
          </w:p>
        </w:tc>
        <w:tc>
          <w:tcPr>
            <w:tcW w:w="1000" w:type="dxa"/>
            <w:vAlign w:val="bottom"/>
            <w:tcBorders>
              <w:top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3,721</w:t>
            </w:r>
          </w:p>
        </w:tc>
        <w:tc>
          <w:tcPr>
            <w:tcW w:w="60" w:type="dxa"/>
            <w:vAlign w:val="bottom"/>
            <w:tcBorders>
              <w:top w:val="single" w:sz="8" w:color="D2EEF5"/>
            </w:tcBorders>
            <w:shd w:val="clear" w:color="auto" w:fill="D2EEF5"/>
          </w:tcPr>
          <w:p>
            <w:pPr>
              <w:spacing w:after="0"/>
              <w:rPr>
                <w:sz w:val="23"/>
                <w:szCs w:val="23"/>
                <w:color w:val="auto"/>
              </w:rPr>
            </w:pPr>
          </w:p>
        </w:tc>
        <w:tc>
          <w:tcPr>
            <w:tcW w:w="300" w:type="dxa"/>
            <w:vAlign w:val="bottom"/>
            <w:tcBorders>
              <w:top w:val="single" w:sz="8" w:color="D2EEF5"/>
            </w:tcBorders>
            <w:shd w:val="clear" w:color="auto" w:fill="D2EEF5"/>
          </w:tcPr>
          <w:p>
            <w:pPr>
              <w:spacing w:after="0"/>
              <w:rPr>
                <w:sz w:val="23"/>
                <w:szCs w:val="23"/>
                <w:color w:val="auto"/>
              </w:rPr>
            </w:pPr>
          </w:p>
        </w:tc>
        <w:tc>
          <w:tcPr>
            <w:tcW w:w="1020" w:type="dxa"/>
            <w:vAlign w:val="bottom"/>
            <w:tcBorders>
              <w:top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4,239</w:t>
            </w:r>
          </w:p>
        </w:tc>
      </w:tr>
      <w:tr>
        <w:trPr>
          <w:trHeight w:val="285"/>
        </w:trPr>
        <w:tc>
          <w:tcPr>
            <w:tcW w:w="40" w:type="dxa"/>
            <w:vAlign w:val="bottom"/>
          </w:tcPr>
          <w:p>
            <w:pPr>
              <w:spacing w:after="0"/>
              <w:rPr>
                <w:sz w:val="24"/>
                <w:szCs w:val="24"/>
                <w:color w:val="auto"/>
              </w:rPr>
            </w:pPr>
          </w:p>
        </w:tc>
        <w:tc>
          <w:tcPr>
            <w:tcW w:w="75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Computer equipment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3,044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3,152</w:t>
            </w:r>
          </w:p>
        </w:tc>
      </w:tr>
      <w:tr>
        <w:trPr>
          <w:trHeight w:val="285"/>
        </w:trPr>
        <w:tc>
          <w:tcPr>
            <w:tcW w:w="40" w:type="dxa"/>
            <w:vAlign w:val="bottom"/>
            <w:tcBorders>
              <w:bottom w:val="single" w:sz="8" w:color="D2EEF5"/>
            </w:tcBorders>
            <w:shd w:val="clear" w:color="auto" w:fill="D2EEF5"/>
          </w:tcPr>
          <w:p>
            <w:pPr>
              <w:spacing w:after="0"/>
              <w:rPr>
                <w:sz w:val="24"/>
                <w:szCs w:val="24"/>
                <w:color w:val="auto"/>
              </w:rPr>
            </w:pPr>
          </w:p>
        </w:tc>
        <w:tc>
          <w:tcPr>
            <w:tcW w:w="7480" w:type="dxa"/>
            <w:vAlign w:val="bottom"/>
            <w:tcBorders>
              <w:bottom w:val="single" w:sz="8" w:color="D2EEF5"/>
            </w:tcBorders>
            <w:shd w:val="clear" w:color="auto" w:fill="D2EEF5"/>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40" w:type="dxa"/>
            <w:vAlign w:val="bottom"/>
            <w:tcBorders>
              <w:top w:val="single" w:sz="8" w:color="D2EEF5"/>
              <w:bottom w:val="single" w:sz="8" w:color="D2EEF5"/>
            </w:tcBorders>
            <w:shd w:val="clear" w:color="auto" w:fill="D2EEF5"/>
          </w:tcPr>
          <w:p>
            <w:pPr>
              <w:spacing w:after="0"/>
              <w:rPr>
                <w:sz w:val="24"/>
                <w:szCs w:val="24"/>
                <w:color w:val="auto"/>
              </w:rPr>
            </w:pPr>
          </w:p>
        </w:tc>
        <w:tc>
          <w:tcPr>
            <w:tcW w:w="20" w:type="dxa"/>
            <w:vAlign w:val="bottom"/>
            <w:tcBorders>
              <w:top w:val="single" w:sz="8" w:color="D2EEF5"/>
              <w:bottom w:val="single" w:sz="8" w:color="D2EEF5"/>
            </w:tcBorders>
            <w:shd w:val="clear" w:color="auto" w:fill="D2EEF5"/>
          </w:tcPr>
          <w:p>
            <w:pPr>
              <w:spacing w:after="0"/>
              <w:rPr>
                <w:sz w:val="24"/>
                <w:szCs w:val="24"/>
                <w:color w:val="auto"/>
              </w:rPr>
            </w:pPr>
          </w:p>
        </w:tc>
        <w:tc>
          <w:tcPr>
            <w:tcW w:w="300" w:type="dxa"/>
            <w:vAlign w:val="bottom"/>
            <w:tcBorders>
              <w:top w:val="single" w:sz="8" w:color="D2EEF5"/>
              <w:bottom w:val="single" w:sz="8" w:color="auto"/>
            </w:tcBorders>
            <w:shd w:val="clear" w:color="auto" w:fill="D2EEF5"/>
          </w:tcPr>
          <w:p>
            <w:pPr>
              <w:spacing w:after="0"/>
              <w:rPr>
                <w:sz w:val="24"/>
                <w:szCs w:val="24"/>
                <w:color w:val="auto"/>
              </w:rPr>
            </w:pPr>
          </w:p>
        </w:tc>
        <w:tc>
          <w:tcPr>
            <w:tcW w:w="1000" w:type="dxa"/>
            <w:vAlign w:val="bottom"/>
            <w:tcBorders>
              <w:top w:val="single" w:sz="8" w:color="D2EEF5"/>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530</w:t>
            </w:r>
          </w:p>
        </w:tc>
        <w:tc>
          <w:tcPr>
            <w:tcW w:w="60" w:type="dxa"/>
            <w:vAlign w:val="bottom"/>
            <w:tcBorders>
              <w:top w:val="single" w:sz="8" w:color="D2EEF5"/>
              <w:bottom w:val="single" w:sz="8" w:color="D2EEF5"/>
            </w:tcBorders>
            <w:shd w:val="clear" w:color="auto" w:fill="D2EEF5"/>
          </w:tcPr>
          <w:p>
            <w:pPr>
              <w:spacing w:after="0"/>
              <w:rPr>
                <w:sz w:val="24"/>
                <w:szCs w:val="24"/>
                <w:color w:val="auto"/>
              </w:rPr>
            </w:pPr>
          </w:p>
        </w:tc>
        <w:tc>
          <w:tcPr>
            <w:tcW w:w="300" w:type="dxa"/>
            <w:vAlign w:val="bottom"/>
            <w:tcBorders>
              <w:top w:val="single" w:sz="8" w:color="D2EEF5"/>
              <w:bottom w:val="single" w:sz="8" w:color="auto"/>
            </w:tcBorders>
            <w:shd w:val="clear" w:color="auto" w:fill="D2EEF5"/>
          </w:tcPr>
          <w:p>
            <w:pPr>
              <w:spacing w:after="0"/>
              <w:rPr>
                <w:sz w:val="24"/>
                <w:szCs w:val="24"/>
                <w:color w:val="auto"/>
              </w:rPr>
            </w:pPr>
          </w:p>
        </w:tc>
        <w:tc>
          <w:tcPr>
            <w:tcW w:w="1020" w:type="dxa"/>
            <w:vAlign w:val="bottom"/>
            <w:tcBorders>
              <w:top w:val="single" w:sz="8" w:color="D2EEF5"/>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3,185</w:t>
            </w:r>
          </w:p>
        </w:tc>
      </w:tr>
      <w:tr>
        <w:trPr>
          <w:trHeight w:val="246"/>
        </w:trPr>
        <w:tc>
          <w:tcPr>
            <w:tcW w:w="40" w:type="dxa"/>
            <w:vAlign w:val="bottom"/>
          </w:tcPr>
          <w:p>
            <w:pPr>
              <w:spacing w:after="0"/>
              <w:rPr>
                <w:sz w:val="21"/>
                <w:szCs w:val="21"/>
                <w:color w:val="auto"/>
              </w:rPr>
            </w:pPr>
          </w:p>
        </w:tc>
        <w:tc>
          <w:tcPr>
            <w:tcW w:w="7540" w:type="dxa"/>
            <w:vAlign w:val="bottom"/>
            <w:gridSpan w:val="3"/>
          </w:tcPr>
          <w:p>
            <w:pPr>
              <w:ind w:left="140"/>
              <w:spacing w:after="0"/>
              <w:rPr>
                <w:sz w:val="20"/>
                <w:szCs w:val="20"/>
                <w:color w:val="auto"/>
              </w:rPr>
            </w:pPr>
            <w:r>
              <w:rPr>
                <w:rFonts w:ascii="Times New Roman" w:cs="Times New Roman" w:eastAsia="Times New Roman" w:hAnsi="Times New Roman"/>
                <w:sz w:val="20"/>
                <w:szCs w:val="20"/>
                <w:b w:val="1"/>
                <w:bCs w:val="1"/>
                <w:color w:val="auto"/>
              </w:rPr>
              <w:t>Gross property, plant, and equipment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56,710</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61,945</w:t>
            </w:r>
          </w:p>
        </w:tc>
      </w:tr>
      <w:tr>
        <w:trPr>
          <w:trHeight w:val="284"/>
        </w:trPr>
        <w:tc>
          <w:tcPr>
            <w:tcW w:w="40" w:type="dxa"/>
            <w:vAlign w:val="bottom"/>
            <w:shd w:val="clear" w:color="auto" w:fill="D2EEF5"/>
          </w:tcPr>
          <w:p>
            <w:pPr>
              <w:spacing w:after="0"/>
              <w:rPr>
                <w:sz w:val="24"/>
                <w:szCs w:val="24"/>
                <w:color w:val="auto"/>
              </w:rPr>
            </w:pPr>
          </w:p>
        </w:tc>
        <w:tc>
          <w:tcPr>
            <w:tcW w:w="7480" w:type="dxa"/>
            <w:vAlign w:val="bottom"/>
            <w:shd w:val="clear" w:color="auto" w:fill="D2EEF5"/>
          </w:tcPr>
          <w:p>
            <w:pPr>
              <w:spacing w:after="0"/>
              <w:rPr>
                <w:sz w:val="20"/>
                <w:szCs w:val="20"/>
                <w:color w:val="auto"/>
              </w:rPr>
            </w:pPr>
            <w:r>
              <w:rPr>
                <w:rFonts w:ascii="Times New Roman" w:cs="Times New Roman" w:eastAsia="Times New Roman" w:hAnsi="Times New Roman"/>
                <w:sz w:val="20"/>
                <w:szCs w:val="20"/>
                <w:color w:val="auto"/>
              </w:rPr>
              <w:t>Less: accumulated depreciation</w:t>
            </w:r>
          </w:p>
        </w:tc>
        <w:tc>
          <w:tcPr>
            <w:tcW w:w="4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300" w:type="dxa"/>
            <w:vAlign w:val="bottom"/>
            <w:tcBorders>
              <w:bottom w:val="single" w:sz="8" w:color="auto"/>
            </w:tcBorders>
            <w:shd w:val="clear" w:color="auto" w:fill="D2EEF5"/>
          </w:tcPr>
          <w:p>
            <w:pPr>
              <w:spacing w:after="0"/>
              <w:rPr>
                <w:sz w:val="24"/>
                <w:szCs w:val="24"/>
                <w:color w:val="auto"/>
              </w:rPr>
            </w:pPr>
          </w:p>
        </w:tc>
        <w:tc>
          <w:tcPr>
            <w:tcW w:w="10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(26,376)</w:t>
            </w:r>
          </w:p>
        </w:tc>
        <w:tc>
          <w:tcPr>
            <w:tcW w:w="60" w:type="dxa"/>
            <w:vAlign w:val="bottom"/>
            <w:shd w:val="clear" w:color="auto" w:fill="D2EEF5"/>
          </w:tcPr>
          <w:p>
            <w:pPr>
              <w:spacing w:after="0"/>
              <w:rPr>
                <w:sz w:val="24"/>
                <w:szCs w:val="24"/>
                <w:color w:val="auto"/>
              </w:rPr>
            </w:pPr>
          </w:p>
        </w:tc>
        <w:tc>
          <w:tcPr>
            <w:tcW w:w="300" w:type="dxa"/>
            <w:vAlign w:val="bottom"/>
            <w:tcBorders>
              <w:bottom w:val="single" w:sz="8" w:color="auto"/>
            </w:tcBorders>
            <w:shd w:val="clear" w:color="auto" w:fill="D2EEF5"/>
          </w:tcPr>
          <w:p>
            <w:pPr>
              <w:spacing w:after="0"/>
              <w:rPr>
                <w:sz w:val="24"/>
                <w:szCs w:val="24"/>
                <w:color w:val="auto"/>
              </w:rPr>
            </w:pPr>
          </w:p>
        </w:tc>
        <w:tc>
          <w:tcPr>
            <w:tcW w:w="10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(24,400)</w:t>
            </w:r>
          </w:p>
        </w:tc>
      </w:tr>
      <w:tr>
        <w:trPr>
          <w:trHeight w:val="268"/>
        </w:trPr>
        <w:tc>
          <w:tcPr>
            <w:tcW w:w="40" w:type="dxa"/>
            <w:vAlign w:val="bottom"/>
          </w:tcPr>
          <w:p>
            <w:pPr>
              <w:spacing w:after="0"/>
              <w:rPr>
                <w:sz w:val="23"/>
                <w:szCs w:val="23"/>
                <w:color w:val="auto"/>
              </w:rPr>
            </w:pPr>
          </w:p>
        </w:tc>
        <w:tc>
          <w:tcPr>
            <w:tcW w:w="7540" w:type="dxa"/>
            <w:vAlign w:val="bottom"/>
            <w:gridSpan w:val="3"/>
          </w:tcPr>
          <w:p>
            <w:pPr>
              <w:ind w:left="140"/>
              <w:spacing w:after="0"/>
              <w:rPr>
                <w:sz w:val="20"/>
                <w:szCs w:val="20"/>
                <w:color w:val="auto"/>
              </w:rPr>
            </w:pPr>
            <w:r>
              <w:rPr>
                <w:rFonts w:ascii="Times New Roman" w:cs="Times New Roman" w:eastAsia="Times New Roman" w:hAnsi="Times New Roman"/>
                <w:sz w:val="20"/>
                <w:szCs w:val="20"/>
                <w:b w:val="1"/>
                <w:bCs w:val="1"/>
                <w:color w:val="auto"/>
              </w:rPr>
              <w:t>Total property, plant, and equipment, net</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30,334</w:t>
            </w:r>
          </w:p>
        </w:tc>
        <w:tc>
          <w:tcPr>
            <w:tcW w:w="60" w:type="dxa"/>
            <w:vAlign w:val="bottom"/>
          </w:tcPr>
          <w:p>
            <w:pPr>
              <w:spacing w:after="0"/>
              <w:rPr>
                <w:sz w:val="23"/>
                <w:szCs w:val="23"/>
                <w:color w:val="auto"/>
              </w:rPr>
            </w:pP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37,545</w:t>
            </w:r>
          </w:p>
        </w:tc>
      </w:tr>
      <w:tr>
        <w:trPr>
          <w:trHeight w:val="20"/>
        </w:trPr>
        <w:tc>
          <w:tcPr>
            <w:tcW w:w="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both"/>
        <w:ind w:firstLine="720"/>
        <w:spacing w:after="0" w:line="263" w:lineRule="auto"/>
        <w:rPr>
          <w:sz w:val="20"/>
          <w:szCs w:val="20"/>
          <w:color w:val="auto"/>
        </w:rPr>
      </w:pPr>
      <w:r>
        <w:rPr>
          <w:rFonts w:ascii="Times New Roman" w:cs="Times New Roman" w:eastAsia="Times New Roman" w:hAnsi="Times New Roman"/>
          <w:sz w:val="20"/>
          <w:szCs w:val="20"/>
          <w:color w:val="auto"/>
        </w:rPr>
        <w:t xml:space="preserve">Depreciation, depletion and amortization expense related to property, plant, and equipment, net was $5,348 and $6,693 for the years ended December 31, 2025, and 2024, respectively. As noted in Note 5 – </w:t>
      </w:r>
      <w:r>
        <w:rPr>
          <w:rFonts w:ascii="Times New Roman" w:cs="Times New Roman" w:eastAsia="Times New Roman" w:hAnsi="Times New Roman"/>
          <w:sz w:val="20"/>
          <w:szCs w:val="20"/>
          <w:i w:val="1"/>
          <w:iCs w:val="1"/>
          <w:color w:val="auto"/>
        </w:rPr>
        <w:t>Intangible Assets</w:t>
      </w:r>
      <w:r>
        <w:rPr>
          <w:rFonts w:ascii="Times New Roman" w:cs="Times New Roman" w:eastAsia="Times New Roman" w:hAnsi="Times New Roman"/>
          <w:sz w:val="20"/>
          <w:szCs w:val="20"/>
          <w:color w:val="auto"/>
        </w:rPr>
        <w:t>, the Company recorded impairment charges of $3,784 for property, plant, and equipment during the year ended December 31, 2025. The impairment charges were primarily related to Leasehold improvements, Land, and Building and improvements.</w:t>
      </w:r>
    </w:p>
    <w:p>
      <w:pPr>
        <w:spacing w:after="0" w:line="151" w:lineRule="exact"/>
        <w:rPr>
          <w:sz w:val="20"/>
          <w:szCs w:val="20"/>
          <w:color w:val="auto"/>
        </w:rPr>
      </w:pPr>
    </w:p>
    <w:p>
      <w:pPr>
        <w:jc w:val="both"/>
        <w:ind w:firstLine="720"/>
        <w:spacing w:after="0" w:line="263" w:lineRule="auto"/>
        <w:rPr>
          <w:sz w:val="20"/>
          <w:szCs w:val="20"/>
          <w:color w:val="auto"/>
        </w:rPr>
      </w:pPr>
      <w:r>
        <w:rPr>
          <w:rFonts w:ascii="Times New Roman" w:cs="Times New Roman" w:eastAsia="Times New Roman" w:hAnsi="Times New Roman"/>
          <w:sz w:val="20"/>
          <w:szCs w:val="20"/>
          <w:color w:val="auto"/>
        </w:rPr>
        <w:t>As of December 31, 2025, Land, Building and improvements, Computer equipment, and Machinery and equipment contain finance leases assets, recorded at cost of $9,817, less accumulated depreciation of $3,242. As of December 31, 2024, Land, Building and improvements, Computer equipment, and Machinery and equipment contain finance leases assets, recorded at cost of $9,823, less accumulated depreciation of $2,544.</w:t>
      </w:r>
    </w:p>
    <w:p>
      <w:pPr>
        <w:spacing w:after="0" w:line="152"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The Company operates peat bogs in Alberta, Canada. Under current provincial laws the Company is subject to certain AROs and the remediation of the peat bog sites are under provincial oversight. The Company periodically evaluates expected remediation costs associated with the peat bog sites that it operates. When the Company concludes that it is probable that a liability has been incurred, a provision is made for management's estimate of the liability. As of December 31, 2025, and 2024, the Company had AROs of $170 and $284, respectively, recorded in accrued expenses and other current liabilities on the consolidated balance sheets. As of December 31, 2025, and 2024, the Company had AROs of $4,668 and $4,232, respectively, recorded in other long-term liabilities on the consolidated balance sheets.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758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The following table presents changes in AROs for the following periods:</w:t>
            </w: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537"/>
        </w:trPr>
        <w:tc>
          <w:tcPr>
            <w:tcW w:w="7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w w:val="99"/>
              </w:rPr>
              <w:t>Years ended December 31,</w:t>
            </w:r>
          </w:p>
        </w:tc>
      </w:tr>
      <w:tr>
        <w:trPr>
          <w:trHeight w:val="294"/>
        </w:trPr>
        <w:tc>
          <w:tcPr>
            <w:tcW w:w="7560" w:type="dxa"/>
            <w:vAlign w:val="bottom"/>
            <w:tcBorders>
              <w:bottom w:val="single" w:sz="8" w:color="D2EEF5"/>
            </w:tcBorders>
          </w:tcPr>
          <w:p>
            <w:pPr>
              <w:spacing w:after="0"/>
              <w:rPr>
                <w:sz w:val="24"/>
                <w:szCs w:val="24"/>
                <w:color w:val="auto"/>
              </w:rPr>
            </w:pPr>
          </w:p>
        </w:tc>
        <w:tc>
          <w:tcPr>
            <w:tcW w:w="20" w:type="dxa"/>
            <w:vAlign w:val="bottom"/>
            <w:tcBorders>
              <w:bottom w:val="single" w:sz="8" w:color="D2EEF5"/>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Borders>
              <w:bottom w:val="single" w:sz="8" w:color="D2EEF5"/>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96"/>
        </w:trPr>
        <w:tc>
          <w:tcPr>
            <w:tcW w:w="7560" w:type="dxa"/>
            <w:vAlign w:val="bottom"/>
            <w:shd w:val="clear" w:color="auto" w:fill="D2EEF5"/>
          </w:tcPr>
          <w:p>
            <w:pPr>
              <w:ind w:left="40"/>
              <w:spacing w:after="0"/>
              <w:rPr>
                <w:sz w:val="20"/>
                <w:szCs w:val="20"/>
                <w:color w:val="auto"/>
              </w:rPr>
            </w:pPr>
            <w:r>
              <w:rPr>
                <w:rFonts w:ascii="Times New Roman" w:cs="Times New Roman" w:eastAsia="Times New Roman" w:hAnsi="Times New Roman"/>
                <w:sz w:val="20"/>
                <w:szCs w:val="20"/>
                <w:b w:val="1"/>
                <w:bCs w:val="1"/>
                <w:color w:val="auto"/>
              </w:rPr>
              <w:t>Balance, beginning of the period</w:t>
            </w:r>
          </w:p>
        </w:tc>
        <w:tc>
          <w:tcPr>
            <w:tcW w:w="20" w:type="dxa"/>
            <w:vAlign w:val="bottom"/>
            <w:shd w:val="clear" w:color="auto" w:fill="D2EEF5"/>
          </w:tcPr>
          <w:p>
            <w:pPr>
              <w:spacing w:after="0"/>
              <w:rPr>
                <w:sz w:val="24"/>
                <w:szCs w:val="24"/>
                <w:color w:val="auto"/>
              </w:rPr>
            </w:pPr>
          </w:p>
        </w:tc>
        <w:tc>
          <w:tcPr>
            <w:tcW w:w="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4,516</w:t>
            </w:r>
          </w:p>
        </w:tc>
        <w:tc>
          <w:tcPr>
            <w:tcW w:w="60" w:type="dxa"/>
            <w:vAlign w:val="bottom"/>
            <w:shd w:val="clear" w:color="auto" w:fill="D2EEF5"/>
          </w:tcPr>
          <w:p>
            <w:pPr>
              <w:spacing w:after="0"/>
              <w:rPr>
                <w:sz w:val="24"/>
                <w:szCs w:val="24"/>
                <w:color w:val="auto"/>
              </w:rPr>
            </w:pPr>
          </w:p>
        </w:tc>
        <w:tc>
          <w:tcPr>
            <w:tcW w:w="300" w:type="dxa"/>
            <w:vAlign w:val="bottom"/>
            <w:shd w:val="clear" w:color="auto" w:fill="D2EEF5"/>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5,216</w:t>
            </w:r>
          </w:p>
        </w:tc>
      </w:tr>
      <w:tr>
        <w:trPr>
          <w:trHeight w:val="310"/>
        </w:trPr>
        <w:tc>
          <w:tcPr>
            <w:tcW w:w="75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Liabilities incurred in the period</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320"/>
        </w:trPr>
        <w:tc>
          <w:tcPr>
            <w:tcW w:w="7560" w:type="dxa"/>
            <w:vAlign w:val="bottom"/>
            <w:shd w:val="clear" w:color="auto" w:fill="D2EEF5"/>
          </w:tcPr>
          <w:p>
            <w:pPr>
              <w:ind w:left="40"/>
              <w:spacing w:after="0"/>
              <w:rPr>
                <w:sz w:val="20"/>
                <w:szCs w:val="20"/>
                <w:color w:val="auto"/>
              </w:rPr>
            </w:pPr>
            <w:r>
              <w:rPr>
                <w:rFonts w:ascii="Times New Roman" w:cs="Times New Roman" w:eastAsia="Times New Roman" w:hAnsi="Times New Roman"/>
                <w:sz w:val="20"/>
                <w:szCs w:val="20"/>
                <w:color w:val="auto"/>
              </w:rPr>
              <w:t>Liabilities settled in the period</w:t>
            </w:r>
          </w:p>
        </w:tc>
        <w:tc>
          <w:tcPr>
            <w:tcW w:w="20" w:type="dxa"/>
            <w:vAlign w:val="bottom"/>
            <w:shd w:val="clear" w:color="auto" w:fill="D2EEF5"/>
          </w:tcPr>
          <w:p>
            <w:pPr>
              <w:spacing w:after="0"/>
              <w:rPr>
                <w:sz w:val="24"/>
                <w:szCs w:val="24"/>
                <w:color w:val="auto"/>
              </w:rPr>
            </w:pPr>
          </w:p>
        </w:tc>
        <w:tc>
          <w:tcPr>
            <w:tcW w:w="180" w:type="dxa"/>
            <w:vAlign w:val="bottom"/>
            <w:shd w:val="clear" w:color="auto" w:fill="D2EEF5"/>
          </w:tcPr>
          <w:p>
            <w:pPr>
              <w:spacing w:after="0"/>
              <w:rPr>
                <w:sz w:val="24"/>
                <w:szCs w:val="24"/>
                <w:color w:val="auto"/>
              </w:rPr>
            </w:pPr>
          </w:p>
        </w:tc>
        <w:tc>
          <w:tcPr>
            <w:tcW w:w="11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(126)</w:t>
            </w:r>
          </w:p>
        </w:tc>
        <w:tc>
          <w:tcPr>
            <w:tcW w:w="60" w:type="dxa"/>
            <w:vAlign w:val="bottom"/>
            <w:shd w:val="clear" w:color="auto" w:fill="D2EEF5"/>
          </w:tcPr>
          <w:p>
            <w:pPr>
              <w:spacing w:after="0"/>
              <w:rPr>
                <w:sz w:val="24"/>
                <w:szCs w:val="24"/>
                <w:color w:val="auto"/>
              </w:rPr>
            </w:pPr>
          </w:p>
        </w:tc>
        <w:tc>
          <w:tcPr>
            <w:tcW w:w="300" w:type="dxa"/>
            <w:vAlign w:val="bottom"/>
            <w:shd w:val="clear" w:color="auto" w:fill="D2EEF5"/>
          </w:tcPr>
          <w:p>
            <w:pPr>
              <w:spacing w:after="0"/>
              <w:rPr>
                <w:sz w:val="24"/>
                <w:szCs w:val="24"/>
                <w:color w:val="auto"/>
              </w:rPr>
            </w:pPr>
          </w:p>
        </w:tc>
        <w:tc>
          <w:tcPr>
            <w:tcW w:w="10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(474)</w:t>
            </w:r>
          </w:p>
        </w:tc>
      </w:tr>
      <w:tr>
        <w:trPr>
          <w:trHeight w:val="310"/>
        </w:trPr>
        <w:tc>
          <w:tcPr>
            <w:tcW w:w="75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Accretion expense</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159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165</w:t>
            </w:r>
          </w:p>
        </w:tc>
      </w:tr>
      <w:tr>
        <w:trPr>
          <w:trHeight w:val="319"/>
        </w:trPr>
        <w:tc>
          <w:tcPr>
            <w:tcW w:w="7560" w:type="dxa"/>
            <w:vAlign w:val="bottom"/>
            <w:shd w:val="clear" w:color="auto" w:fill="D2EEF5"/>
          </w:tcPr>
          <w:p>
            <w:pPr>
              <w:ind w:left="40"/>
              <w:spacing w:after="0"/>
              <w:rPr>
                <w:sz w:val="20"/>
                <w:szCs w:val="20"/>
                <w:color w:val="auto"/>
              </w:rPr>
            </w:pPr>
            <w:r>
              <w:rPr>
                <w:rFonts w:ascii="Times New Roman" w:cs="Times New Roman" w:eastAsia="Times New Roman" w:hAnsi="Times New Roman"/>
                <w:sz w:val="20"/>
                <w:szCs w:val="20"/>
                <w:color w:val="auto"/>
              </w:rPr>
              <w:t>Other</w:t>
            </w:r>
          </w:p>
        </w:tc>
        <w:tc>
          <w:tcPr>
            <w:tcW w:w="20" w:type="dxa"/>
            <w:vAlign w:val="bottom"/>
            <w:shd w:val="clear" w:color="auto" w:fill="D2EEF5"/>
          </w:tcPr>
          <w:p>
            <w:pPr>
              <w:spacing w:after="0"/>
              <w:rPr>
                <w:sz w:val="24"/>
                <w:szCs w:val="24"/>
                <w:color w:val="auto"/>
              </w:rPr>
            </w:pPr>
          </w:p>
        </w:tc>
        <w:tc>
          <w:tcPr>
            <w:tcW w:w="180" w:type="dxa"/>
            <w:vAlign w:val="bottom"/>
            <w:tcBorders>
              <w:bottom w:val="single" w:sz="8" w:color="auto"/>
            </w:tcBorders>
            <w:shd w:val="clear" w:color="auto" w:fill="D2EEF5"/>
          </w:tcPr>
          <w:p>
            <w:pPr>
              <w:spacing w:after="0"/>
              <w:rPr>
                <w:sz w:val="24"/>
                <w:szCs w:val="24"/>
                <w:color w:val="auto"/>
              </w:rPr>
            </w:pPr>
          </w:p>
        </w:tc>
        <w:tc>
          <w:tcPr>
            <w:tcW w:w="11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221</w:t>
            </w:r>
          </w:p>
        </w:tc>
        <w:tc>
          <w:tcPr>
            <w:tcW w:w="60" w:type="dxa"/>
            <w:vAlign w:val="bottom"/>
            <w:shd w:val="clear" w:color="auto" w:fill="D2EEF5"/>
          </w:tcPr>
          <w:p>
            <w:pPr>
              <w:spacing w:after="0"/>
              <w:rPr>
                <w:sz w:val="24"/>
                <w:szCs w:val="24"/>
                <w:color w:val="auto"/>
              </w:rPr>
            </w:pPr>
          </w:p>
        </w:tc>
        <w:tc>
          <w:tcPr>
            <w:tcW w:w="300" w:type="dxa"/>
            <w:vAlign w:val="bottom"/>
            <w:tcBorders>
              <w:bottom w:val="single" w:sz="8" w:color="auto"/>
            </w:tcBorders>
            <w:shd w:val="clear" w:color="auto" w:fill="D2EEF5"/>
          </w:tcPr>
          <w:p>
            <w:pPr>
              <w:spacing w:after="0"/>
              <w:rPr>
                <w:sz w:val="24"/>
                <w:szCs w:val="24"/>
                <w:color w:val="auto"/>
              </w:rPr>
            </w:pPr>
          </w:p>
        </w:tc>
        <w:tc>
          <w:tcPr>
            <w:tcW w:w="10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(391)</w:t>
            </w:r>
          </w:p>
        </w:tc>
      </w:tr>
      <w:tr>
        <w:trPr>
          <w:trHeight w:val="297"/>
        </w:trPr>
        <w:tc>
          <w:tcPr>
            <w:tcW w:w="758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Balance, end of the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4,838</w:t>
            </w:r>
          </w:p>
        </w:tc>
        <w:tc>
          <w:tcPr>
            <w:tcW w:w="60" w:type="dxa"/>
            <w:vAlign w:val="bottom"/>
          </w:tcPr>
          <w:p>
            <w:pPr>
              <w:spacing w:after="0"/>
              <w:rPr>
                <w:sz w:val="24"/>
                <w:szCs w:val="24"/>
                <w:color w:val="auto"/>
              </w:rPr>
            </w:pP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4,516</w:t>
            </w:r>
          </w:p>
        </w:tc>
      </w:tr>
      <w:tr>
        <w:trPr>
          <w:trHeight w:val="20"/>
        </w:trPr>
        <w:tc>
          <w:tcPr>
            <w:tcW w:w="75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260"/>
          </w:cols>
          <w:pgMar w:left="1000" w:top="4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10260"/>
          </w:cols>
          <w:pgMar w:left="1000" w:top="420" w:right="980" w:bottom="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Hydrofarm Holdings Group, Inc.</w:t>
      </w:r>
    </w:p>
    <w:p>
      <w:pPr>
        <w:spacing w:after="0" w:line="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75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10. ACCRUED EXPENSES AND OTHER CURRENT LIABILITIES</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6"/>
        </w:trPr>
        <w:tc>
          <w:tcPr>
            <w:tcW w:w="40" w:type="dxa"/>
            <w:vAlign w:val="bottom"/>
          </w:tcPr>
          <w:p>
            <w:pPr>
              <w:spacing w:after="0"/>
              <w:rPr>
                <w:sz w:val="24"/>
                <w:szCs w:val="24"/>
                <w:color w:val="auto"/>
              </w:rPr>
            </w:pPr>
          </w:p>
        </w:tc>
        <w:tc>
          <w:tcPr>
            <w:tcW w:w="7540" w:type="dxa"/>
            <w:vAlign w:val="bottom"/>
            <w:gridSpan w:val="3"/>
          </w:tcPr>
          <w:p>
            <w:pPr>
              <w:ind w:left="680"/>
              <w:spacing w:after="0"/>
              <w:rPr>
                <w:sz w:val="20"/>
                <w:szCs w:val="20"/>
                <w:color w:val="auto"/>
              </w:rPr>
            </w:pPr>
            <w:r>
              <w:rPr>
                <w:rFonts w:ascii="Times New Roman" w:cs="Times New Roman" w:eastAsia="Times New Roman" w:hAnsi="Times New Roman"/>
                <w:sz w:val="20"/>
                <w:szCs w:val="20"/>
                <w:color w:val="auto"/>
              </w:rPr>
              <w:t>Accrued expenses and other current liabilities comprised the following:</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4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jc w:val="right"/>
              <w:ind w:right="6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66"/>
        </w:trPr>
        <w:tc>
          <w:tcPr>
            <w:tcW w:w="40" w:type="dxa"/>
            <w:vAlign w:val="bottom"/>
            <w:tcBorders>
              <w:bottom w:val="single" w:sz="8" w:color="D2EEF5"/>
            </w:tcBorders>
          </w:tcPr>
          <w:p>
            <w:pPr>
              <w:spacing w:after="0"/>
              <w:rPr>
                <w:sz w:val="23"/>
                <w:szCs w:val="23"/>
                <w:color w:val="auto"/>
              </w:rPr>
            </w:pPr>
          </w:p>
        </w:tc>
        <w:tc>
          <w:tcPr>
            <w:tcW w:w="7460" w:type="dxa"/>
            <w:vAlign w:val="bottom"/>
            <w:tcBorders>
              <w:bottom w:val="single" w:sz="8" w:color="D2EEF5"/>
            </w:tcBorders>
          </w:tcPr>
          <w:p>
            <w:pPr>
              <w:spacing w:after="0"/>
              <w:rPr>
                <w:sz w:val="23"/>
                <w:szCs w:val="23"/>
                <w:color w:val="auto"/>
              </w:rPr>
            </w:pPr>
          </w:p>
        </w:tc>
        <w:tc>
          <w:tcPr>
            <w:tcW w:w="60" w:type="dxa"/>
            <w:vAlign w:val="bottom"/>
            <w:tcBorders>
              <w:bottom w:val="single" w:sz="8" w:color="D2EEF5"/>
            </w:tcBorders>
          </w:tcPr>
          <w:p>
            <w:pPr>
              <w:spacing w:after="0"/>
              <w:rPr>
                <w:sz w:val="23"/>
                <w:szCs w:val="23"/>
                <w:color w:val="auto"/>
              </w:rPr>
            </w:pPr>
          </w:p>
        </w:tc>
        <w:tc>
          <w:tcPr>
            <w:tcW w:w="20" w:type="dxa"/>
            <w:vAlign w:val="bottom"/>
            <w:tcBorders>
              <w:bottom w:val="single" w:sz="8" w:color="D2EEF5"/>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Borders>
              <w:bottom w:val="single" w:sz="8" w:color="D2EEF5"/>
            </w:tcBorders>
          </w:tcPr>
          <w:p>
            <w:pPr>
              <w:spacing w:after="0"/>
              <w:rPr>
                <w:sz w:val="23"/>
                <w:szCs w:val="23"/>
                <w:color w:val="auto"/>
              </w:rPr>
            </w:pPr>
          </w:p>
        </w:tc>
        <w:tc>
          <w:tcPr>
            <w:tcW w:w="20" w:type="dxa"/>
            <w:vAlign w:val="bottom"/>
            <w:tcBorders>
              <w:bottom w:val="single" w:sz="8" w:color="D2EEF5"/>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0" w:type="dxa"/>
            <w:vAlign w:val="bottom"/>
          </w:tcPr>
          <w:p>
            <w:pPr>
              <w:spacing w:after="0"/>
              <w:rPr>
                <w:sz w:val="1"/>
                <w:szCs w:val="1"/>
                <w:color w:val="auto"/>
              </w:rPr>
            </w:pPr>
          </w:p>
        </w:tc>
      </w:tr>
      <w:tr>
        <w:trPr>
          <w:trHeight w:val="264"/>
        </w:trPr>
        <w:tc>
          <w:tcPr>
            <w:tcW w:w="40" w:type="dxa"/>
            <w:vAlign w:val="bottom"/>
            <w:shd w:val="clear" w:color="auto" w:fill="D2EEF5"/>
          </w:tcPr>
          <w:p>
            <w:pPr>
              <w:spacing w:after="0"/>
              <w:rPr>
                <w:sz w:val="22"/>
                <w:szCs w:val="22"/>
                <w:color w:val="auto"/>
              </w:rPr>
            </w:pPr>
          </w:p>
        </w:tc>
        <w:tc>
          <w:tcPr>
            <w:tcW w:w="7460" w:type="dxa"/>
            <w:vAlign w:val="bottom"/>
            <w:shd w:val="clear" w:color="auto" w:fill="D2EEF5"/>
          </w:tcPr>
          <w:p>
            <w:pPr>
              <w:spacing w:after="0"/>
              <w:rPr>
                <w:sz w:val="20"/>
                <w:szCs w:val="20"/>
                <w:color w:val="auto"/>
              </w:rPr>
            </w:pPr>
            <w:r>
              <w:rPr>
                <w:rFonts w:ascii="Times New Roman" w:cs="Times New Roman" w:eastAsia="Times New Roman" w:hAnsi="Times New Roman"/>
                <w:sz w:val="20"/>
                <w:szCs w:val="20"/>
                <w:color w:val="auto"/>
              </w:rPr>
              <w:t>Accrued compensation and benefits</w:t>
            </w:r>
          </w:p>
        </w:tc>
        <w:tc>
          <w:tcPr>
            <w:tcW w:w="60" w:type="dxa"/>
            <w:vAlign w:val="bottom"/>
            <w:shd w:val="clear" w:color="auto" w:fill="D2EEF5"/>
          </w:tcPr>
          <w:p>
            <w:pPr>
              <w:spacing w:after="0"/>
              <w:rPr>
                <w:sz w:val="22"/>
                <w:szCs w:val="22"/>
                <w:color w:val="auto"/>
              </w:rPr>
            </w:pPr>
          </w:p>
        </w:tc>
        <w:tc>
          <w:tcPr>
            <w:tcW w:w="20" w:type="dxa"/>
            <w:vAlign w:val="bottom"/>
            <w:shd w:val="clear" w:color="auto" w:fill="D2EEF5"/>
          </w:tcPr>
          <w:p>
            <w:pPr>
              <w:spacing w:after="0"/>
              <w:rPr>
                <w:sz w:val="22"/>
                <w:szCs w:val="22"/>
                <w:color w:val="auto"/>
              </w:rPr>
            </w:pPr>
          </w:p>
        </w:tc>
        <w:tc>
          <w:tcPr>
            <w:tcW w:w="300" w:type="dxa"/>
            <w:vAlign w:val="bottom"/>
            <w:shd w:val="clear" w:color="auto" w:fill="D2EEF5"/>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2,096</w:t>
            </w:r>
          </w:p>
        </w:tc>
        <w:tc>
          <w:tcPr>
            <w:tcW w:w="60" w:type="dxa"/>
            <w:vAlign w:val="bottom"/>
            <w:shd w:val="clear" w:color="auto" w:fill="D2EEF5"/>
          </w:tcPr>
          <w:p>
            <w:pPr>
              <w:spacing w:after="0"/>
              <w:rPr>
                <w:sz w:val="22"/>
                <w:szCs w:val="22"/>
                <w:color w:val="auto"/>
              </w:rPr>
            </w:pPr>
          </w:p>
        </w:tc>
        <w:tc>
          <w:tcPr>
            <w:tcW w:w="20" w:type="dxa"/>
            <w:vAlign w:val="bottom"/>
            <w:shd w:val="clear" w:color="auto" w:fill="D2EEF5"/>
          </w:tcPr>
          <w:p>
            <w:pPr>
              <w:spacing w:after="0"/>
              <w:rPr>
                <w:sz w:val="22"/>
                <w:szCs w:val="22"/>
                <w:color w:val="auto"/>
              </w:rPr>
            </w:pPr>
          </w:p>
        </w:tc>
        <w:tc>
          <w:tcPr>
            <w:tcW w:w="280" w:type="dxa"/>
            <w:vAlign w:val="bottom"/>
            <w:shd w:val="clear" w:color="auto" w:fill="D2EEF5"/>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1,987</w:t>
            </w: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75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Interest accrual</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1,902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2,141</w:t>
            </w:r>
          </w:p>
        </w:tc>
        <w:tc>
          <w:tcPr>
            <w:tcW w:w="0" w:type="dxa"/>
            <w:vAlign w:val="bottom"/>
          </w:tcPr>
          <w:p>
            <w:pPr>
              <w:spacing w:after="0"/>
              <w:rPr>
                <w:sz w:val="1"/>
                <w:szCs w:val="1"/>
                <w:color w:val="auto"/>
              </w:rPr>
            </w:pPr>
          </w:p>
        </w:tc>
      </w:tr>
      <w:tr>
        <w:trPr>
          <w:trHeight w:val="289"/>
        </w:trPr>
        <w:tc>
          <w:tcPr>
            <w:tcW w:w="40" w:type="dxa"/>
            <w:vAlign w:val="bottom"/>
            <w:shd w:val="clear" w:color="auto" w:fill="D2EEF5"/>
          </w:tcPr>
          <w:p>
            <w:pPr>
              <w:spacing w:after="0"/>
              <w:rPr>
                <w:sz w:val="24"/>
                <w:szCs w:val="24"/>
                <w:color w:val="auto"/>
              </w:rPr>
            </w:pPr>
          </w:p>
        </w:tc>
        <w:tc>
          <w:tcPr>
            <w:tcW w:w="7460" w:type="dxa"/>
            <w:vAlign w:val="bottom"/>
            <w:shd w:val="clear" w:color="auto" w:fill="D2EEF5"/>
          </w:tcPr>
          <w:p>
            <w:pPr>
              <w:spacing w:after="0"/>
              <w:rPr>
                <w:sz w:val="20"/>
                <w:szCs w:val="20"/>
                <w:color w:val="auto"/>
              </w:rPr>
            </w:pPr>
            <w:r>
              <w:rPr>
                <w:rFonts w:ascii="Times New Roman" w:cs="Times New Roman" w:eastAsia="Times New Roman" w:hAnsi="Times New Roman"/>
                <w:sz w:val="20"/>
                <w:szCs w:val="20"/>
                <w:color w:val="auto"/>
              </w:rPr>
              <w:t>Freight, custom and duty accrual</w:t>
            </w:r>
          </w:p>
        </w:tc>
        <w:tc>
          <w:tcPr>
            <w:tcW w:w="6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300" w:type="dxa"/>
            <w:vAlign w:val="bottom"/>
            <w:shd w:val="clear" w:color="auto" w:fill="D2EEF5"/>
          </w:tcPr>
          <w:p>
            <w:pPr>
              <w:spacing w:after="0"/>
              <w:rPr>
                <w:sz w:val="24"/>
                <w:szCs w:val="24"/>
                <w:color w:val="auto"/>
              </w:rPr>
            </w:pP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727</w:t>
            </w:r>
          </w:p>
        </w:tc>
        <w:tc>
          <w:tcPr>
            <w:tcW w:w="6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280" w:type="dxa"/>
            <w:vAlign w:val="bottom"/>
            <w:shd w:val="clear" w:color="auto" w:fill="D2EEF5"/>
          </w:tcPr>
          <w:p>
            <w:pPr>
              <w:spacing w:after="0"/>
              <w:rPr>
                <w:sz w:val="24"/>
                <w:szCs w:val="24"/>
                <w:color w:val="auto"/>
              </w:rPr>
            </w:pPr>
          </w:p>
        </w:tc>
        <w:tc>
          <w:tcPr>
            <w:tcW w:w="10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1,130</w:t>
            </w: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75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Goods in transit accrual</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361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574</w:t>
            </w:r>
          </w:p>
        </w:tc>
        <w:tc>
          <w:tcPr>
            <w:tcW w:w="0" w:type="dxa"/>
            <w:vAlign w:val="bottom"/>
          </w:tcPr>
          <w:p>
            <w:pPr>
              <w:spacing w:after="0"/>
              <w:rPr>
                <w:sz w:val="1"/>
                <w:szCs w:val="1"/>
                <w:color w:val="auto"/>
              </w:rPr>
            </w:pPr>
          </w:p>
        </w:tc>
      </w:tr>
      <w:tr>
        <w:trPr>
          <w:trHeight w:val="289"/>
        </w:trPr>
        <w:tc>
          <w:tcPr>
            <w:tcW w:w="40" w:type="dxa"/>
            <w:vAlign w:val="bottom"/>
            <w:shd w:val="clear" w:color="auto" w:fill="D2EEF5"/>
          </w:tcPr>
          <w:p>
            <w:pPr>
              <w:spacing w:after="0"/>
              <w:rPr>
                <w:sz w:val="24"/>
                <w:szCs w:val="24"/>
                <w:color w:val="auto"/>
              </w:rPr>
            </w:pPr>
          </w:p>
        </w:tc>
        <w:tc>
          <w:tcPr>
            <w:tcW w:w="7460" w:type="dxa"/>
            <w:vAlign w:val="bottom"/>
            <w:shd w:val="clear" w:color="auto" w:fill="D2EEF5"/>
          </w:tcPr>
          <w:p>
            <w:pPr>
              <w:spacing w:after="0"/>
              <w:rPr>
                <w:sz w:val="20"/>
                <w:szCs w:val="20"/>
                <w:color w:val="auto"/>
              </w:rPr>
            </w:pPr>
            <w:r>
              <w:rPr>
                <w:rFonts w:ascii="Times New Roman" w:cs="Times New Roman" w:eastAsia="Times New Roman" w:hAnsi="Times New Roman"/>
                <w:sz w:val="20"/>
                <w:szCs w:val="20"/>
                <w:color w:val="auto"/>
              </w:rPr>
              <w:t>Income tax accrual</w:t>
            </w:r>
          </w:p>
        </w:tc>
        <w:tc>
          <w:tcPr>
            <w:tcW w:w="6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300" w:type="dxa"/>
            <w:vAlign w:val="bottom"/>
            <w:shd w:val="clear" w:color="auto" w:fill="D2EEF5"/>
          </w:tcPr>
          <w:p>
            <w:pPr>
              <w:spacing w:after="0"/>
              <w:rPr>
                <w:sz w:val="24"/>
                <w:szCs w:val="24"/>
                <w:color w:val="auto"/>
              </w:rPr>
            </w:pP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66</w:t>
            </w:r>
          </w:p>
        </w:tc>
        <w:tc>
          <w:tcPr>
            <w:tcW w:w="6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280" w:type="dxa"/>
            <w:vAlign w:val="bottom"/>
            <w:shd w:val="clear" w:color="auto" w:fill="D2EEF5"/>
          </w:tcPr>
          <w:p>
            <w:pPr>
              <w:spacing w:after="0"/>
              <w:rPr>
                <w:sz w:val="24"/>
                <w:szCs w:val="24"/>
                <w:color w:val="auto"/>
              </w:rPr>
            </w:pPr>
          </w:p>
        </w:tc>
        <w:tc>
          <w:tcPr>
            <w:tcW w:w="10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127</w:t>
            </w: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75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Asset retirement obligations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170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284</w:t>
            </w:r>
          </w:p>
        </w:tc>
        <w:tc>
          <w:tcPr>
            <w:tcW w:w="0" w:type="dxa"/>
            <w:vAlign w:val="bottom"/>
          </w:tcPr>
          <w:p>
            <w:pPr>
              <w:spacing w:after="0"/>
              <w:rPr>
                <w:sz w:val="1"/>
                <w:szCs w:val="1"/>
                <w:color w:val="auto"/>
              </w:rPr>
            </w:pPr>
          </w:p>
        </w:tc>
      </w:tr>
      <w:tr>
        <w:trPr>
          <w:trHeight w:val="289"/>
        </w:trPr>
        <w:tc>
          <w:tcPr>
            <w:tcW w:w="40" w:type="dxa"/>
            <w:vAlign w:val="bottom"/>
            <w:shd w:val="clear" w:color="auto" w:fill="D2EEF5"/>
          </w:tcPr>
          <w:p>
            <w:pPr>
              <w:spacing w:after="0"/>
              <w:rPr>
                <w:sz w:val="24"/>
                <w:szCs w:val="24"/>
                <w:color w:val="auto"/>
              </w:rPr>
            </w:pPr>
          </w:p>
        </w:tc>
        <w:tc>
          <w:tcPr>
            <w:tcW w:w="7460" w:type="dxa"/>
            <w:vAlign w:val="bottom"/>
            <w:shd w:val="clear" w:color="auto" w:fill="D2EEF5"/>
          </w:tcPr>
          <w:p>
            <w:pPr>
              <w:spacing w:after="0"/>
              <w:rPr>
                <w:sz w:val="20"/>
                <w:szCs w:val="20"/>
                <w:color w:val="auto"/>
              </w:rPr>
            </w:pPr>
            <w:r>
              <w:rPr>
                <w:rFonts w:ascii="Times New Roman" w:cs="Times New Roman" w:eastAsia="Times New Roman" w:hAnsi="Times New Roman"/>
                <w:sz w:val="20"/>
                <w:szCs w:val="20"/>
                <w:color w:val="auto"/>
              </w:rPr>
              <w:t>Other accrued liabilities</w:t>
            </w:r>
          </w:p>
        </w:tc>
        <w:tc>
          <w:tcPr>
            <w:tcW w:w="6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300" w:type="dxa"/>
            <w:vAlign w:val="bottom"/>
            <w:tcBorders>
              <w:bottom w:val="single" w:sz="8" w:color="auto"/>
            </w:tcBorders>
            <w:shd w:val="clear" w:color="auto" w:fill="D2EEF5"/>
          </w:tcPr>
          <w:p>
            <w:pPr>
              <w:spacing w:after="0"/>
              <w:rPr>
                <w:sz w:val="24"/>
                <w:szCs w:val="24"/>
                <w:color w:val="auto"/>
              </w:rPr>
            </w:pPr>
          </w:p>
        </w:tc>
        <w:tc>
          <w:tcPr>
            <w:tcW w:w="10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2,366</w:t>
            </w:r>
          </w:p>
        </w:tc>
        <w:tc>
          <w:tcPr>
            <w:tcW w:w="6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280" w:type="dxa"/>
            <w:vAlign w:val="bottom"/>
            <w:tcBorders>
              <w:bottom w:val="single" w:sz="8" w:color="auto"/>
            </w:tcBorders>
            <w:shd w:val="clear" w:color="auto" w:fill="D2EEF5"/>
          </w:tcPr>
          <w:p>
            <w:pPr>
              <w:spacing w:after="0"/>
              <w:rPr>
                <w:sz w:val="24"/>
                <w:szCs w:val="24"/>
                <w:color w:val="auto"/>
              </w:rPr>
            </w:pPr>
          </w:p>
        </w:tc>
        <w:tc>
          <w:tcPr>
            <w:tcW w:w="10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4,404</w:t>
            </w: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7540" w:type="dxa"/>
            <w:vAlign w:val="bottom"/>
            <w:gridSpan w:val="3"/>
          </w:tcPr>
          <w:p>
            <w:pPr>
              <w:ind w:left="140"/>
              <w:spacing w:after="0"/>
              <w:rPr>
                <w:sz w:val="20"/>
                <w:szCs w:val="20"/>
                <w:color w:val="auto"/>
              </w:rPr>
            </w:pPr>
            <w:r>
              <w:rPr>
                <w:rFonts w:ascii="Times New Roman" w:cs="Times New Roman" w:eastAsia="Times New Roman" w:hAnsi="Times New Roman"/>
                <w:sz w:val="20"/>
                <w:szCs w:val="20"/>
                <w:b w:val="1"/>
                <w:bCs w:val="1"/>
                <w:color w:val="auto"/>
              </w:rPr>
              <w:t>Total accrued expenses and other current liabilities</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7,688</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10,647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75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11. DEBT</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40" w:type="dxa"/>
            <w:vAlign w:val="bottom"/>
          </w:tcPr>
          <w:p>
            <w:pPr>
              <w:spacing w:after="0"/>
              <w:rPr>
                <w:sz w:val="24"/>
                <w:szCs w:val="24"/>
                <w:color w:val="auto"/>
              </w:rPr>
            </w:pPr>
          </w:p>
        </w:tc>
        <w:tc>
          <w:tcPr>
            <w:tcW w:w="7540" w:type="dxa"/>
            <w:vAlign w:val="bottom"/>
            <w:gridSpan w:val="3"/>
          </w:tcPr>
          <w:p>
            <w:pPr>
              <w:ind w:left="680"/>
              <w:spacing w:after="0"/>
              <w:rPr>
                <w:sz w:val="20"/>
                <w:szCs w:val="20"/>
                <w:color w:val="auto"/>
              </w:rPr>
            </w:pPr>
            <w:r>
              <w:rPr>
                <w:rFonts w:ascii="Times New Roman" w:cs="Times New Roman" w:eastAsia="Times New Roman" w:hAnsi="Times New Roman"/>
                <w:sz w:val="20"/>
                <w:szCs w:val="20"/>
                <w:color w:val="auto"/>
              </w:rPr>
              <w:t>Debt is comprised of the following:</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4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jc w:val="right"/>
              <w:ind w:right="6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80"/>
        </w:trPr>
        <w:tc>
          <w:tcPr>
            <w:tcW w:w="40" w:type="dxa"/>
            <w:vAlign w:val="bottom"/>
            <w:tcBorders>
              <w:bottom w:val="single" w:sz="8" w:color="D2EEF5"/>
            </w:tcBorders>
          </w:tcPr>
          <w:p>
            <w:pPr>
              <w:spacing w:after="0"/>
              <w:rPr>
                <w:sz w:val="24"/>
                <w:szCs w:val="24"/>
                <w:color w:val="auto"/>
              </w:rPr>
            </w:pPr>
          </w:p>
        </w:tc>
        <w:tc>
          <w:tcPr>
            <w:tcW w:w="7460" w:type="dxa"/>
            <w:vAlign w:val="bottom"/>
            <w:tcBorders>
              <w:bottom w:val="single" w:sz="8" w:color="D2EEF5"/>
            </w:tcBorders>
          </w:tcPr>
          <w:p>
            <w:pPr>
              <w:spacing w:after="0"/>
              <w:rPr>
                <w:sz w:val="24"/>
                <w:szCs w:val="24"/>
                <w:color w:val="auto"/>
              </w:rPr>
            </w:pPr>
          </w:p>
        </w:tc>
        <w:tc>
          <w:tcPr>
            <w:tcW w:w="60" w:type="dxa"/>
            <w:vAlign w:val="bottom"/>
            <w:tcBorders>
              <w:bottom w:val="single" w:sz="8" w:color="D2EEF5"/>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Borders>
              <w:bottom w:val="single" w:sz="8" w:color="D2EEF5"/>
            </w:tcBorders>
          </w:tcPr>
          <w:p>
            <w:pPr>
              <w:spacing w:after="0"/>
              <w:rPr>
                <w:sz w:val="24"/>
                <w:szCs w:val="24"/>
                <w:color w:val="auto"/>
              </w:rPr>
            </w:pPr>
          </w:p>
        </w:tc>
        <w:tc>
          <w:tcPr>
            <w:tcW w:w="20" w:type="dxa"/>
            <w:vAlign w:val="bottom"/>
            <w:tcBorders>
              <w:bottom w:val="single" w:sz="8" w:color="D2EEF5"/>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0" w:type="dxa"/>
            <w:vAlign w:val="bottom"/>
          </w:tcPr>
          <w:p>
            <w:pPr>
              <w:spacing w:after="0"/>
              <w:rPr>
                <w:sz w:val="1"/>
                <w:szCs w:val="1"/>
                <w:color w:val="auto"/>
              </w:rPr>
            </w:pPr>
          </w:p>
        </w:tc>
      </w:tr>
      <w:tr>
        <w:trPr>
          <w:trHeight w:val="265"/>
        </w:trPr>
        <w:tc>
          <w:tcPr>
            <w:tcW w:w="40" w:type="dxa"/>
            <w:vAlign w:val="bottom"/>
            <w:shd w:val="clear" w:color="auto" w:fill="D2EEF5"/>
          </w:tcPr>
          <w:p>
            <w:pPr>
              <w:spacing w:after="0"/>
              <w:rPr>
                <w:sz w:val="23"/>
                <w:szCs w:val="23"/>
                <w:color w:val="auto"/>
              </w:rPr>
            </w:pPr>
          </w:p>
        </w:tc>
        <w:tc>
          <w:tcPr>
            <w:tcW w:w="7460" w:type="dxa"/>
            <w:vAlign w:val="bottom"/>
            <w:shd w:val="clear" w:color="auto" w:fill="D2EEF5"/>
          </w:tcPr>
          <w:p>
            <w:pPr>
              <w:ind w:left="120"/>
              <w:spacing w:after="0"/>
              <w:rPr>
                <w:sz w:val="20"/>
                <w:szCs w:val="20"/>
                <w:color w:val="auto"/>
              </w:rPr>
            </w:pPr>
            <w:r>
              <w:rPr>
                <w:rFonts w:ascii="Times New Roman" w:cs="Times New Roman" w:eastAsia="Times New Roman" w:hAnsi="Times New Roman"/>
                <w:sz w:val="20"/>
                <w:szCs w:val="20"/>
                <w:color w:val="auto"/>
              </w:rPr>
              <w:t>Term Loan - principal</w:t>
            </w:r>
          </w:p>
        </w:tc>
        <w:tc>
          <w:tcPr>
            <w:tcW w:w="60" w:type="dxa"/>
            <w:vAlign w:val="bottom"/>
            <w:shd w:val="clear" w:color="auto" w:fill="D2EEF5"/>
          </w:tcPr>
          <w:p>
            <w:pPr>
              <w:spacing w:after="0"/>
              <w:rPr>
                <w:sz w:val="23"/>
                <w:szCs w:val="23"/>
                <w:color w:val="auto"/>
              </w:rPr>
            </w:pPr>
          </w:p>
        </w:tc>
        <w:tc>
          <w:tcPr>
            <w:tcW w:w="20" w:type="dxa"/>
            <w:vAlign w:val="bottom"/>
            <w:shd w:val="clear" w:color="auto" w:fill="D2EEF5"/>
          </w:tcPr>
          <w:p>
            <w:pPr>
              <w:spacing w:after="0"/>
              <w:rPr>
                <w:sz w:val="23"/>
                <w:szCs w:val="23"/>
                <w:color w:val="auto"/>
              </w:rPr>
            </w:pPr>
          </w:p>
        </w:tc>
        <w:tc>
          <w:tcPr>
            <w:tcW w:w="300" w:type="dxa"/>
            <w:vAlign w:val="bottom"/>
            <w:shd w:val="clear" w:color="auto" w:fill="D2EEF5"/>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shd w:val="clear" w:color="auto" w:fill="D2EEF5"/>
          </w:tcPr>
          <w:p>
            <w:pPr>
              <w:ind w:left="260"/>
              <w:spacing w:after="0"/>
              <w:rPr>
                <w:sz w:val="20"/>
                <w:szCs w:val="20"/>
                <w:color w:val="auto"/>
              </w:rPr>
            </w:pPr>
            <w:r>
              <w:rPr>
                <w:rFonts w:ascii="Times New Roman" w:cs="Times New Roman" w:eastAsia="Times New Roman" w:hAnsi="Times New Roman"/>
                <w:sz w:val="20"/>
                <w:szCs w:val="20"/>
                <w:b w:val="1"/>
                <w:bCs w:val="1"/>
                <w:color w:val="auto"/>
              </w:rPr>
              <w:t>114,394</w:t>
            </w:r>
          </w:p>
        </w:tc>
        <w:tc>
          <w:tcPr>
            <w:tcW w:w="80" w:type="dxa"/>
            <w:vAlign w:val="bottom"/>
            <w:gridSpan w:val="2"/>
            <w:shd w:val="clear" w:color="auto" w:fill="D2EEF5"/>
          </w:tcPr>
          <w:p>
            <w:pPr>
              <w:spacing w:after="0"/>
              <w:rPr>
                <w:sz w:val="23"/>
                <w:szCs w:val="23"/>
                <w:color w:val="auto"/>
              </w:rPr>
            </w:pPr>
          </w:p>
        </w:tc>
        <w:tc>
          <w:tcPr>
            <w:tcW w:w="280" w:type="dxa"/>
            <w:vAlign w:val="bottom"/>
            <w:shd w:val="clear" w:color="auto" w:fill="D2EEF5"/>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119,303</w:t>
            </w:r>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754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Term Loan - unamortized discount and deferred financing costs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(2,576)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(3,443)</w:t>
            </w:r>
          </w:p>
        </w:tc>
        <w:tc>
          <w:tcPr>
            <w:tcW w:w="0" w:type="dxa"/>
            <w:vAlign w:val="bottom"/>
          </w:tcPr>
          <w:p>
            <w:pPr>
              <w:spacing w:after="0"/>
              <w:rPr>
                <w:sz w:val="1"/>
                <w:szCs w:val="1"/>
                <w:color w:val="auto"/>
              </w:rPr>
            </w:pPr>
          </w:p>
        </w:tc>
      </w:tr>
      <w:tr>
        <w:trPr>
          <w:trHeight w:val="265"/>
        </w:trPr>
        <w:tc>
          <w:tcPr>
            <w:tcW w:w="40" w:type="dxa"/>
            <w:vAlign w:val="bottom"/>
            <w:tcBorders>
              <w:top w:val="single" w:sz="8" w:color="D2EEF5"/>
            </w:tcBorders>
            <w:shd w:val="clear" w:color="auto" w:fill="D2EEF5"/>
          </w:tcPr>
          <w:p>
            <w:pPr>
              <w:spacing w:after="0"/>
              <w:rPr>
                <w:sz w:val="23"/>
                <w:szCs w:val="23"/>
                <w:color w:val="auto"/>
              </w:rPr>
            </w:pPr>
          </w:p>
        </w:tc>
        <w:tc>
          <w:tcPr>
            <w:tcW w:w="7460" w:type="dxa"/>
            <w:vAlign w:val="bottom"/>
            <w:tcBorders>
              <w:top w:val="single" w:sz="8" w:color="D2EEF5"/>
            </w:tcBorders>
            <w:shd w:val="clear" w:color="auto" w:fill="D2EEF5"/>
          </w:tcPr>
          <w:p>
            <w:pPr>
              <w:spacing w:after="0"/>
              <w:rPr>
                <w:sz w:val="20"/>
                <w:szCs w:val="20"/>
                <w:color w:val="auto"/>
              </w:rPr>
            </w:pPr>
            <w:r>
              <w:rPr>
                <w:rFonts w:ascii="Times New Roman" w:cs="Times New Roman" w:eastAsia="Times New Roman" w:hAnsi="Times New Roman"/>
                <w:sz w:val="20"/>
                <w:szCs w:val="20"/>
                <w:color w:val="auto"/>
              </w:rPr>
              <w:t>Term Loan - net of unamortized discount and deferred financing costs</w:t>
            </w:r>
          </w:p>
        </w:tc>
        <w:tc>
          <w:tcPr>
            <w:tcW w:w="60" w:type="dxa"/>
            <w:vAlign w:val="bottom"/>
            <w:tcBorders>
              <w:top w:val="single" w:sz="8" w:color="D2EEF5"/>
            </w:tcBorders>
            <w:shd w:val="clear" w:color="auto" w:fill="D2EEF5"/>
          </w:tcPr>
          <w:p>
            <w:pPr>
              <w:spacing w:after="0"/>
              <w:rPr>
                <w:sz w:val="23"/>
                <w:szCs w:val="23"/>
                <w:color w:val="auto"/>
              </w:rPr>
            </w:pPr>
          </w:p>
        </w:tc>
        <w:tc>
          <w:tcPr>
            <w:tcW w:w="20" w:type="dxa"/>
            <w:vAlign w:val="bottom"/>
            <w:tcBorders>
              <w:top w:val="single" w:sz="8" w:color="auto"/>
            </w:tcBorders>
            <w:shd w:val="clear" w:color="auto" w:fill="D2EEF5"/>
          </w:tcPr>
          <w:p>
            <w:pPr>
              <w:spacing w:after="0"/>
              <w:rPr>
                <w:sz w:val="23"/>
                <w:szCs w:val="23"/>
                <w:color w:val="auto"/>
              </w:rPr>
            </w:pPr>
          </w:p>
        </w:tc>
        <w:tc>
          <w:tcPr>
            <w:tcW w:w="300" w:type="dxa"/>
            <w:vAlign w:val="bottom"/>
            <w:tcBorders>
              <w:top w:val="single" w:sz="8" w:color="auto"/>
            </w:tcBorders>
            <w:shd w:val="clear" w:color="auto" w:fill="D2EEF5"/>
          </w:tcPr>
          <w:p>
            <w:pPr>
              <w:spacing w:after="0"/>
              <w:rPr>
                <w:sz w:val="23"/>
                <w:szCs w:val="23"/>
                <w:color w:val="auto"/>
              </w:rPr>
            </w:pPr>
          </w:p>
        </w:tc>
        <w:tc>
          <w:tcPr>
            <w:tcW w:w="1000" w:type="dxa"/>
            <w:vAlign w:val="bottom"/>
            <w:tcBorders>
              <w:top w:val="single" w:sz="8" w:color="auto"/>
            </w:tcBorders>
            <w:shd w:val="clear" w:color="auto" w:fill="D2EEF5"/>
          </w:tcPr>
          <w:p>
            <w:pPr>
              <w:ind w:left="260"/>
              <w:spacing w:after="0"/>
              <w:rPr>
                <w:sz w:val="20"/>
                <w:szCs w:val="20"/>
                <w:color w:val="auto"/>
              </w:rPr>
            </w:pPr>
            <w:r>
              <w:rPr>
                <w:rFonts w:ascii="Times New Roman" w:cs="Times New Roman" w:eastAsia="Times New Roman" w:hAnsi="Times New Roman"/>
                <w:sz w:val="20"/>
                <w:szCs w:val="20"/>
                <w:b w:val="1"/>
                <w:bCs w:val="1"/>
                <w:color w:val="auto"/>
              </w:rPr>
              <w:t>111,818</w:t>
            </w:r>
          </w:p>
        </w:tc>
        <w:tc>
          <w:tcPr>
            <w:tcW w:w="60" w:type="dxa"/>
            <w:vAlign w:val="bottom"/>
            <w:tcBorders>
              <w:top w:val="single" w:sz="8" w:color="D2EEF5"/>
            </w:tcBorders>
            <w:shd w:val="clear" w:color="auto" w:fill="D2EEF5"/>
          </w:tcPr>
          <w:p>
            <w:pPr>
              <w:spacing w:after="0"/>
              <w:rPr>
                <w:sz w:val="23"/>
                <w:szCs w:val="23"/>
                <w:color w:val="auto"/>
              </w:rPr>
            </w:pPr>
          </w:p>
        </w:tc>
        <w:tc>
          <w:tcPr>
            <w:tcW w:w="20" w:type="dxa"/>
            <w:vAlign w:val="bottom"/>
            <w:tcBorders>
              <w:top w:val="single" w:sz="8" w:color="D2EEF5"/>
            </w:tcBorders>
            <w:shd w:val="clear" w:color="auto" w:fill="D2EEF5"/>
          </w:tcPr>
          <w:p>
            <w:pPr>
              <w:spacing w:after="0"/>
              <w:rPr>
                <w:sz w:val="23"/>
                <w:szCs w:val="23"/>
                <w:color w:val="auto"/>
              </w:rPr>
            </w:pPr>
          </w:p>
        </w:tc>
        <w:tc>
          <w:tcPr>
            <w:tcW w:w="280" w:type="dxa"/>
            <w:vAlign w:val="bottom"/>
            <w:tcBorders>
              <w:top w:val="single" w:sz="8" w:color="auto"/>
            </w:tcBorders>
            <w:shd w:val="clear" w:color="auto" w:fill="D2EEF5"/>
          </w:tcPr>
          <w:p>
            <w:pPr>
              <w:spacing w:after="0"/>
              <w:rPr>
                <w:sz w:val="23"/>
                <w:szCs w:val="23"/>
                <w:color w:val="auto"/>
              </w:rPr>
            </w:pPr>
          </w:p>
        </w:tc>
        <w:tc>
          <w:tcPr>
            <w:tcW w:w="1020" w:type="dxa"/>
            <w:vAlign w:val="bottom"/>
            <w:tcBorders>
              <w:top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115,860</w:t>
            </w:r>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75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Other</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93</w:t>
            </w:r>
          </w:p>
        </w:tc>
        <w:tc>
          <w:tcPr>
            <w:tcW w:w="0" w:type="dxa"/>
            <w:vAlign w:val="bottom"/>
          </w:tcPr>
          <w:p>
            <w:pPr>
              <w:spacing w:after="0"/>
              <w:rPr>
                <w:sz w:val="1"/>
                <w:szCs w:val="1"/>
                <w:color w:val="auto"/>
              </w:rPr>
            </w:pPr>
          </w:p>
        </w:tc>
      </w:tr>
      <w:tr>
        <w:trPr>
          <w:trHeight w:val="265"/>
        </w:trPr>
        <w:tc>
          <w:tcPr>
            <w:tcW w:w="40" w:type="dxa"/>
            <w:vAlign w:val="bottom"/>
            <w:shd w:val="clear" w:color="auto" w:fill="D2EEF5"/>
          </w:tcPr>
          <w:p>
            <w:pPr>
              <w:spacing w:after="0"/>
              <w:rPr>
                <w:sz w:val="23"/>
                <w:szCs w:val="23"/>
                <w:color w:val="auto"/>
              </w:rPr>
            </w:pPr>
          </w:p>
        </w:tc>
        <w:tc>
          <w:tcPr>
            <w:tcW w:w="7460" w:type="dxa"/>
            <w:vAlign w:val="bottom"/>
            <w:shd w:val="clear" w:color="auto" w:fill="D2EEF5"/>
          </w:tcPr>
          <w:p>
            <w:pPr>
              <w:ind w:left="140"/>
              <w:spacing w:after="0"/>
              <w:rPr>
                <w:sz w:val="20"/>
                <w:szCs w:val="20"/>
                <w:color w:val="auto"/>
              </w:rPr>
            </w:pPr>
            <w:r>
              <w:rPr>
                <w:rFonts w:ascii="Times New Roman" w:cs="Times New Roman" w:eastAsia="Times New Roman" w:hAnsi="Times New Roman"/>
                <w:sz w:val="20"/>
                <w:szCs w:val="20"/>
                <w:b w:val="1"/>
                <w:bCs w:val="1"/>
                <w:color w:val="auto"/>
              </w:rPr>
              <w:t>Total debt</w:t>
            </w:r>
          </w:p>
        </w:tc>
        <w:tc>
          <w:tcPr>
            <w:tcW w:w="60" w:type="dxa"/>
            <w:vAlign w:val="bottom"/>
            <w:tcBorders>
              <w:top w:val="single" w:sz="8" w:color="D2EEF5"/>
            </w:tcBorders>
            <w:shd w:val="clear" w:color="auto" w:fill="D2EEF5"/>
          </w:tcPr>
          <w:p>
            <w:pPr>
              <w:spacing w:after="0"/>
              <w:rPr>
                <w:sz w:val="23"/>
                <w:szCs w:val="23"/>
                <w:color w:val="auto"/>
              </w:rPr>
            </w:pPr>
          </w:p>
        </w:tc>
        <w:tc>
          <w:tcPr>
            <w:tcW w:w="20" w:type="dxa"/>
            <w:vAlign w:val="bottom"/>
            <w:tcBorders>
              <w:top w:val="single" w:sz="8" w:color="auto"/>
              <w:bottom w:val="single" w:sz="8" w:color="auto"/>
            </w:tcBorders>
            <w:shd w:val="clear" w:color="auto" w:fill="D2EEF5"/>
          </w:tcPr>
          <w:p>
            <w:pPr>
              <w:spacing w:after="0"/>
              <w:rPr>
                <w:sz w:val="23"/>
                <w:szCs w:val="23"/>
                <w:color w:val="auto"/>
              </w:rPr>
            </w:pPr>
          </w:p>
        </w:tc>
        <w:tc>
          <w:tcPr>
            <w:tcW w:w="300" w:type="dxa"/>
            <w:vAlign w:val="bottom"/>
            <w:tcBorders>
              <w:top w:val="single" w:sz="8" w:color="auto"/>
              <w:bottom w:val="single" w:sz="8" w:color="auto"/>
            </w:tcBorders>
            <w:shd w:val="clear" w:color="auto" w:fill="D2EEF5"/>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tcBorders>
              <w:top w:val="single" w:sz="8" w:color="auto"/>
              <w:bottom w:val="single" w:sz="8" w:color="auto"/>
            </w:tcBorders>
            <w:shd w:val="clear" w:color="auto" w:fill="D2EEF5"/>
          </w:tcPr>
          <w:p>
            <w:pPr>
              <w:ind w:left="260"/>
              <w:spacing w:after="0"/>
              <w:rPr>
                <w:sz w:val="20"/>
                <w:szCs w:val="20"/>
                <w:color w:val="auto"/>
              </w:rPr>
            </w:pPr>
            <w:r>
              <w:rPr>
                <w:rFonts w:ascii="Times New Roman" w:cs="Times New Roman" w:eastAsia="Times New Roman" w:hAnsi="Times New Roman"/>
                <w:sz w:val="20"/>
                <w:szCs w:val="20"/>
                <w:b w:val="1"/>
                <w:bCs w:val="1"/>
                <w:color w:val="auto"/>
              </w:rPr>
              <w:t>111,903</w:t>
            </w:r>
          </w:p>
        </w:tc>
        <w:tc>
          <w:tcPr>
            <w:tcW w:w="80" w:type="dxa"/>
            <w:vAlign w:val="bottom"/>
            <w:tcBorders>
              <w:top w:val="single" w:sz="8" w:color="D2EEF5"/>
            </w:tcBorders>
            <w:gridSpan w:val="2"/>
            <w:shd w:val="clear" w:color="auto" w:fill="D2EEF5"/>
          </w:tcPr>
          <w:p>
            <w:pPr>
              <w:spacing w:after="0"/>
              <w:rPr>
                <w:sz w:val="23"/>
                <w:szCs w:val="23"/>
                <w:color w:val="auto"/>
              </w:rPr>
            </w:pPr>
          </w:p>
        </w:tc>
        <w:tc>
          <w:tcPr>
            <w:tcW w:w="280" w:type="dxa"/>
            <w:vAlign w:val="bottom"/>
            <w:tcBorders>
              <w:top w:val="single" w:sz="8" w:color="auto"/>
              <w:bottom w:val="single" w:sz="8" w:color="auto"/>
            </w:tcBorders>
            <w:shd w:val="clear" w:color="auto" w:fill="D2EEF5"/>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Borders>
              <w:top w:val="single" w:sz="8" w:color="auto"/>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115,953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5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0" w:type="dxa"/>
            <w:vAlign w:val="bottom"/>
          </w:tcPr>
          <w:p>
            <w:pPr>
              <w:spacing w:after="0"/>
              <w:rPr>
                <w:sz w:val="19"/>
                <w:szCs w:val="19"/>
                <w:color w:val="auto"/>
              </w:rPr>
            </w:pPr>
          </w:p>
        </w:tc>
        <w:tc>
          <w:tcPr>
            <w:tcW w:w="752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 w:type="dxa"/>
            <w:vAlign w:val="bottom"/>
            <w:shd w:val="clear" w:color="auto" w:fill="D2EEF5"/>
          </w:tcPr>
          <w:p>
            <w:pPr>
              <w:spacing w:after="0"/>
              <w:rPr>
                <w:sz w:val="18"/>
                <w:szCs w:val="18"/>
                <w:color w:val="auto"/>
              </w:rPr>
            </w:pPr>
          </w:p>
        </w:tc>
        <w:tc>
          <w:tcPr>
            <w:tcW w:w="7520" w:type="dxa"/>
            <w:vAlign w:val="bottom"/>
            <w:gridSpan w:val="2"/>
            <w:shd w:val="clear" w:color="auto" w:fill="D2EEF5"/>
          </w:tcPr>
          <w:p>
            <w:pPr>
              <w:spacing w:after="0" w:line="210" w:lineRule="exact"/>
              <w:rPr>
                <w:sz w:val="20"/>
                <w:szCs w:val="20"/>
                <w:color w:val="auto"/>
              </w:rPr>
            </w:pPr>
            <w:r>
              <w:rPr>
                <w:rFonts w:ascii="Times New Roman" w:cs="Times New Roman" w:eastAsia="Times New Roman" w:hAnsi="Times New Roman"/>
                <w:sz w:val="20"/>
                <w:szCs w:val="20"/>
                <w:color w:val="auto"/>
              </w:rPr>
              <w:t>Current portion of long-term debt - net of unamortized discount and deferred financing costs</w:t>
            </w:r>
          </w:p>
        </w:tc>
        <w:tc>
          <w:tcPr>
            <w:tcW w:w="20" w:type="dxa"/>
            <w:vAlign w:val="bottom"/>
            <w:shd w:val="clear" w:color="auto" w:fill="D2EEF5"/>
          </w:tcPr>
          <w:p>
            <w:pPr>
              <w:spacing w:after="0"/>
              <w:rPr>
                <w:sz w:val="18"/>
                <w:szCs w:val="18"/>
                <w:color w:val="auto"/>
              </w:rPr>
            </w:pPr>
          </w:p>
        </w:tc>
        <w:tc>
          <w:tcPr>
            <w:tcW w:w="300" w:type="dxa"/>
            <w:vAlign w:val="bottom"/>
            <w:vMerge w:val="restart"/>
            <w:shd w:val="clear" w:color="auto" w:fill="D2EEF5"/>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vMerge w:val="restart"/>
            <w:shd w:val="clear" w:color="auto" w:fill="D2EEF5"/>
          </w:tcPr>
          <w:p>
            <w:pPr>
              <w:ind w:left="260"/>
              <w:spacing w:after="0"/>
              <w:rPr>
                <w:sz w:val="20"/>
                <w:szCs w:val="20"/>
                <w:color w:val="auto"/>
              </w:rPr>
            </w:pPr>
            <w:r>
              <w:rPr>
                <w:rFonts w:ascii="Times New Roman" w:cs="Times New Roman" w:eastAsia="Times New Roman" w:hAnsi="Times New Roman"/>
                <w:sz w:val="20"/>
                <w:szCs w:val="20"/>
                <w:b w:val="1"/>
                <w:bCs w:val="1"/>
                <w:color w:val="auto"/>
              </w:rPr>
              <w:t>111,853</w:t>
            </w:r>
          </w:p>
        </w:tc>
        <w:tc>
          <w:tcPr>
            <w:tcW w:w="60" w:type="dxa"/>
            <w:vAlign w:val="bottom"/>
            <w:shd w:val="clear" w:color="auto" w:fill="D2EEF5"/>
          </w:tcPr>
          <w:p>
            <w:pPr>
              <w:spacing w:after="0"/>
              <w:rPr>
                <w:sz w:val="18"/>
                <w:szCs w:val="18"/>
                <w:color w:val="auto"/>
              </w:rPr>
            </w:pPr>
          </w:p>
        </w:tc>
        <w:tc>
          <w:tcPr>
            <w:tcW w:w="20" w:type="dxa"/>
            <w:vAlign w:val="bottom"/>
            <w:shd w:val="clear" w:color="auto" w:fill="D2EEF5"/>
          </w:tcPr>
          <w:p>
            <w:pPr>
              <w:spacing w:after="0"/>
              <w:rPr>
                <w:sz w:val="18"/>
                <w:szCs w:val="18"/>
                <w:color w:val="auto"/>
              </w:rPr>
            </w:pPr>
          </w:p>
        </w:tc>
        <w:tc>
          <w:tcPr>
            <w:tcW w:w="280" w:type="dxa"/>
            <w:vAlign w:val="bottom"/>
            <w:vMerge w:val="restart"/>
            <w:shd w:val="clear" w:color="auto" w:fill="D2EEF5"/>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vMerge w:val="restart"/>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1,260</w:t>
            </w:r>
          </w:p>
        </w:tc>
        <w:tc>
          <w:tcPr>
            <w:tcW w:w="0" w:type="dxa"/>
            <w:vAlign w:val="bottom"/>
          </w:tcPr>
          <w:p>
            <w:pPr>
              <w:spacing w:after="0"/>
              <w:rPr>
                <w:sz w:val="1"/>
                <w:szCs w:val="1"/>
                <w:color w:val="auto"/>
              </w:rPr>
            </w:pPr>
          </w:p>
        </w:tc>
      </w:tr>
      <w:tr>
        <w:trPr>
          <w:trHeight w:val="254"/>
        </w:trPr>
        <w:tc>
          <w:tcPr>
            <w:tcW w:w="40" w:type="dxa"/>
            <w:vAlign w:val="bottom"/>
            <w:shd w:val="clear" w:color="auto" w:fill="D2EEF5"/>
          </w:tcPr>
          <w:p>
            <w:pPr>
              <w:spacing w:after="0"/>
              <w:rPr>
                <w:sz w:val="22"/>
                <w:szCs w:val="22"/>
                <w:color w:val="auto"/>
              </w:rPr>
            </w:pPr>
          </w:p>
        </w:tc>
        <w:tc>
          <w:tcPr>
            <w:tcW w:w="7520" w:type="dxa"/>
            <w:vAlign w:val="bottom"/>
            <w:gridSpan w:val="2"/>
            <w:shd w:val="clear" w:color="auto" w:fill="D2EEF5"/>
          </w:tcPr>
          <w:p>
            <w:pPr>
              <w:spacing w:after="0"/>
              <w:rPr>
                <w:sz w:val="20"/>
                <w:szCs w:val="20"/>
                <w:color w:val="auto"/>
              </w:rPr>
            </w:pPr>
            <w:r>
              <w:rPr>
                <w:rFonts w:ascii="Times New Roman" w:cs="Times New Roman" w:eastAsia="Times New Roman" w:hAnsi="Times New Roman"/>
                <w:sz w:val="20"/>
                <w:szCs w:val="20"/>
                <w:color w:val="auto"/>
              </w:rPr>
              <w:t>of $2,576 as of December 31, 2025</w:t>
            </w:r>
          </w:p>
        </w:tc>
        <w:tc>
          <w:tcPr>
            <w:tcW w:w="20" w:type="dxa"/>
            <w:vAlign w:val="bottom"/>
            <w:shd w:val="clear" w:color="auto" w:fill="D2EEF5"/>
          </w:tcPr>
          <w:p>
            <w:pPr>
              <w:spacing w:after="0"/>
              <w:rPr>
                <w:sz w:val="22"/>
                <w:szCs w:val="22"/>
                <w:color w:val="auto"/>
              </w:rPr>
            </w:pPr>
          </w:p>
        </w:tc>
        <w:tc>
          <w:tcPr>
            <w:tcW w:w="300" w:type="dxa"/>
            <w:vAlign w:val="bottom"/>
            <w:vMerge w:val="continue"/>
            <w:shd w:val="clear" w:color="auto" w:fill="D2EEF5"/>
          </w:tcPr>
          <w:p>
            <w:pPr>
              <w:spacing w:after="0"/>
              <w:rPr>
                <w:sz w:val="22"/>
                <w:szCs w:val="22"/>
                <w:color w:val="auto"/>
              </w:rPr>
            </w:pPr>
          </w:p>
        </w:tc>
        <w:tc>
          <w:tcPr>
            <w:tcW w:w="1000" w:type="dxa"/>
            <w:vAlign w:val="bottom"/>
            <w:vMerge w:val="continue"/>
            <w:shd w:val="clear" w:color="auto" w:fill="D2EEF5"/>
          </w:tcPr>
          <w:p>
            <w:pPr>
              <w:spacing w:after="0"/>
              <w:rPr>
                <w:sz w:val="22"/>
                <w:szCs w:val="22"/>
                <w:color w:val="auto"/>
              </w:rPr>
            </w:pPr>
          </w:p>
        </w:tc>
        <w:tc>
          <w:tcPr>
            <w:tcW w:w="80" w:type="dxa"/>
            <w:vAlign w:val="bottom"/>
            <w:gridSpan w:val="2"/>
            <w:shd w:val="clear" w:color="auto" w:fill="D2EEF5"/>
          </w:tcPr>
          <w:p>
            <w:pPr>
              <w:spacing w:after="0"/>
              <w:rPr>
                <w:sz w:val="22"/>
                <w:szCs w:val="22"/>
                <w:color w:val="auto"/>
              </w:rPr>
            </w:pPr>
          </w:p>
        </w:tc>
        <w:tc>
          <w:tcPr>
            <w:tcW w:w="280" w:type="dxa"/>
            <w:vAlign w:val="bottom"/>
            <w:vMerge w:val="continue"/>
            <w:shd w:val="clear" w:color="auto" w:fill="D2EEF5"/>
          </w:tcPr>
          <w:p>
            <w:pPr>
              <w:spacing w:after="0"/>
              <w:rPr>
                <w:sz w:val="22"/>
                <w:szCs w:val="22"/>
                <w:color w:val="auto"/>
              </w:rPr>
            </w:pPr>
          </w:p>
        </w:tc>
        <w:tc>
          <w:tcPr>
            <w:tcW w:w="1020" w:type="dxa"/>
            <w:vAlign w:val="bottom"/>
            <w:vMerge w:val="continue"/>
            <w:shd w:val="clear" w:color="auto" w:fill="D2EEF5"/>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7540" w:type="dxa"/>
            <w:vAlign w:val="bottom"/>
            <w:gridSpan w:val="3"/>
          </w:tcPr>
          <w:p>
            <w:pPr>
              <w:spacing w:after="0" w:line="210" w:lineRule="exact"/>
              <w:rPr>
                <w:sz w:val="20"/>
                <w:szCs w:val="20"/>
                <w:color w:val="auto"/>
              </w:rPr>
            </w:pPr>
            <w:r>
              <w:rPr>
                <w:rFonts w:ascii="Times New Roman" w:cs="Times New Roman" w:eastAsia="Times New Roman" w:hAnsi="Times New Roman"/>
                <w:sz w:val="20"/>
                <w:szCs w:val="20"/>
                <w:color w:val="auto"/>
              </w:rPr>
              <w:t>Long-term debt - net of unamortized discount and deferred financing costs of $3,443 as of</w:t>
            </w:r>
          </w:p>
        </w:tc>
        <w:tc>
          <w:tcPr>
            <w:tcW w:w="30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50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114,693</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75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December 31, 2024</w:t>
            </w:r>
          </w:p>
        </w:tc>
        <w:tc>
          <w:tcPr>
            <w:tcW w:w="30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40" w:type="dxa"/>
            <w:vAlign w:val="bottom"/>
            <w:shd w:val="clear" w:color="auto" w:fill="D2EEF5"/>
          </w:tcPr>
          <w:p>
            <w:pPr>
              <w:spacing w:after="0"/>
              <w:rPr>
                <w:sz w:val="23"/>
                <w:szCs w:val="23"/>
                <w:color w:val="auto"/>
              </w:rPr>
            </w:pPr>
          </w:p>
        </w:tc>
        <w:tc>
          <w:tcPr>
            <w:tcW w:w="7460" w:type="dxa"/>
            <w:vAlign w:val="bottom"/>
            <w:shd w:val="clear" w:color="auto" w:fill="D2EEF5"/>
          </w:tcPr>
          <w:p>
            <w:pPr>
              <w:ind w:left="140"/>
              <w:spacing w:after="0"/>
              <w:rPr>
                <w:sz w:val="20"/>
                <w:szCs w:val="20"/>
                <w:color w:val="auto"/>
              </w:rPr>
            </w:pPr>
            <w:r>
              <w:rPr>
                <w:rFonts w:ascii="Times New Roman" w:cs="Times New Roman" w:eastAsia="Times New Roman" w:hAnsi="Times New Roman"/>
                <w:sz w:val="20"/>
                <w:szCs w:val="20"/>
                <w:b w:val="1"/>
                <w:bCs w:val="1"/>
                <w:color w:val="auto"/>
              </w:rPr>
              <w:t>Total debt</w:t>
            </w:r>
          </w:p>
        </w:tc>
        <w:tc>
          <w:tcPr>
            <w:tcW w:w="60" w:type="dxa"/>
            <w:vAlign w:val="bottom"/>
            <w:tcBorders>
              <w:top w:val="single" w:sz="8" w:color="D2EEF5"/>
            </w:tcBorders>
            <w:shd w:val="clear" w:color="auto" w:fill="D2EEF5"/>
          </w:tcPr>
          <w:p>
            <w:pPr>
              <w:spacing w:after="0"/>
              <w:rPr>
                <w:sz w:val="23"/>
                <w:szCs w:val="23"/>
                <w:color w:val="auto"/>
              </w:rPr>
            </w:pPr>
          </w:p>
        </w:tc>
        <w:tc>
          <w:tcPr>
            <w:tcW w:w="20" w:type="dxa"/>
            <w:vAlign w:val="bottom"/>
            <w:tcBorders>
              <w:top w:val="single" w:sz="8" w:color="auto"/>
            </w:tcBorders>
            <w:shd w:val="clear" w:color="auto" w:fill="D2EEF5"/>
          </w:tcPr>
          <w:p>
            <w:pPr>
              <w:spacing w:after="0"/>
              <w:rPr>
                <w:sz w:val="23"/>
                <w:szCs w:val="23"/>
                <w:color w:val="auto"/>
              </w:rPr>
            </w:pPr>
          </w:p>
        </w:tc>
        <w:tc>
          <w:tcPr>
            <w:tcW w:w="300" w:type="dxa"/>
            <w:vAlign w:val="bottom"/>
            <w:tcBorders>
              <w:top w:val="single" w:sz="8" w:color="auto"/>
            </w:tcBorders>
            <w:shd w:val="clear" w:color="auto" w:fill="D2EEF5"/>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tcBorders>
              <w:top w:val="single" w:sz="8" w:color="auto"/>
            </w:tcBorders>
            <w:shd w:val="clear" w:color="auto" w:fill="D2EEF5"/>
          </w:tcPr>
          <w:p>
            <w:pPr>
              <w:ind w:left="260"/>
              <w:spacing w:after="0"/>
              <w:rPr>
                <w:sz w:val="20"/>
                <w:szCs w:val="20"/>
                <w:color w:val="auto"/>
              </w:rPr>
            </w:pPr>
            <w:r>
              <w:rPr>
                <w:rFonts w:ascii="Times New Roman" w:cs="Times New Roman" w:eastAsia="Times New Roman" w:hAnsi="Times New Roman"/>
                <w:sz w:val="20"/>
                <w:szCs w:val="20"/>
                <w:b w:val="1"/>
                <w:bCs w:val="1"/>
                <w:color w:val="auto"/>
              </w:rPr>
              <w:t>111,903</w:t>
            </w:r>
          </w:p>
        </w:tc>
        <w:tc>
          <w:tcPr>
            <w:tcW w:w="80" w:type="dxa"/>
            <w:vAlign w:val="bottom"/>
            <w:tcBorders>
              <w:top w:val="single" w:sz="8" w:color="D2EEF5"/>
            </w:tcBorders>
            <w:gridSpan w:val="2"/>
            <w:shd w:val="clear" w:color="auto" w:fill="D2EEF5"/>
          </w:tcPr>
          <w:p>
            <w:pPr>
              <w:spacing w:after="0"/>
              <w:rPr>
                <w:sz w:val="23"/>
                <w:szCs w:val="23"/>
                <w:color w:val="auto"/>
              </w:rPr>
            </w:pPr>
          </w:p>
        </w:tc>
        <w:tc>
          <w:tcPr>
            <w:tcW w:w="280" w:type="dxa"/>
            <w:vAlign w:val="bottom"/>
            <w:tcBorders>
              <w:top w:val="single" w:sz="8" w:color="auto"/>
            </w:tcBorders>
            <w:shd w:val="clear" w:color="auto" w:fill="D2EEF5"/>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Borders>
              <w:top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115,953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 Loan</w:t>
      </w:r>
    </w:p>
    <w:p>
      <w:pPr>
        <w:spacing w:after="0" w:line="210" w:lineRule="exact"/>
        <w:rPr>
          <w:sz w:val="20"/>
          <w:szCs w:val="20"/>
          <w:color w:val="auto"/>
        </w:rPr>
      </w:pPr>
    </w:p>
    <w:p>
      <w:pPr>
        <w:jc w:val="both"/>
        <w:ind w:firstLine="720"/>
        <w:spacing w:after="0" w:line="268" w:lineRule="auto"/>
        <w:rPr>
          <w:sz w:val="20"/>
          <w:szCs w:val="20"/>
          <w:color w:val="auto"/>
        </w:rPr>
      </w:pPr>
      <w:r>
        <w:rPr>
          <w:rFonts w:ascii="Times New Roman" w:cs="Times New Roman" w:eastAsia="Times New Roman" w:hAnsi="Times New Roman"/>
          <w:sz w:val="19"/>
          <w:szCs w:val="19"/>
          <w:color w:val="auto"/>
        </w:rPr>
        <w:t>On October 25, 2021, the Company and certain of its direct and indirect subsidiaries (the "Obligors") entered into a Credit and Guaranty Agreement with JPMorgan Chase Bank, N.A., as administrative agent for the lenders, pursuant to which the Company borrowed a $125,000 senior secured term loan. The Term Loan was amended by Amendment No. 1 to the Credit and Guaranty Agreement (“Amendment No. 1”) effective on June 27, 2023, to replace the LIBOR referenced rates with SOFR referenced rates. Pursuant to Amendment No. 1, any Term Loan that constitutes a Eurodollar Rate Loan that is outstanding as of the Amendment No. 1 closing date shall continue until the end of the applicable interest period for such Eurodollar Rate Loan and the provisions of the Term Loan applicable thereto shall continue and remain in effect (notwithstanding the occurrence of the Amendment No. 1 closing date) until the end of the applicable interest period for such Eurodollar Rate Loan, after which such provisions shall have no further force or effect. Such Eurodollar Rate Loan shall subsequently either be an ABR Loan or a Term Benchmark Loan. The ABR Loans shall bear interest at the Alternate Base Rate (with a 2.0% floor) plus 4.50%, and Term Benchmark Loans shall bear interest at the Adjusted Term SOFR Rate (with a 1.0% floor), plus 5.50%. The ABR Loan and Term Benchmark Loan credit spreads of 4.50% and 5.50%, respectively, within the Amendment No. 1 have not changed from the credit spreads in the original Term Loan. The foregoing description of Amendment No. 1 does not purport to be complete</w:t>
      </w:r>
    </w:p>
    <w:p>
      <w:pPr>
        <w:sectPr>
          <w:pgSz w:w="12240" w:h="15840" w:orient="portrait"/>
          <w:cols w:equalWidth="0" w:num="1">
            <w:col w:w="10260"/>
          </w:cols>
          <w:pgMar w:left="1000" w:top="420" w:right="980" w:bottom="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10260"/>
          </w:cols>
          <w:pgMar w:left="1000" w:top="420" w:right="980" w:bottom="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Hydrofarm Holdings Group, Inc.</w:t>
      </w:r>
    </w:p>
    <w:p>
      <w:pPr>
        <w:spacing w:after="0" w:line="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pacing w:after="0" w:line="343"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color w:val="auto"/>
        </w:rPr>
        <w:t>and is qualified in its entirety by reference to the provisions of Amendment No. 1. Capitalized terms referenced above are defined in the Term Loan.</w:t>
      </w:r>
    </w:p>
    <w:p>
      <w:pPr>
        <w:spacing w:after="0" w:line="128"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The Term Loan matures on October 25, 2028 ("Maturity Date") and is not subject to a call premium. Deferred financing costs are being amortized to interest expense over the term of the loan. For the year ended December 31, 2025, the effective interest rate was 10.84% and interest expense was $12,625, which includes amortization of deferred financing costs and discount of $747. For the year ended December 31, 2024, the effective interest rate was 11.70% and interest expense was $14,112, which included amortization of deferred financing costs and discount of $751.</w:t>
      </w:r>
    </w:p>
    <w:p>
      <w:pPr>
        <w:spacing w:after="0" w:line="155"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0"/>
          <w:szCs w:val="20"/>
          <w:color w:val="auto"/>
        </w:rPr>
        <w:t>The principal amount of the Term Loan is required to be repaid in consecutive quarterly installments in amounts equal to 0.25% of the original principal amount of the Term Loan, reduced pro rata by any additional payments made, on the last day of each fiscal quarter commencing March 31, 2022, with the balance of the Term Loan payable on the Maturity Date. The Company is also required to make mandatory prepayments in the event of (i) achieving certain excess cash flow criteria, including the achievement and maintenance of a specific leverage ratio, (ii) certain asset sales that are collateral, or (iii) upon the issuance, offering, or placement of new debt obligations.</w:t>
      </w:r>
    </w:p>
    <w:p>
      <w:pPr>
        <w:spacing w:after="0" w:line="162" w:lineRule="exact"/>
        <w:rPr>
          <w:sz w:val="20"/>
          <w:szCs w:val="20"/>
          <w:color w:val="auto"/>
        </w:rPr>
      </w:pPr>
    </w:p>
    <w:p>
      <w:pPr>
        <w:jc w:val="both"/>
        <w:ind w:firstLine="720"/>
        <w:spacing w:after="0" w:line="268" w:lineRule="auto"/>
        <w:rPr>
          <w:sz w:val="20"/>
          <w:szCs w:val="20"/>
          <w:color w:val="auto"/>
        </w:rPr>
      </w:pPr>
      <w:r>
        <w:rPr>
          <w:rFonts w:ascii="Times New Roman" w:cs="Times New Roman" w:eastAsia="Times New Roman" w:hAnsi="Times New Roman"/>
          <w:sz w:val="19"/>
          <w:szCs w:val="19"/>
          <w:color w:val="auto"/>
        </w:rPr>
        <w:t xml:space="preserve">As described in Note 4 – </w:t>
      </w:r>
      <w:r>
        <w:rPr>
          <w:rFonts w:ascii="Times New Roman" w:cs="Times New Roman" w:eastAsia="Times New Roman" w:hAnsi="Times New Roman"/>
          <w:sz w:val="19"/>
          <w:szCs w:val="19"/>
          <w:i w:val="1"/>
          <w:iCs w:val="1"/>
          <w:color w:val="auto"/>
        </w:rPr>
        <w:t>Restructuring and Asset Sales</w:t>
      </w:r>
      <w:r>
        <w:rPr>
          <w:rFonts w:ascii="Times New Roman" w:cs="Times New Roman" w:eastAsia="Times New Roman" w:hAnsi="Times New Roman"/>
          <w:sz w:val="19"/>
          <w:szCs w:val="19"/>
          <w:color w:val="auto"/>
        </w:rPr>
        <w:t>, the Company completed the IGE Asset Sale for gross proceeds of $8,660 in May 2024. The net cash proceeds of approximately $6,300 from this transaction were subject to a provision of the Term Loan whereby such net cash proceeds can be reinvested into certain investments, such as capital expenditures. This provision of the Term Loan includes (i) cash investments made within a one-year period from the transaction date, and (ii) investments which are contractually committed within one-year of the transaction date and paid within 180 days after entering into such contractual commitment. The amount of any net cash proceeds which are not reinvested required the Company to make an offer to prepay the corresponding amount on the Term Loan in 2025. In accordance with this provision, we made prepayments of $4,602 during of 2025. The prepayments reduced our required quarterly installment amounts to zero for the remaining term. As of December 31, 2025, we have satisfied this provision as related to the IGE Asset Sale, through a combination of certain investments and prepayments of the Term Loan. The foregoing description of the reinvestment provision does not purport to be complete and is qualified in its entirety by reference to the provisions of the Term Loan.</w:t>
      </w:r>
    </w:p>
    <w:p>
      <w:pPr>
        <w:spacing w:after="0" w:line="157"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color w:val="auto"/>
        </w:rPr>
        <w:t>The Term Loan is secured by a first lien on the non-working capital assets of the Company and a second lien on the working capital assets of the Company.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Subsequent Event</w:t>
      </w:r>
    </w:p>
    <w:p>
      <w:pPr>
        <w:spacing w:after="0" w:line="207"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The Company and its Board of Directors are exploring strategic alternatives to strengthen the Company’s liquidity and capital structure. In connection with such process, the Company and its financial advisors have engaged in ongoing discussions with the lenders under the Term Loan. While these discussions have continued, on February 4, 2026, the Company elected to defer making the interest payment of approximately $2.8 million on the Term Loan. As a result of the Company’s failure to pay the interest within the grace period, an event of default occurred with respect to the Term Loan. On February 11, 2026, the lenders, through the administrative agent, notified the Company of such event of default and informed the Company that the administrative agent or the collateral agent may exercise any rights and remedies provided under the Credit and Guaranty Agreement and related financing documents, but it did not seek to enforce such remedies as of such time. As a result of the event of default, the Term Loan was reclassified to current portion of long-term debt from long-term debt and interest began accruing at a rate that is 2% per annum in excess of the interest rate otherwise payable.</w:t>
      </w:r>
    </w:p>
    <w:p>
      <w:pPr>
        <w:spacing w:after="0" w:line="166" w:lineRule="exact"/>
        <w:rPr>
          <w:sz w:val="20"/>
          <w:szCs w:val="20"/>
          <w:color w:val="auto"/>
        </w:rPr>
      </w:pPr>
    </w:p>
    <w:p>
      <w:pPr>
        <w:jc w:val="both"/>
        <w:ind w:firstLine="720"/>
        <w:spacing w:after="0" w:line="263" w:lineRule="auto"/>
        <w:rPr>
          <w:sz w:val="20"/>
          <w:szCs w:val="20"/>
          <w:color w:val="auto"/>
        </w:rPr>
      </w:pPr>
      <w:r>
        <w:rPr>
          <w:rFonts w:ascii="Times New Roman" w:cs="Times New Roman" w:eastAsia="Times New Roman" w:hAnsi="Times New Roman"/>
          <w:sz w:val="20"/>
          <w:szCs w:val="20"/>
          <w:color w:val="auto"/>
        </w:rPr>
        <w:t>On February 10, 2026, JPMorgan issued a notice to the Company and Lenders of its resignation as Administrative Agent and Collateral Agent under the Credit and Guaranty Agreement. Such resignation became effective on March 12, 2026, when FEAC Agent, LLC was appointed as the successor agent for the Lenders in accordance with Section 9 of the Credit and Guaranty Agreement.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Revolving Credit Facility</w:t>
      </w:r>
    </w:p>
    <w:p>
      <w:pPr>
        <w:spacing w:after="0" w:line="209" w:lineRule="exact"/>
        <w:rPr>
          <w:sz w:val="20"/>
          <w:szCs w:val="20"/>
          <w:color w:val="auto"/>
        </w:rPr>
      </w:pPr>
    </w:p>
    <w:p>
      <w:pPr>
        <w:jc w:val="both"/>
        <w:ind w:firstLine="720"/>
        <w:spacing w:after="0" w:line="263" w:lineRule="auto"/>
        <w:rPr>
          <w:sz w:val="20"/>
          <w:szCs w:val="20"/>
          <w:color w:val="auto"/>
        </w:rPr>
      </w:pPr>
      <w:r>
        <w:rPr>
          <w:rFonts w:ascii="Times New Roman" w:cs="Times New Roman" w:eastAsia="Times New Roman" w:hAnsi="Times New Roman"/>
          <w:sz w:val="20"/>
          <w:szCs w:val="20"/>
          <w:color w:val="auto"/>
        </w:rPr>
        <w:t>On March 29, 2021, the Obligors entered into a certain Credit Agreement, dated as of March 29, 2021, as amended, by among JPMorgan., as administrative agent, issuing bank and swingline lender, the other loan parties from time to time party thereto and the lenders from time to time party thereto for a revolving line of credit up to $50,000. The Revolving Credit Facility was due to expire on June 30, 2027, or any earlier date on which the revolving commitments are reduced to zero. The</w:t>
      </w:r>
    </w:p>
    <w:p>
      <w:pPr>
        <w:sectPr>
          <w:pgSz w:w="12240" w:h="15840" w:orient="portrait"/>
          <w:cols w:equalWidth="0" w:num="1">
            <w:col w:w="10260"/>
          </w:cols>
          <w:pgMar w:left="1000" w:top="420" w:right="980" w:bottom="0"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82</w:t>
      </w:r>
    </w:p>
    <w:p>
      <w:pPr>
        <w:sectPr>
          <w:pgSz w:w="12240" w:h="15840" w:orient="portrait"/>
          <w:cols w:equalWidth="0" w:num="1">
            <w:col w:w="10260"/>
          </w:cols>
          <w:pgMar w:left="1000" w:top="420" w:right="980" w:bottom="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Hydrofarm Holdings Group, Inc.</w:t>
      </w:r>
    </w:p>
    <w:p>
      <w:pPr>
        <w:spacing w:after="0" w:line="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terms Revolving Credit Facility and Revolving Credit Agreement are used interchangeably.</w:t>
      </w:r>
    </w:p>
    <w:p>
      <w:pPr>
        <w:spacing w:after="0" w:line="210"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The Revolving Credit Facility originally had a borrowing limit of $50,000. On August 31, 2021, the Obligors entered into an amendment to the Revolving Credit Facility (the "First Amendment") to increase their original borrowing limit to $100,000. In connection with the First Amendment, the Company's previously acquired subsidiaries became party to the Revolving Credit Facility as either borrowers or as guarantors. On October 25, 2021, the Company and its subsidiaries entered into a second amendment to the Revolving Credit Facility (the "Second Amendment"), pursuant to which the parties consented to the Term Loan described above, and made certain conforming changes to comport with the Term Loan provisions. The Revolving Credit Facility was further amended by a third amendment and joinder to the Revolving Credit Facility dated August 23, 2022 (the "Third Amendment"), pursuant to which several previously acquired subsidiaries became parties to the Revolving Credit Facility and granted liens on their assets. On December 22, 2022, the Company entered into a fourth amendment to the Revolving Credit Facility (the "Fourth Amendment") pursuant to which a sale-leaseback transaction was permitted, and certain other changes were made, including a reduction of the maximum commitment amount under the Revolving Credit Facility from $100,000 to $75,000 and transitioning the LIBOR based rates to SOFR based rates. On March 31, 2023, the Company and certain of its subsidiaries entered into a fifth amendment to the Revolving Credit Facility (the “Fifth Amendment”) pursuant to which the maturity date was extended to June 30, 2026, the maximum commitment amount under the Revolving Credit Facility was reduced to $55,000, and the interest rate on borrowings was revised to various spreads, based on the Company's fixed charge coverage ratio. On November 1, 2024, the Company and certain of its subsidiaries entered into a sixth amendment to the Revolving Credit Facility (the “Sixth Amendment”) which reduced the maximum commitment amount under the Revolving Credit Facility to $35,000. On May 9, 2025, the Company and certain of its subsidiaries entered into a seventh amendment to the Revolving Credit Facility (the “Seventh Amendment”), pursuant to which the maturity date of the Revolving Credit Facility was extended from June 30, 2026 to June 30, 2027, the maximum commitment amount under the Revolving Credit Facility was reduced from $35,000 to $22,000, and certain other changes were made, including the addition of a $2,000 availability block, an increase of the cash dominion trigger from less than 10% of availability to less than 50% of availability, and an increase of the fixed charge ratio trigger from less than 10% excess availability to less than 20% of excess availability. The foregoing description of the Seventh Amendment does not purport to be complete and is qualified in its entirety by reference to the Seventh Amendment.</w:t>
      </w:r>
    </w:p>
    <w:p>
      <w:pPr>
        <w:spacing w:after="0" w:line="163" w:lineRule="exact"/>
        <w:rPr>
          <w:sz w:val="20"/>
          <w:szCs w:val="20"/>
          <w:color w:val="auto"/>
        </w:rPr>
      </w:pPr>
    </w:p>
    <w:p>
      <w:pPr>
        <w:jc w:val="both"/>
        <w:ind w:firstLine="720"/>
        <w:spacing w:after="0" w:line="268" w:lineRule="auto"/>
        <w:rPr>
          <w:sz w:val="20"/>
          <w:szCs w:val="20"/>
          <w:color w:val="auto"/>
        </w:rPr>
      </w:pPr>
      <w:r>
        <w:rPr>
          <w:rFonts w:ascii="Times New Roman" w:cs="Times New Roman" w:eastAsia="Times New Roman" w:hAnsi="Times New Roman"/>
          <w:sz w:val="20"/>
          <w:szCs w:val="20"/>
          <w:color w:val="auto"/>
        </w:rPr>
        <w:t>The unamortized debt discount and deferred financing costs were $209 and $237 as of December 31, 2025, and 2024, respectively, and are included in other assets in the consolidated balance sheet. Debt discount and deferred financing costs were being amortized to interest expense over the term of the Revolving Credit Facility.</w:t>
      </w:r>
    </w:p>
    <w:p>
      <w:pPr>
        <w:spacing w:after="0" w:line="149"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Revolving Credit Facility was an asset-based facility that was secured by a first priority lien on the working capital assets of the Company and a second priority lien on the non-working capital assets of the Company (including most of the Company’s subsidiaries). The borrowing base was based on a detailed monthly calculation of the sum of (a) a percentage of the Eligible Accounts at such time, plus (b) the lesser of (i) a percentage of the Eligible Inventory, at such time, valued at the lower of cost or market value, determined on a first-in-first-out basis, and (ii) the product of a percentage multiplied by the Net Orderly Liquidation Value percentage identified in the most recent inventory appraisal ordered by the Administrative Agent multiplied by the Eligible Inventory, valued at the lower of cost or market value, determined on a first-in-first-out basis, minus (c) Reserves (each of the defined terms above, as defined in the Revolving Credit Facility documents).</w:t>
      </w:r>
    </w:p>
    <w:p>
      <w:pPr>
        <w:spacing w:after="0" w:line="166"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 xml:space="preserve">The Company was required to maintain certain reporting requirements, affirmative covenants and negative covenants, pursuant to terms outlined in the agreement. Additionally, if the Company’s Excess Availability was less than an amount equal to 20% of the Aggregate Revolving Commitment, the Company was required to maintain a minimum fixed charge coverage ratio of 1.1x on a rolling twelve-month basis until the Excess Availability was more than 20% of the Aggregate Revolving Commitment for thirty consecutive days (each of the defined terms above, as defined in the Revolving Credit Facility documents). In order to consummate permitted acquisitions or to make restricted payments, the Company was required to comply with a higher fixed charge coverage ratio of 1.15x.. The Company received a consent from JPMorgan Chase Bank, N.A., as administrative agent, to permit the cash settlement of fractional shares in connection with the Reverse Stock Split, which is described further in Note 3 – </w:t>
      </w:r>
      <w:r>
        <w:rPr>
          <w:rFonts w:ascii="Times New Roman" w:cs="Times New Roman" w:eastAsia="Times New Roman" w:hAnsi="Times New Roman"/>
          <w:sz w:val="20"/>
          <w:szCs w:val="20"/>
          <w:i w:val="1"/>
          <w:iCs w:val="1"/>
          <w:color w:val="auto"/>
        </w:rPr>
        <w:t>Basis of Presentation and Significant Accounting Policies</w:t>
      </w:r>
      <w:r>
        <w:rPr>
          <w:rFonts w:ascii="Times New Roman" w:cs="Times New Roman" w:eastAsia="Times New Roman" w:hAnsi="Times New Roman"/>
          <w:sz w:val="20"/>
          <w:szCs w:val="20"/>
          <w:color w:val="auto"/>
        </w:rPr>
        <w:t>. As of December 31, 2025, the Company was in compliance with the covenants contained in the Revolving Credit Facility.</w:t>
      </w:r>
    </w:p>
    <w:p>
      <w:pPr>
        <w:spacing w:after="0" w:line="166" w:lineRule="exact"/>
        <w:rPr>
          <w:sz w:val="20"/>
          <w:szCs w:val="20"/>
          <w:color w:val="auto"/>
        </w:rPr>
      </w:pPr>
    </w:p>
    <w:p>
      <w:pPr>
        <w:jc w:val="both"/>
        <w:ind w:firstLine="720"/>
        <w:spacing w:after="0" w:line="268" w:lineRule="auto"/>
        <w:rPr>
          <w:sz w:val="20"/>
          <w:szCs w:val="20"/>
          <w:color w:val="auto"/>
        </w:rPr>
      </w:pPr>
      <w:r>
        <w:rPr>
          <w:rFonts w:ascii="Times New Roman" w:cs="Times New Roman" w:eastAsia="Times New Roman" w:hAnsi="Times New Roman"/>
          <w:sz w:val="20"/>
          <w:szCs w:val="20"/>
          <w:color w:val="auto"/>
        </w:rPr>
        <w:t>The Revolving Credit Facility provided for various interest rate options including the Adjusted Term SOFR Rate, the Adjusted REVSOFR30 Rate, the CB Floating Rate, the Adjusted Daily Simple SOFR, or the CBFR. The rates that use SOFR as the reference rate (Adjusted Term SOFR Rate, the Adjusted REVSOFR30 Rate, the Adjusted Daily Simple SOFR and the</w:t>
      </w:r>
    </w:p>
    <w:p>
      <w:pPr>
        <w:sectPr>
          <w:pgSz w:w="12240" w:h="15840" w:orient="portrait"/>
          <w:cols w:equalWidth="0" w:num="1">
            <w:col w:w="10260"/>
          </w:cols>
          <w:pgMar w:left="1000" w:top="420" w:right="980" w:bottom="0" w:gutter="0" w:footer="0" w:header="0"/>
        </w:sectPr>
      </w:pPr>
    </w:p>
    <w:p>
      <w:pPr>
        <w:spacing w:after="0" w:line="29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83</w:t>
      </w:r>
    </w:p>
    <w:p>
      <w:pPr>
        <w:sectPr>
          <w:pgSz w:w="12240" w:h="15840" w:orient="portrait"/>
          <w:cols w:equalWidth="0" w:num="1">
            <w:col w:w="10260"/>
          </w:cols>
          <w:pgMar w:left="1000" w:top="420" w:right="980" w:bottom="0" w:gutter="0" w:footer="0" w:header="0"/>
          <w:type w:val="continuous"/>
        </w:sectPr>
      </w:pPr>
    </w:p>
    <w:bookmarkStart w:id="85" w:name="page86"/>
    <w:bookmarkEnd w:id="85"/>
    <w:p>
      <w:pPr>
        <w:ind w:left="60"/>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4"/>
          <w:szCs w:val="24"/>
          <w:b w:val="1"/>
          <w:bCs w:val="1"/>
          <w:color w:val="auto"/>
        </w:rPr>
        <w:t>Hydrofarm Holdings Group, Inc.</w:t>
      </w:r>
    </w:p>
    <w:p>
      <w:pPr>
        <w:spacing w:after="0" w:line="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pacing w:after="0" w:line="343" w:lineRule="exact"/>
        <w:rPr>
          <w:sz w:val="20"/>
          <w:szCs w:val="20"/>
          <w:color w:val="auto"/>
        </w:rPr>
      </w:pPr>
    </w:p>
    <w:p>
      <w:pPr>
        <w:jc w:val="both"/>
        <w:ind w:left="60"/>
        <w:spacing w:after="0" w:line="288" w:lineRule="auto"/>
        <w:rPr>
          <w:sz w:val="20"/>
          <w:szCs w:val="20"/>
          <w:color w:val="auto"/>
        </w:rPr>
      </w:pPr>
      <w:r>
        <w:rPr>
          <w:rFonts w:ascii="Times New Roman" w:cs="Times New Roman" w:eastAsia="Times New Roman" w:hAnsi="Times New Roman"/>
          <w:sz w:val="20"/>
          <w:szCs w:val="20"/>
          <w:color w:val="auto"/>
        </w:rPr>
        <w:t>CBFR rate) use the Term SOFR Rate plus 1.95%. Each rate had a 0.0% floor. A fee of 0.40% per annum was charged for available but unused borrowings.</w:t>
      </w:r>
    </w:p>
    <w:p>
      <w:pPr>
        <w:spacing w:after="0" w:line="12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color w:val="auto"/>
        </w:rPr>
        <w:t>As of December 31, 2025, and 2024, the Company had zero borrowed under the facility.</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i w:val="1"/>
          <w:iCs w:val="1"/>
          <w:color w:val="auto"/>
        </w:rPr>
        <w:t>Subsequent Event</w:t>
      </w:r>
    </w:p>
    <w:p>
      <w:pPr>
        <w:spacing w:after="0" w:line="207" w:lineRule="exact"/>
        <w:rPr>
          <w:sz w:val="20"/>
          <w:szCs w:val="20"/>
          <w:color w:val="auto"/>
        </w:rPr>
      </w:pPr>
    </w:p>
    <w:p>
      <w:pPr>
        <w:jc w:val="both"/>
        <w:ind w:left="60" w:firstLine="720"/>
        <w:spacing w:after="0" w:line="260" w:lineRule="auto"/>
        <w:rPr>
          <w:sz w:val="20"/>
          <w:szCs w:val="20"/>
          <w:color w:val="auto"/>
        </w:rPr>
      </w:pPr>
      <w:r>
        <w:rPr>
          <w:rFonts w:ascii="Times New Roman" w:cs="Times New Roman" w:eastAsia="Times New Roman" w:hAnsi="Times New Roman"/>
          <w:sz w:val="20"/>
          <w:szCs w:val="20"/>
          <w:color w:val="auto"/>
        </w:rPr>
        <w:t>On February 17, 2026, the Company entered into the Termination Agreement to terminate the Revolving Credit Agreement. Pursuant to the terms of the Termination Agreement, the parties agreed to terminate the Revolving Credit Agreement subject to the survival of each of the provisions of the Revolving Credit Agreement and Loan Documents (as defined in the Revolving Credit Agreement) and in the certificates delivered in connection with or pursuant to the Revolving Credit Agreement that survive termination of the Revolving Credit Agreement.</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Other debt</w:t>
      </w:r>
    </w:p>
    <w:p>
      <w:pPr>
        <w:spacing w:after="0" w:line="210" w:lineRule="exact"/>
        <w:rPr>
          <w:sz w:val="20"/>
          <w:szCs w:val="20"/>
          <w:color w:val="auto"/>
        </w:rPr>
      </w:pPr>
    </w:p>
    <w:p>
      <w:pPr>
        <w:jc w:val="both"/>
        <w:ind w:left="60" w:firstLine="720"/>
        <w:spacing w:after="0" w:line="287" w:lineRule="auto"/>
        <w:rPr>
          <w:sz w:val="20"/>
          <w:szCs w:val="20"/>
          <w:color w:val="auto"/>
        </w:rPr>
      </w:pPr>
      <w:r>
        <w:rPr>
          <w:rFonts w:ascii="Times New Roman" w:cs="Times New Roman" w:eastAsia="Times New Roman" w:hAnsi="Times New Roman"/>
          <w:sz w:val="20"/>
          <w:szCs w:val="20"/>
          <w:color w:val="auto"/>
        </w:rPr>
        <w:t>Other debt of $85 and $93 as of December 31, 2025, and 2024, respectively, was primarily comprised of a foreign subsidiary's other debt which constitutes an immaterial revolving line of credit and mortgage.</w:t>
      </w:r>
    </w:p>
    <w:p>
      <w:pPr>
        <w:spacing w:after="0" w:line="1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Loss on debt modification</w:t>
      </w:r>
    </w:p>
    <w:p>
      <w:pPr>
        <w:spacing w:after="0" w:line="210" w:lineRule="exact"/>
        <w:rPr>
          <w:sz w:val="20"/>
          <w:szCs w:val="20"/>
          <w:color w:val="auto"/>
        </w:rPr>
      </w:pPr>
    </w:p>
    <w:p>
      <w:pPr>
        <w:jc w:val="both"/>
        <w:ind w:left="60" w:right="20" w:firstLine="720"/>
        <w:spacing w:after="0" w:line="269" w:lineRule="auto"/>
        <w:rPr>
          <w:sz w:val="20"/>
          <w:szCs w:val="20"/>
          <w:color w:val="auto"/>
        </w:rPr>
      </w:pPr>
      <w:r>
        <w:rPr>
          <w:rFonts w:ascii="Times New Roman" w:cs="Times New Roman" w:eastAsia="Times New Roman" w:hAnsi="Times New Roman"/>
          <w:sz w:val="20"/>
          <w:szCs w:val="20"/>
          <w:color w:val="auto"/>
        </w:rPr>
        <w:t>The losses on debt modification of $120 and $195 for the years ended December 31, 2025 and 2024, respectively, resulting primarily from the financing transactions described above, are presented in other (expense) income, net on the consolidated statement of operations.</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Aggregate future principal payments</w:t>
      </w:r>
    </w:p>
    <w:p>
      <w:pPr>
        <w:spacing w:after="0" w:line="20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color w:val="auto"/>
        </w:rPr>
        <w:t>As of December 31, 2025, the aggregate estimated future principal payments under long-term debt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40" w:type="dxa"/>
            <w:vAlign w:val="bottom"/>
            <w:tcBorders>
              <w:bottom w:val="single" w:sz="8" w:color="D2EEF5"/>
            </w:tcBorders>
          </w:tcPr>
          <w:p>
            <w:pPr>
              <w:spacing w:after="0"/>
              <w:rPr>
                <w:sz w:val="22"/>
                <w:szCs w:val="22"/>
                <w:color w:val="auto"/>
              </w:rPr>
            </w:pPr>
          </w:p>
        </w:tc>
        <w:tc>
          <w:tcPr>
            <w:tcW w:w="20" w:type="dxa"/>
            <w:vAlign w:val="bottom"/>
            <w:tcBorders>
              <w:bottom w:val="single" w:sz="8" w:color="D2EEF5"/>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8"/>
                <w:szCs w:val="18"/>
                <w:b w:val="1"/>
                <w:bCs w:val="1"/>
                <w:color w:val="auto"/>
              </w:rPr>
              <w:t>Debt</w:t>
            </w:r>
          </w:p>
        </w:tc>
      </w:tr>
      <w:tr>
        <w:trPr>
          <w:trHeight w:val="295"/>
        </w:trPr>
        <w:tc>
          <w:tcPr>
            <w:tcW w:w="8900" w:type="dxa"/>
            <w:vAlign w:val="bottom"/>
            <w:shd w:val="clear" w:color="auto" w:fill="D2EEF5"/>
          </w:tcPr>
          <w:p>
            <w:pPr>
              <w:jc w:val="right"/>
              <w:ind w:right="8342"/>
              <w:spacing w:after="0"/>
              <w:rPr>
                <w:sz w:val="20"/>
                <w:szCs w:val="20"/>
                <w:color w:val="auto"/>
              </w:rPr>
            </w:pPr>
            <w:r>
              <w:rPr>
                <w:rFonts w:ascii="Times New Roman" w:cs="Times New Roman" w:eastAsia="Times New Roman" w:hAnsi="Times New Roman"/>
                <w:sz w:val="20"/>
                <w:szCs w:val="20"/>
                <w:color w:val="auto"/>
              </w:rPr>
              <w:t>2026</w:t>
            </w:r>
          </w:p>
        </w:tc>
        <w:tc>
          <w:tcPr>
            <w:tcW w:w="4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300" w:type="dxa"/>
            <w:vAlign w:val="bottom"/>
            <w:shd w:val="clear" w:color="auto" w:fill="D2EEF5"/>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shd w:val="clear" w:color="auto" w:fill="D2EEF5"/>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114,429</w:t>
            </w:r>
          </w:p>
        </w:tc>
      </w:tr>
      <w:tr>
        <w:trPr>
          <w:trHeight w:val="311"/>
        </w:trPr>
        <w:tc>
          <w:tcPr>
            <w:tcW w:w="8900" w:type="dxa"/>
            <w:vAlign w:val="bottom"/>
          </w:tcPr>
          <w:p>
            <w:pPr>
              <w:jc w:val="right"/>
              <w:ind w:right="8342"/>
              <w:spacing w:after="0"/>
              <w:rPr>
                <w:sz w:val="20"/>
                <w:szCs w:val="20"/>
                <w:color w:val="auto"/>
              </w:rPr>
            </w:pPr>
            <w:r>
              <w:rPr>
                <w:rFonts w:ascii="Times New Roman" w:cs="Times New Roman" w:eastAsia="Times New Roman" w:hAnsi="Times New Roman"/>
                <w:sz w:val="20"/>
                <w:szCs w:val="20"/>
                <w:color w:val="auto"/>
              </w:rPr>
              <w:t>2027</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21</w:t>
            </w:r>
          </w:p>
        </w:tc>
      </w:tr>
      <w:tr>
        <w:trPr>
          <w:trHeight w:val="319"/>
        </w:trPr>
        <w:tc>
          <w:tcPr>
            <w:tcW w:w="8900" w:type="dxa"/>
            <w:vAlign w:val="bottom"/>
            <w:shd w:val="clear" w:color="auto" w:fill="D2EEF5"/>
          </w:tcPr>
          <w:p>
            <w:pPr>
              <w:jc w:val="right"/>
              <w:ind w:right="8342"/>
              <w:spacing w:after="0"/>
              <w:rPr>
                <w:sz w:val="20"/>
                <w:szCs w:val="20"/>
                <w:color w:val="auto"/>
              </w:rPr>
            </w:pPr>
            <w:r>
              <w:rPr>
                <w:rFonts w:ascii="Times New Roman" w:cs="Times New Roman" w:eastAsia="Times New Roman" w:hAnsi="Times New Roman"/>
                <w:sz w:val="20"/>
                <w:szCs w:val="20"/>
                <w:color w:val="auto"/>
              </w:rPr>
              <w:t>2028</w:t>
            </w:r>
          </w:p>
        </w:tc>
        <w:tc>
          <w:tcPr>
            <w:tcW w:w="4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300" w:type="dxa"/>
            <w:vAlign w:val="bottom"/>
            <w:shd w:val="clear" w:color="auto" w:fill="D2EEF5"/>
          </w:tcPr>
          <w:p>
            <w:pPr>
              <w:spacing w:after="0"/>
              <w:rPr>
                <w:sz w:val="24"/>
                <w:szCs w:val="24"/>
                <w:color w:val="auto"/>
              </w:rPr>
            </w:pP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22</w:t>
            </w:r>
          </w:p>
        </w:tc>
      </w:tr>
      <w:tr>
        <w:trPr>
          <w:trHeight w:val="315"/>
        </w:trPr>
        <w:tc>
          <w:tcPr>
            <w:tcW w:w="8900" w:type="dxa"/>
            <w:vAlign w:val="bottom"/>
          </w:tcPr>
          <w:p>
            <w:pPr>
              <w:jc w:val="right"/>
              <w:ind w:right="8342"/>
              <w:spacing w:after="0"/>
              <w:rPr>
                <w:sz w:val="20"/>
                <w:szCs w:val="20"/>
                <w:color w:val="auto"/>
              </w:rPr>
            </w:pPr>
            <w:r>
              <w:rPr>
                <w:rFonts w:ascii="Times New Roman" w:cs="Times New Roman" w:eastAsia="Times New Roman" w:hAnsi="Times New Roman"/>
                <w:sz w:val="20"/>
                <w:szCs w:val="20"/>
                <w:color w:val="auto"/>
              </w:rPr>
              <w:t>2029</w:t>
            </w:r>
          </w:p>
        </w:tc>
        <w:tc>
          <w:tcPr>
            <w:tcW w:w="40" w:type="dxa"/>
            <w:vAlign w:val="bottom"/>
            <w:tcBorders>
              <w:bottom w:val="single" w:sz="8" w:color="D2EEF5"/>
            </w:tcBorders>
          </w:tcPr>
          <w:p>
            <w:pPr>
              <w:spacing w:after="0"/>
              <w:rPr>
                <w:sz w:val="24"/>
                <w:szCs w:val="24"/>
                <w:color w:val="auto"/>
              </w:rPr>
            </w:pPr>
          </w:p>
        </w:tc>
        <w:tc>
          <w:tcPr>
            <w:tcW w:w="20" w:type="dxa"/>
            <w:vAlign w:val="bottom"/>
            <w:tcBorders>
              <w:bottom w:val="single" w:sz="8" w:color="D2EEF5"/>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7</w:t>
            </w:r>
          </w:p>
        </w:tc>
      </w:tr>
      <w:tr>
        <w:trPr>
          <w:trHeight w:val="297"/>
        </w:trPr>
        <w:tc>
          <w:tcPr>
            <w:tcW w:w="8900" w:type="dxa"/>
            <w:vAlign w:val="bottom"/>
            <w:shd w:val="clear" w:color="auto" w:fill="D2EEF5"/>
          </w:tcPr>
          <w:p>
            <w:pPr>
              <w:ind w:left="6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40" w:type="dxa"/>
            <w:vAlign w:val="bottom"/>
            <w:shd w:val="clear" w:color="auto" w:fill="D2EEF5"/>
          </w:tcPr>
          <w:p>
            <w:pPr>
              <w:spacing w:after="0"/>
              <w:rPr>
                <w:sz w:val="24"/>
                <w:szCs w:val="24"/>
                <w:color w:val="auto"/>
              </w:rPr>
            </w:pPr>
          </w:p>
        </w:tc>
        <w:tc>
          <w:tcPr>
            <w:tcW w:w="20" w:type="dxa"/>
            <w:vAlign w:val="bottom"/>
            <w:tcBorders>
              <w:bottom w:val="single" w:sz="8" w:color="auto"/>
            </w:tcBorders>
            <w:shd w:val="clear" w:color="auto" w:fill="D2EEF5"/>
          </w:tcPr>
          <w:p>
            <w:pPr>
              <w:spacing w:after="0"/>
              <w:rPr>
                <w:sz w:val="24"/>
                <w:szCs w:val="24"/>
                <w:color w:val="auto"/>
              </w:rPr>
            </w:pPr>
          </w:p>
        </w:tc>
        <w:tc>
          <w:tcPr>
            <w:tcW w:w="300" w:type="dxa"/>
            <w:vAlign w:val="bottom"/>
            <w:tcBorders>
              <w:bottom w:val="single" w:sz="8" w:color="auto"/>
            </w:tcBorders>
            <w:shd w:val="clear" w:color="auto" w:fill="D2EEF5"/>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tcBorders>
              <w:bottom w:val="single" w:sz="8" w:color="auto"/>
            </w:tcBorders>
            <w:shd w:val="clear" w:color="auto" w:fill="D2EEF5"/>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114,479</w:t>
            </w:r>
          </w:p>
        </w:tc>
      </w:tr>
      <w:tr>
        <w:trPr>
          <w:trHeight w:val="20"/>
        </w:trPr>
        <w:tc>
          <w:tcPr>
            <w:tcW w:w="8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12. STOCKHOLDERS’ EQUITY</w:t>
      </w: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Common stock</w:t>
      </w:r>
    </w:p>
    <w:p>
      <w:pPr>
        <w:spacing w:after="0" w:line="210" w:lineRule="exact"/>
        <w:rPr>
          <w:sz w:val="20"/>
          <w:szCs w:val="20"/>
          <w:color w:val="auto"/>
        </w:rPr>
      </w:pPr>
    </w:p>
    <w:p>
      <w:pPr>
        <w:jc w:val="both"/>
        <w:ind w:left="60" w:firstLine="720"/>
        <w:spacing w:after="0" w:line="256" w:lineRule="auto"/>
        <w:rPr>
          <w:sz w:val="20"/>
          <w:szCs w:val="20"/>
          <w:color w:val="auto"/>
        </w:rPr>
      </w:pPr>
      <w:r>
        <w:rPr>
          <w:rFonts w:ascii="Times New Roman" w:cs="Times New Roman" w:eastAsia="Times New Roman" w:hAnsi="Times New Roman"/>
          <w:sz w:val="20"/>
          <w:szCs w:val="20"/>
          <w:color w:val="auto"/>
        </w:rPr>
        <w:t>Each holder of common stock is entitled to one vote for each share of common stock. Common stockholders have no pre-emptive rights to acquire additional shares of common stock or other securities. The common stock is not subject to redemption rights and carries no subscription or conversion rights. In the event of liquidation, the stockholders are entitled to share in corporate assets on a pro rata basis after the Company satisfies all liabilities and after provision is made for any class of capital stock having preference over the common stock. Subject to corporate regulations and preferences to preferred stock, if any, dividends are at the discretion of the board of directors. As of December 31, 2025, there were 4,667,004 shares outstanding and 300,000,000 shares authorized.</w:t>
      </w:r>
    </w:p>
    <w:p>
      <w:pPr>
        <w:spacing w:after="0" w:line="3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13. STOCK-BASED COMPENSATION</w:t>
      </w: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 plan overview</w:t>
      </w:r>
    </w:p>
    <w:p>
      <w:pPr>
        <w:spacing w:after="0" w:line="210" w:lineRule="exact"/>
        <w:rPr>
          <w:sz w:val="20"/>
          <w:szCs w:val="20"/>
          <w:color w:val="auto"/>
        </w:rPr>
      </w:pPr>
    </w:p>
    <w:p>
      <w:pPr>
        <w:jc w:val="both"/>
        <w:ind w:left="60" w:firstLine="720"/>
        <w:spacing w:after="0" w:line="287" w:lineRule="auto"/>
        <w:rPr>
          <w:sz w:val="20"/>
          <w:szCs w:val="20"/>
          <w:color w:val="auto"/>
        </w:rPr>
      </w:pPr>
      <w:r>
        <w:rPr>
          <w:rFonts w:ascii="Times New Roman" w:cs="Times New Roman" w:eastAsia="Times New Roman" w:hAnsi="Times New Roman"/>
          <w:sz w:val="20"/>
          <w:szCs w:val="20"/>
          <w:color w:val="auto"/>
        </w:rPr>
        <w:t>The Company maintains three equity incentive plans: the 2018 Equity Incentive Plan ("2018 Plan"), the 2019 Employee, Director and Consultant Equity Incentive Plan ("2019 Plan") and the 2020 Employee, Director, and Consultant</w:t>
      </w:r>
    </w:p>
    <w:p>
      <w:pPr>
        <w:sectPr>
          <w:pgSz w:w="12240" w:h="15840" w:orient="portrait"/>
          <w:cols w:equalWidth="0" w:num="1">
            <w:col w:w="10320"/>
          </w:cols>
          <w:pgMar w:left="940" w:top="420" w:right="980" w:bottom="0" w:gutter="0" w:footer="0" w:header="0"/>
        </w:sectPr>
      </w:pPr>
    </w:p>
    <w:p>
      <w:pPr>
        <w:spacing w:after="0" w:line="37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0"/>
          <w:szCs w:val="20"/>
          <w:color w:val="auto"/>
        </w:rPr>
        <w:t>84</w:t>
      </w:r>
    </w:p>
    <w:p>
      <w:pPr>
        <w:sectPr>
          <w:pgSz w:w="12240" w:h="15840" w:orient="portrait"/>
          <w:cols w:equalWidth="0" w:num="1">
            <w:col w:w="10320"/>
          </w:cols>
          <w:pgMar w:left="940" w:top="420" w:right="980" w:bottom="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Hydrofarm Holdings Group, Inc.</w:t>
      </w:r>
    </w:p>
    <w:p>
      <w:pPr>
        <w:spacing w:after="0" w:line="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pacing w:after="0" w:line="34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Equity Incentive Plan ("2020 Plan" and collectively, "Incentive Plans"). The 2020 Plan serves as the successor to the 2019 Plan and 2018 Plan and provides for the issuance of incentive stock options ("ISOs"), stock grants and stock-based awards to employees, directors, and consultants of the Company. No further awards will be issued under the 2018 Plan and 2019 Plan. As of December 31, 2025, a total of 301,127 shares were available for grant under the 2020 Plan.</w:t>
      </w:r>
    </w:p>
    <w:p>
      <w:pPr>
        <w:spacing w:after="0" w:line="152"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The Incentive Plans are administered by the Company's board of directors. Notwithstanding the foregoing, the board of directors may delegate concurrent responsibility for administering each plan, including with respect to designated classes of persons eligible to receive an award under each plan, to a committee or committees (which term shall include subcommittees) consisting of one or more members of the board of directors (collectively, the "Plan Administrator"), subject to such limitations as the board of directors deems appropriate.</w:t>
      </w:r>
    </w:p>
    <w:p>
      <w:pPr>
        <w:spacing w:after="0" w:line="159"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In November 2020, the board of directors and stockholders approved the 2020 Plan and reserved an aggregate of 228,405 shares of common stock for issuance under the 2020 Plan. Pursuant to the 2020 Plan, the number of shares available for issuance under the 2020 Plan may be increased on January 1 of each year, beginning on January 1, 2021, and ending on January 2, 2030, in an amount equal to the lesser of (i) 4% of the outstanding shares of the Company’s common stock on such date or (ii) such number of shares determined by the Plan Administrator.</w:t>
      </w:r>
    </w:p>
    <w:p>
      <w:pPr>
        <w:spacing w:after="0" w:line="158"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color w:val="auto"/>
        </w:rPr>
        <w:t>The 2020 Plan provides for the grant of ISOs, nonqualified stock options, stock grants, and stock-based awards that are based in whole or in part by reference to the Company’s common stock.</w:t>
      </w:r>
    </w:p>
    <w:p>
      <w:pPr>
        <w:spacing w:after="0" w:line="128" w:lineRule="exact"/>
        <w:rPr>
          <w:sz w:val="20"/>
          <w:szCs w:val="20"/>
          <w:color w:val="auto"/>
        </w:rPr>
      </w:pPr>
    </w:p>
    <w:p>
      <w:pPr>
        <w:jc w:val="both"/>
        <w:ind w:left="720" w:hanging="370"/>
        <w:spacing w:after="0" w:line="260" w:lineRule="auto"/>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Administrator may grant options designated as ISOs or nonqualified stock options. Options shall be granted with an exercise price per share not less than 100% of the fair market value of the common stock on the grant date, subject to certain limitations and exceptions as described in the plan agreements. Generally, the maximum term of an option shall be 10 years from the grant date. The Plan Administrator shall establish and set forth in each instrument that evidences an option the time at which, or the installments in which, the option shall vest and become exercisable.</w:t>
      </w:r>
    </w:p>
    <w:p>
      <w:pPr>
        <w:spacing w:after="0" w:line="154" w:lineRule="exact"/>
        <w:rPr>
          <w:rFonts w:ascii="Times New Roman" w:cs="Times New Roman" w:eastAsia="Times New Roman" w:hAnsi="Times New Roman"/>
          <w:sz w:val="20"/>
          <w:szCs w:val="20"/>
          <w:color w:val="auto"/>
        </w:rPr>
      </w:pPr>
    </w:p>
    <w:p>
      <w:pPr>
        <w:jc w:val="both"/>
        <w:ind w:left="720" w:hanging="370"/>
        <w:spacing w:after="0" w:line="259" w:lineRule="auto"/>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Administrator may grant stock grants and stock-based awards, including securities convertible into shares, stock appreciation rights, phantom stock awards or stock units on such terms and conditions which may be based on continuous service with the Company or related company or the achievement of any performance goals, as the Plan Administrator shall determine in its sole discretion, which terms, conditions and restrictions shall be set forth in the instrument evidencing the award.</w:t>
      </w:r>
    </w:p>
    <w:p>
      <w:pPr>
        <w:spacing w:after="0" w:line="158"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color w:val="auto"/>
        </w:rPr>
        <w:t>The tax benefits recognized in the consolidated statements of operations for stock-based compensation arrangements for the years ended December 31, 2025, and 2024, were not material to the financial statements.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Restricted Stock Unit Activity</w:t>
      </w:r>
    </w:p>
    <w:p>
      <w:pPr>
        <w:spacing w:after="0" w:line="210"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0"/>
          <w:szCs w:val="20"/>
          <w:color w:val="auto"/>
        </w:rPr>
        <w:t>RSUs granted to certain executives, employees and members of the board of directors expire 10 years after the grant date. The awards generally have a time-based vesting requirement (based on continuous employment). Upon vesting, the RSUs convert into shares of the Company's common stock. The stock-based compensation expense related to service-based awards is recorded over the requisite service period. During the year ended December 31, 2025, the Company granted 231,618 RSU awards to certain directors, executives and employees that are expected to vest with either one, two or three equal vesting tranches, annually on the anniversary of the grant date.</w:t>
      </w:r>
    </w:p>
    <w:p>
      <w:pPr>
        <w:sectPr>
          <w:pgSz w:w="12240" w:h="15840" w:orient="portrait"/>
          <w:cols w:equalWidth="0" w:num="1">
            <w:col w:w="10260"/>
          </w:cols>
          <w:pgMar w:left="1000" w:top="4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85</w:t>
      </w:r>
    </w:p>
    <w:p>
      <w:pPr>
        <w:sectPr>
          <w:pgSz w:w="12240" w:h="15840" w:orient="portrait"/>
          <w:cols w:equalWidth="0" w:num="1">
            <w:col w:w="10260"/>
          </w:cols>
          <w:pgMar w:left="1000" w:top="420" w:right="980" w:bottom="0" w:gutter="0" w:footer="0" w:header="0"/>
          <w:type w:val="continuous"/>
        </w:sectPr>
      </w:pPr>
    </w:p>
    <w:bookmarkStart w:id="87" w:name="page88"/>
    <w:bookmarkEnd w:id="87"/>
    <w:p>
      <w:pPr>
        <w:ind w:left="60"/>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4"/>
          <w:szCs w:val="24"/>
          <w:b w:val="1"/>
          <w:bCs w:val="1"/>
          <w:color w:val="auto"/>
        </w:rPr>
        <w:t>Hydrofarm Holdings Group, Inc.</w:t>
      </w:r>
    </w:p>
    <w:p>
      <w:pPr>
        <w:spacing w:after="0" w:line="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pacing w:after="0" w:line="343" w:lineRule="exact"/>
        <w:rPr>
          <w:sz w:val="20"/>
          <w:szCs w:val="20"/>
          <w:color w:val="auto"/>
        </w:rPr>
      </w:pPr>
    </w:p>
    <w:p>
      <w:pPr>
        <w:jc w:val="both"/>
        <w:ind w:left="60" w:firstLine="720"/>
        <w:spacing w:after="0" w:line="269" w:lineRule="auto"/>
        <w:rPr>
          <w:sz w:val="20"/>
          <w:szCs w:val="20"/>
          <w:color w:val="auto"/>
        </w:rPr>
      </w:pPr>
      <w:r>
        <w:rPr>
          <w:rFonts w:ascii="Times New Roman" w:cs="Times New Roman" w:eastAsia="Times New Roman" w:hAnsi="Times New Roman"/>
          <w:sz w:val="20"/>
          <w:szCs w:val="20"/>
          <w:color w:val="auto"/>
        </w:rPr>
        <w:t>The following table summarizes the activity related to the Company's RSUs for the year ended December 31, 2025. For purposes of this table, vested RSUs represent the shares for which the service condition had been fulfilled during the year ended December 31, 2025:</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60" w:type="dxa"/>
            <w:vAlign w:val="bottom"/>
          </w:tcPr>
          <w:p>
            <w:pPr>
              <w:spacing w:after="0"/>
              <w:rPr>
                <w:sz w:val="17"/>
                <w:szCs w:val="17"/>
                <w:color w:val="auto"/>
              </w:rPr>
            </w:pPr>
          </w:p>
        </w:tc>
        <w:tc>
          <w:tcPr>
            <w:tcW w:w="1640" w:type="dxa"/>
            <w:vAlign w:val="bottom"/>
          </w:tcPr>
          <w:p>
            <w:pPr>
              <w:jc w:val="center"/>
              <w:ind w:right="164"/>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80"/>
        </w:trPr>
        <w:tc>
          <w:tcPr>
            <w:tcW w:w="6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tcPr>
          <w:p>
            <w:pPr>
              <w:jc w:val="center"/>
              <w:ind w:right="164"/>
              <w:spacing w:after="0" w:line="180" w:lineRule="exact"/>
              <w:rPr>
                <w:sz w:val="20"/>
                <w:szCs w:val="20"/>
                <w:color w:val="auto"/>
              </w:rPr>
            </w:pPr>
            <w:r>
              <w:rPr>
                <w:rFonts w:ascii="Times New Roman" w:cs="Times New Roman" w:eastAsia="Times New Roman" w:hAnsi="Times New Roman"/>
                <w:sz w:val="18"/>
                <w:szCs w:val="18"/>
                <w:b w:val="1"/>
                <w:bCs w:val="1"/>
                <w:color w:val="auto"/>
                <w:w w:val="99"/>
              </w:rPr>
              <w:t>average grant</w:t>
            </w:r>
          </w:p>
        </w:tc>
        <w:tc>
          <w:tcPr>
            <w:tcW w:w="0" w:type="dxa"/>
            <w:vAlign w:val="bottom"/>
          </w:tcPr>
          <w:p>
            <w:pPr>
              <w:spacing w:after="0"/>
              <w:rPr>
                <w:sz w:val="1"/>
                <w:szCs w:val="1"/>
                <w:color w:val="auto"/>
              </w:rPr>
            </w:pPr>
          </w:p>
        </w:tc>
      </w:tr>
      <w:tr>
        <w:trPr>
          <w:trHeight w:val="226"/>
        </w:trPr>
        <w:tc>
          <w:tcPr>
            <w:tcW w:w="6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RSUs</w:t>
            </w:r>
          </w:p>
        </w:tc>
        <w:tc>
          <w:tcPr>
            <w:tcW w:w="260" w:type="dxa"/>
            <w:vAlign w:val="bottom"/>
          </w:tcPr>
          <w:p>
            <w:pPr>
              <w:spacing w:after="0"/>
              <w:rPr>
                <w:sz w:val="19"/>
                <w:szCs w:val="19"/>
                <w:color w:val="auto"/>
              </w:rPr>
            </w:pPr>
          </w:p>
        </w:tc>
        <w:tc>
          <w:tcPr>
            <w:tcW w:w="1640" w:type="dxa"/>
            <w:vAlign w:val="bottom"/>
          </w:tcPr>
          <w:p>
            <w:pPr>
              <w:jc w:val="center"/>
              <w:ind w:right="164"/>
              <w:spacing w:after="0"/>
              <w:rPr>
                <w:sz w:val="20"/>
                <w:szCs w:val="20"/>
                <w:color w:val="auto"/>
              </w:rPr>
            </w:pPr>
            <w:r>
              <w:rPr>
                <w:rFonts w:ascii="Times New Roman" w:cs="Times New Roman" w:eastAsia="Times New Roman" w:hAnsi="Times New Roman"/>
                <w:sz w:val="18"/>
                <w:szCs w:val="18"/>
                <w:b w:val="1"/>
                <w:bCs w:val="1"/>
                <w:color w:val="auto"/>
                <w:w w:val="99"/>
              </w:rPr>
              <w:t>date fair value</w:t>
            </w:r>
          </w:p>
        </w:tc>
        <w:tc>
          <w:tcPr>
            <w:tcW w:w="0" w:type="dxa"/>
            <w:vAlign w:val="bottom"/>
          </w:tcPr>
          <w:p>
            <w:pPr>
              <w:spacing w:after="0"/>
              <w:rPr>
                <w:sz w:val="1"/>
                <w:szCs w:val="1"/>
                <w:color w:val="auto"/>
              </w:rPr>
            </w:pPr>
          </w:p>
        </w:tc>
      </w:tr>
      <w:tr>
        <w:trPr>
          <w:trHeight w:val="266"/>
        </w:trPr>
        <w:tc>
          <w:tcPr>
            <w:tcW w:w="6280" w:type="dxa"/>
            <w:vAlign w:val="bottom"/>
            <w:tcBorders>
              <w:top w:val="single" w:sz="8" w:color="D2EEF5"/>
            </w:tcBorders>
            <w:shd w:val="clear" w:color="auto" w:fill="D2EEF5"/>
          </w:tcPr>
          <w:p>
            <w:pPr>
              <w:ind w:left="60"/>
              <w:spacing w:after="0"/>
              <w:rPr>
                <w:sz w:val="20"/>
                <w:szCs w:val="20"/>
                <w:color w:val="auto"/>
              </w:rPr>
            </w:pPr>
            <w:r>
              <w:rPr>
                <w:rFonts w:ascii="Times New Roman" w:cs="Times New Roman" w:eastAsia="Times New Roman" w:hAnsi="Times New Roman"/>
                <w:sz w:val="20"/>
                <w:szCs w:val="20"/>
                <w:b w:val="1"/>
                <w:bCs w:val="1"/>
                <w:color w:val="auto"/>
              </w:rPr>
              <w:t>Balance, December 31, 2024</w:t>
            </w:r>
          </w:p>
        </w:tc>
        <w:tc>
          <w:tcPr>
            <w:tcW w:w="100" w:type="dxa"/>
            <w:vAlign w:val="bottom"/>
            <w:tcBorders>
              <w:top w:val="single" w:sz="8" w:color="D2EEF5"/>
            </w:tcBorders>
            <w:shd w:val="clear" w:color="auto" w:fill="D2EEF5"/>
          </w:tcPr>
          <w:p>
            <w:pPr>
              <w:spacing w:after="0"/>
              <w:rPr>
                <w:sz w:val="23"/>
                <w:szCs w:val="23"/>
                <w:color w:val="auto"/>
              </w:rPr>
            </w:pPr>
          </w:p>
        </w:tc>
        <w:tc>
          <w:tcPr>
            <w:tcW w:w="1920" w:type="dxa"/>
            <w:vAlign w:val="bottom"/>
            <w:tcBorders>
              <w:top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102,030</w:t>
            </w:r>
          </w:p>
        </w:tc>
        <w:tc>
          <w:tcPr>
            <w:tcW w:w="60" w:type="dxa"/>
            <w:vAlign w:val="bottom"/>
            <w:tcBorders>
              <w:top w:val="single" w:sz="8" w:color="D2EEF5"/>
            </w:tcBorders>
            <w:shd w:val="clear" w:color="auto" w:fill="D2EEF5"/>
          </w:tcPr>
          <w:p>
            <w:pPr>
              <w:spacing w:after="0"/>
              <w:rPr>
                <w:sz w:val="23"/>
                <w:szCs w:val="23"/>
                <w:color w:val="auto"/>
              </w:rPr>
            </w:pPr>
          </w:p>
        </w:tc>
        <w:tc>
          <w:tcPr>
            <w:tcW w:w="260" w:type="dxa"/>
            <w:vAlign w:val="bottom"/>
            <w:tcBorders>
              <w:top w:val="single" w:sz="8" w:color="auto"/>
            </w:tcBorders>
            <w:shd w:val="clear" w:color="auto" w:fill="D2EEF5"/>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1640" w:type="dxa"/>
            <w:vAlign w:val="bottom"/>
            <w:tcBorders>
              <w:top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13.82</w:t>
            </w:r>
          </w:p>
        </w:tc>
        <w:tc>
          <w:tcPr>
            <w:tcW w:w="0" w:type="dxa"/>
            <w:vAlign w:val="bottom"/>
          </w:tcPr>
          <w:p>
            <w:pPr>
              <w:spacing w:after="0"/>
              <w:rPr>
                <w:sz w:val="1"/>
                <w:szCs w:val="1"/>
                <w:color w:val="auto"/>
              </w:rPr>
            </w:pPr>
          </w:p>
        </w:tc>
      </w:tr>
      <w:tr>
        <w:trPr>
          <w:trHeight w:val="280"/>
        </w:trPr>
        <w:tc>
          <w:tcPr>
            <w:tcW w:w="6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Granted</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231,618</w:t>
            </w:r>
          </w:p>
        </w:tc>
        <w:tc>
          <w:tcPr>
            <w:tcW w:w="60" w:type="dxa"/>
            <w:vAlign w:val="bottom"/>
          </w:tcPr>
          <w:p>
            <w:pPr>
              <w:spacing w:after="0"/>
              <w:rPr>
                <w:sz w:val="24"/>
                <w:szCs w:val="24"/>
                <w:color w:val="auto"/>
              </w:rPr>
            </w:pP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4.56</w:t>
            </w:r>
          </w:p>
        </w:tc>
        <w:tc>
          <w:tcPr>
            <w:tcW w:w="0" w:type="dxa"/>
            <w:vAlign w:val="bottom"/>
          </w:tcPr>
          <w:p>
            <w:pPr>
              <w:spacing w:after="0"/>
              <w:rPr>
                <w:sz w:val="1"/>
                <w:szCs w:val="1"/>
                <w:color w:val="auto"/>
              </w:rPr>
            </w:pPr>
          </w:p>
        </w:tc>
      </w:tr>
      <w:tr>
        <w:trPr>
          <w:trHeight w:val="290"/>
        </w:trPr>
        <w:tc>
          <w:tcPr>
            <w:tcW w:w="6280" w:type="dxa"/>
            <w:vAlign w:val="bottom"/>
            <w:shd w:val="clear" w:color="auto" w:fill="D2EEF5"/>
          </w:tcPr>
          <w:p>
            <w:pPr>
              <w:ind w:left="60"/>
              <w:spacing w:after="0"/>
              <w:rPr>
                <w:sz w:val="20"/>
                <w:szCs w:val="20"/>
                <w:color w:val="auto"/>
              </w:rPr>
            </w:pPr>
            <w:r>
              <w:rPr>
                <w:rFonts w:ascii="Times New Roman" w:cs="Times New Roman" w:eastAsia="Times New Roman" w:hAnsi="Times New Roman"/>
                <w:sz w:val="20"/>
                <w:szCs w:val="20"/>
                <w:color w:val="auto"/>
              </w:rPr>
              <w:t>Vested</w:t>
            </w:r>
          </w:p>
        </w:tc>
        <w:tc>
          <w:tcPr>
            <w:tcW w:w="100" w:type="dxa"/>
            <w:vAlign w:val="bottom"/>
            <w:shd w:val="clear" w:color="auto" w:fill="D2EEF5"/>
          </w:tcPr>
          <w:p>
            <w:pPr>
              <w:spacing w:after="0"/>
              <w:rPr>
                <w:sz w:val="24"/>
                <w:szCs w:val="24"/>
                <w:color w:val="auto"/>
              </w:rPr>
            </w:pPr>
          </w:p>
        </w:tc>
        <w:tc>
          <w:tcPr>
            <w:tcW w:w="1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(124,511)</w:t>
            </w:r>
          </w:p>
        </w:tc>
        <w:tc>
          <w:tcPr>
            <w:tcW w:w="60" w:type="dxa"/>
            <w:vAlign w:val="bottom"/>
            <w:shd w:val="clear" w:color="auto" w:fill="D2EEF5"/>
          </w:tcPr>
          <w:p>
            <w:pPr>
              <w:spacing w:after="0"/>
              <w:rPr>
                <w:sz w:val="24"/>
                <w:szCs w:val="24"/>
                <w:color w:val="auto"/>
              </w:rPr>
            </w:pPr>
          </w:p>
        </w:tc>
        <w:tc>
          <w:tcPr>
            <w:tcW w:w="260" w:type="dxa"/>
            <w:vAlign w:val="bottom"/>
            <w:shd w:val="clear" w:color="auto" w:fill="D2EEF5"/>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1640" w:type="dxa"/>
            <w:vAlign w:val="bottom"/>
            <w:shd w:val="clear" w:color="auto" w:fill="D2EEF5"/>
          </w:tcPr>
          <w:p>
            <w:pPr>
              <w:jc w:val="right"/>
              <w:ind w:right="4"/>
              <w:spacing w:after="0"/>
              <w:rPr>
                <w:sz w:val="20"/>
                <w:szCs w:val="20"/>
                <w:color w:val="auto"/>
              </w:rPr>
            </w:pPr>
            <w:r>
              <w:rPr>
                <w:rFonts w:ascii="Times New Roman" w:cs="Times New Roman" w:eastAsia="Times New Roman" w:hAnsi="Times New Roman"/>
                <w:sz w:val="20"/>
                <w:szCs w:val="20"/>
                <w:b w:val="1"/>
                <w:bCs w:val="1"/>
                <w:color w:val="auto"/>
              </w:rPr>
              <w:t>11.45</w:t>
            </w:r>
          </w:p>
        </w:tc>
        <w:tc>
          <w:tcPr>
            <w:tcW w:w="0" w:type="dxa"/>
            <w:vAlign w:val="bottom"/>
          </w:tcPr>
          <w:p>
            <w:pPr>
              <w:spacing w:after="0"/>
              <w:rPr>
                <w:sz w:val="1"/>
                <w:szCs w:val="1"/>
                <w:color w:val="auto"/>
              </w:rPr>
            </w:pPr>
          </w:p>
        </w:tc>
      </w:tr>
      <w:tr>
        <w:trPr>
          <w:trHeight w:val="285"/>
        </w:trPr>
        <w:tc>
          <w:tcPr>
            <w:tcW w:w="6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Forfeited</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(29,986)</w:t>
            </w:r>
          </w:p>
        </w:tc>
        <w:tc>
          <w:tcPr>
            <w:tcW w:w="60" w:type="dxa"/>
            <w:vAlign w:val="bottom"/>
          </w:tcPr>
          <w:p>
            <w:pPr>
              <w:spacing w:after="0"/>
              <w:rPr>
                <w:sz w:val="24"/>
                <w:szCs w:val="24"/>
                <w:color w:val="auto"/>
              </w:rPr>
            </w:pP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6.15</w:t>
            </w:r>
          </w:p>
        </w:tc>
        <w:tc>
          <w:tcPr>
            <w:tcW w:w="0" w:type="dxa"/>
            <w:vAlign w:val="bottom"/>
          </w:tcPr>
          <w:p>
            <w:pPr>
              <w:spacing w:after="0"/>
              <w:rPr>
                <w:sz w:val="1"/>
                <w:szCs w:val="1"/>
                <w:color w:val="auto"/>
              </w:rPr>
            </w:pPr>
          </w:p>
        </w:tc>
      </w:tr>
      <w:tr>
        <w:trPr>
          <w:trHeight w:val="267"/>
        </w:trPr>
        <w:tc>
          <w:tcPr>
            <w:tcW w:w="6280" w:type="dxa"/>
            <w:vAlign w:val="bottom"/>
            <w:tcBorders>
              <w:top w:val="single" w:sz="8" w:color="D2EEF5"/>
            </w:tcBorders>
            <w:shd w:val="clear" w:color="auto" w:fill="D2EEF5"/>
          </w:tcPr>
          <w:p>
            <w:pPr>
              <w:ind w:left="60"/>
              <w:spacing w:after="0"/>
              <w:rPr>
                <w:sz w:val="20"/>
                <w:szCs w:val="20"/>
                <w:color w:val="auto"/>
              </w:rPr>
            </w:pPr>
            <w:r>
              <w:rPr>
                <w:rFonts w:ascii="Times New Roman" w:cs="Times New Roman" w:eastAsia="Times New Roman" w:hAnsi="Times New Roman"/>
                <w:sz w:val="20"/>
                <w:szCs w:val="20"/>
                <w:b w:val="1"/>
                <w:bCs w:val="1"/>
                <w:color w:val="auto"/>
              </w:rPr>
              <w:t>Balance, December 31, 2025</w:t>
            </w:r>
          </w:p>
        </w:tc>
        <w:tc>
          <w:tcPr>
            <w:tcW w:w="100" w:type="dxa"/>
            <w:vAlign w:val="bottom"/>
            <w:tcBorders>
              <w:top w:val="single" w:sz="8" w:color="D2EEF5"/>
            </w:tcBorders>
            <w:shd w:val="clear" w:color="auto" w:fill="D2EEF5"/>
          </w:tcPr>
          <w:p>
            <w:pPr>
              <w:spacing w:after="0"/>
              <w:rPr>
                <w:sz w:val="23"/>
                <w:szCs w:val="23"/>
                <w:color w:val="auto"/>
              </w:rPr>
            </w:pPr>
          </w:p>
        </w:tc>
        <w:tc>
          <w:tcPr>
            <w:tcW w:w="1920" w:type="dxa"/>
            <w:vAlign w:val="bottom"/>
            <w:tcBorders>
              <w:top w:val="single" w:sz="8" w:color="auto"/>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179,151</w:t>
            </w:r>
          </w:p>
        </w:tc>
        <w:tc>
          <w:tcPr>
            <w:tcW w:w="60" w:type="dxa"/>
            <w:vAlign w:val="bottom"/>
            <w:tcBorders>
              <w:top w:val="single" w:sz="8" w:color="D2EEF5"/>
            </w:tcBorders>
            <w:shd w:val="clear" w:color="auto" w:fill="D2EEF5"/>
          </w:tcPr>
          <w:p>
            <w:pPr>
              <w:spacing w:after="0"/>
              <w:rPr>
                <w:sz w:val="23"/>
                <w:szCs w:val="23"/>
                <w:color w:val="auto"/>
              </w:rPr>
            </w:pPr>
          </w:p>
        </w:tc>
        <w:tc>
          <w:tcPr>
            <w:tcW w:w="260" w:type="dxa"/>
            <w:vAlign w:val="bottom"/>
            <w:tcBorders>
              <w:top w:val="single" w:sz="8" w:color="D2EEF5"/>
            </w:tcBorders>
            <w:shd w:val="clear" w:color="auto" w:fill="D2EEF5"/>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1640" w:type="dxa"/>
            <w:vAlign w:val="bottom"/>
            <w:tcBorders>
              <w:top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4.78</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left="60" w:firstLine="720"/>
        <w:spacing w:after="0" w:line="259" w:lineRule="auto"/>
        <w:rPr>
          <w:sz w:val="20"/>
          <w:szCs w:val="20"/>
          <w:color w:val="auto"/>
        </w:rPr>
      </w:pPr>
      <w:r>
        <w:rPr>
          <w:rFonts w:ascii="Times New Roman" w:cs="Times New Roman" w:eastAsia="Times New Roman" w:hAnsi="Times New Roman"/>
          <w:sz w:val="20"/>
          <w:szCs w:val="20"/>
          <w:color w:val="auto"/>
        </w:rPr>
        <w:t>The total vest date fair value of RSUs vested for the years ended December 31, 2025, and 2024, was $123, and $729, respectively. The Company recognized $1,057, and $1,927, of total stock-based compensation expense for RSUs for the years ended December 31, 2025, and 2024, respectively. As of December 31, 2025, total unamortized stock-based compensation cost related to unvested RSUs was $443 and the weighted-average period over which the compensation is expected to be recognized is less than one year.</w:t>
      </w:r>
    </w:p>
    <w:p>
      <w:pPr>
        <w:spacing w:after="0" w:line="158" w:lineRule="exact"/>
        <w:rPr>
          <w:sz w:val="20"/>
          <w:szCs w:val="20"/>
          <w:color w:val="auto"/>
        </w:rPr>
      </w:pPr>
    </w:p>
    <w:p>
      <w:pPr>
        <w:jc w:val="both"/>
        <w:ind w:left="60" w:firstLine="720"/>
        <w:spacing w:after="0" w:line="269" w:lineRule="auto"/>
        <w:rPr>
          <w:sz w:val="20"/>
          <w:szCs w:val="20"/>
          <w:color w:val="auto"/>
        </w:rPr>
      </w:pPr>
      <w:r>
        <w:rPr>
          <w:rFonts w:ascii="Times New Roman" w:cs="Times New Roman" w:eastAsia="Times New Roman" w:hAnsi="Times New Roman"/>
          <w:sz w:val="20"/>
          <w:szCs w:val="20"/>
          <w:color w:val="auto"/>
        </w:rPr>
        <w:t>During the year ended December 31, 2025, 94,188 RSUs that vested were not issued due to the recipients' elections to defer the conversion into common stock. As of December 31, 2025, there were 156,709 RSUs which had vested, but were not yet issued due to the recipients' elections.</w:t>
      </w:r>
    </w:p>
    <w:p>
      <w:pPr>
        <w:spacing w:after="0" w:line="147" w:lineRule="exact"/>
        <w:rPr>
          <w:sz w:val="20"/>
          <w:szCs w:val="20"/>
          <w:color w:val="auto"/>
        </w:rPr>
      </w:pPr>
    </w:p>
    <w:p>
      <w:pPr>
        <w:jc w:val="both"/>
        <w:ind w:left="60" w:firstLine="720"/>
        <w:spacing w:after="0" w:line="269" w:lineRule="auto"/>
        <w:rPr>
          <w:sz w:val="20"/>
          <w:szCs w:val="20"/>
          <w:color w:val="auto"/>
        </w:rPr>
      </w:pPr>
      <w:r>
        <w:rPr>
          <w:rFonts w:ascii="Times New Roman" w:cs="Times New Roman" w:eastAsia="Times New Roman" w:hAnsi="Times New Roman"/>
          <w:sz w:val="20"/>
          <w:szCs w:val="20"/>
          <w:color w:val="auto"/>
        </w:rPr>
        <w:t>For the year ended December 31, 2025, the Company withheld 4,830, of the 30,323, shares of common stock issued upon vesting of RSUs to meet employees' payroll tax withholding requirements. The tax withholding payments of $21 were made in 2025.</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Performance Stock Unit Activity</w:t>
      </w:r>
    </w:p>
    <w:p>
      <w:pPr>
        <w:spacing w:after="0" w:line="209" w:lineRule="exact"/>
        <w:rPr>
          <w:sz w:val="20"/>
          <w:szCs w:val="20"/>
          <w:color w:val="auto"/>
        </w:rPr>
      </w:pPr>
    </w:p>
    <w:p>
      <w:pPr>
        <w:jc w:val="both"/>
        <w:ind w:left="60" w:firstLine="720"/>
        <w:spacing w:after="0" w:line="258" w:lineRule="auto"/>
        <w:rPr>
          <w:sz w:val="20"/>
          <w:szCs w:val="20"/>
          <w:color w:val="auto"/>
        </w:rPr>
      </w:pPr>
      <w:r>
        <w:rPr>
          <w:rFonts w:ascii="Times New Roman" w:cs="Times New Roman" w:eastAsia="Times New Roman" w:hAnsi="Times New Roman"/>
          <w:sz w:val="20"/>
          <w:szCs w:val="20"/>
          <w:color w:val="auto"/>
        </w:rPr>
        <w:t>During the year ended December 31, 2024, the Company granted PSU awards that were subject to a one-year vesting requirement (based on continuous employment) and contained performance conditions based on certain performance metrics. There were no PSUs granted during the year ended December 31, 2025. During the year ended December 31, 2025, the PSU forfeitures were due to employee terminations and performance conditions that were not satisfied, while PSU vests were from awards granted in the prior year. The following table summarizes the activity related to the Company's PSUs for the year ended December 31, 2025:</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60" w:type="dxa"/>
            <w:vAlign w:val="bottom"/>
          </w:tcPr>
          <w:p>
            <w:pPr>
              <w:spacing w:after="0"/>
              <w:rPr>
                <w:sz w:val="18"/>
                <w:szCs w:val="18"/>
                <w:color w:val="auto"/>
              </w:rPr>
            </w:pPr>
          </w:p>
        </w:tc>
        <w:tc>
          <w:tcPr>
            <w:tcW w:w="1640" w:type="dxa"/>
            <w:vAlign w:val="bottom"/>
          </w:tcPr>
          <w:p>
            <w:pPr>
              <w:jc w:val="center"/>
              <w:ind w:right="164"/>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tcPr>
          <w:p>
            <w:pPr>
              <w:jc w:val="center"/>
              <w:ind w:right="164"/>
              <w:spacing w:after="0" w:line="180" w:lineRule="exact"/>
              <w:rPr>
                <w:sz w:val="20"/>
                <w:szCs w:val="20"/>
                <w:color w:val="auto"/>
              </w:rPr>
            </w:pPr>
            <w:r>
              <w:rPr>
                <w:rFonts w:ascii="Times New Roman" w:cs="Times New Roman" w:eastAsia="Times New Roman" w:hAnsi="Times New Roman"/>
                <w:sz w:val="18"/>
                <w:szCs w:val="18"/>
                <w:b w:val="1"/>
                <w:bCs w:val="1"/>
                <w:color w:val="auto"/>
                <w:w w:val="99"/>
              </w:rPr>
              <w:t>average grant</w:t>
            </w:r>
          </w:p>
        </w:tc>
        <w:tc>
          <w:tcPr>
            <w:tcW w:w="0" w:type="dxa"/>
            <w:vAlign w:val="bottom"/>
          </w:tcPr>
          <w:p>
            <w:pPr>
              <w:spacing w:after="0"/>
              <w:rPr>
                <w:sz w:val="1"/>
                <w:szCs w:val="1"/>
                <w:color w:val="auto"/>
              </w:rPr>
            </w:pPr>
          </w:p>
        </w:tc>
      </w:tr>
      <w:tr>
        <w:trPr>
          <w:trHeight w:val="240"/>
        </w:trPr>
        <w:tc>
          <w:tcPr>
            <w:tcW w:w="6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PSUs</w:t>
            </w:r>
          </w:p>
        </w:tc>
        <w:tc>
          <w:tcPr>
            <w:tcW w:w="260" w:type="dxa"/>
            <w:vAlign w:val="bottom"/>
          </w:tcPr>
          <w:p>
            <w:pPr>
              <w:spacing w:after="0"/>
              <w:rPr>
                <w:sz w:val="20"/>
                <w:szCs w:val="20"/>
                <w:color w:val="auto"/>
              </w:rPr>
            </w:pPr>
          </w:p>
        </w:tc>
        <w:tc>
          <w:tcPr>
            <w:tcW w:w="1640" w:type="dxa"/>
            <w:vAlign w:val="bottom"/>
          </w:tcPr>
          <w:p>
            <w:pPr>
              <w:jc w:val="center"/>
              <w:ind w:right="164"/>
              <w:spacing w:after="0"/>
              <w:rPr>
                <w:sz w:val="20"/>
                <w:szCs w:val="20"/>
                <w:color w:val="auto"/>
              </w:rPr>
            </w:pPr>
            <w:r>
              <w:rPr>
                <w:rFonts w:ascii="Times New Roman" w:cs="Times New Roman" w:eastAsia="Times New Roman" w:hAnsi="Times New Roman"/>
                <w:sz w:val="18"/>
                <w:szCs w:val="18"/>
                <w:b w:val="1"/>
                <w:bCs w:val="1"/>
                <w:color w:val="auto"/>
                <w:w w:val="99"/>
              </w:rPr>
              <w:t>date fair value</w:t>
            </w:r>
          </w:p>
        </w:tc>
        <w:tc>
          <w:tcPr>
            <w:tcW w:w="0" w:type="dxa"/>
            <w:vAlign w:val="bottom"/>
          </w:tcPr>
          <w:p>
            <w:pPr>
              <w:spacing w:after="0"/>
              <w:rPr>
                <w:sz w:val="1"/>
                <w:szCs w:val="1"/>
                <w:color w:val="auto"/>
              </w:rPr>
            </w:pPr>
          </w:p>
        </w:tc>
      </w:tr>
      <w:tr>
        <w:trPr>
          <w:trHeight w:val="266"/>
        </w:trPr>
        <w:tc>
          <w:tcPr>
            <w:tcW w:w="60" w:type="dxa"/>
            <w:vAlign w:val="bottom"/>
            <w:tcBorders>
              <w:top w:val="single" w:sz="8" w:color="D2EEF5"/>
            </w:tcBorders>
            <w:shd w:val="clear" w:color="auto" w:fill="D2EEF5"/>
          </w:tcPr>
          <w:p>
            <w:pPr>
              <w:spacing w:after="0"/>
              <w:rPr>
                <w:sz w:val="23"/>
                <w:szCs w:val="23"/>
                <w:color w:val="auto"/>
              </w:rPr>
            </w:pPr>
          </w:p>
        </w:tc>
        <w:tc>
          <w:tcPr>
            <w:tcW w:w="6220" w:type="dxa"/>
            <w:vAlign w:val="bottom"/>
            <w:tcBorders>
              <w:top w:val="single" w:sz="8" w:color="D2EEF5"/>
            </w:tcBorders>
            <w:shd w:val="clear" w:color="auto" w:fill="D2EEF5"/>
          </w:tcPr>
          <w:p>
            <w:pPr>
              <w:spacing w:after="0"/>
              <w:rPr>
                <w:sz w:val="20"/>
                <w:szCs w:val="20"/>
                <w:color w:val="auto"/>
              </w:rPr>
            </w:pPr>
            <w:r>
              <w:rPr>
                <w:rFonts w:ascii="Times New Roman" w:cs="Times New Roman" w:eastAsia="Times New Roman" w:hAnsi="Times New Roman"/>
                <w:sz w:val="20"/>
                <w:szCs w:val="20"/>
                <w:b w:val="1"/>
                <w:bCs w:val="1"/>
                <w:color w:val="auto"/>
              </w:rPr>
              <w:t>Balance, December 31, 2024</w:t>
            </w:r>
          </w:p>
        </w:tc>
        <w:tc>
          <w:tcPr>
            <w:tcW w:w="100" w:type="dxa"/>
            <w:vAlign w:val="bottom"/>
            <w:tcBorders>
              <w:top w:val="single" w:sz="8" w:color="D2EEF5"/>
            </w:tcBorders>
            <w:shd w:val="clear" w:color="auto" w:fill="D2EEF5"/>
          </w:tcPr>
          <w:p>
            <w:pPr>
              <w:spacing w:after="0"/>
              <w:rPr>
                <w:sz w:val="23"/>
                <w:szCs w:val="23"/>
                <w:color w:val="auto"/>
              </w:rPr>
            </w:pPr>
          </w:p>
        </w:tc>
        <w:tc>
          <w:tcPr>
            <w:tcW w:w="1920" w:type="dxa"/>
            <w:vAlign w:val="bottom"/>
            <w:tcBorders>
              <w:top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125,783</w:t>
            </w:r>
          </w:p>
        </w:tc>
        <w:tc>
          <w:tcPr>
            <w:tcW w:w="60" w:type="dxa"/>
            <w:vAlign w:val="bottom"/>
            <w:tcBorders>
              <w:top w:val="single" w:sz="8" w:color="D2EEF5"/>
            </w:tcBorders>
            <w:shd w:val="clear" w:color="auto" w:fill="D2EEF5"/>
          </w:tcPr>
          <w:p>
            <w:pPr>
              <w:spacing w:after="0"/>
              <w:rPr>
                <w:sz w:val="23"/>
                <w:szCs w:val="23"/>
                <w:color w:val="auto"/>
              </w:rPr>
            </w:pPr>
          </w:p>
        </w:tc>
        <w:tc>
          <w:tcPr>
            <w:tcW w:w="260" w:type="dxa"/>
            <w:vAlign w:val="bottom"/>
            <w:tcBorders>
              <w:top w:val="single" w:sz="8" w:color="auto"/>
            </w:tcBorders>
            <w:shd w:val="clear" w:color="auto" w:fill="D2EEF5"/>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1640" w:type="dxa"/>
            <w:vAlign w:val="bottom"/>
            <w:tcBorders>
              <w:top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9.89</w:t>
            </w:r>
          </w:p>
        </w:tc>
        <w:tc>
          <w:tcPr>
            <w:tcW w:w="0" w:type="dxa"/>
            <w:vAlign w:val="bottom"/>
          </w:tcPr>
          <w:p>
            <w:pPr>
              <w:spacing w:after="0"/>
              <w:rPr>
                <w:sz w:val="1"/>
                <w:szCs w:val="1"/>
                <w:color w:val="auto"/>
              </w:rPr>
            </w:pPr>
          </w:p>
        </w:tc>
      </w:tr>
      <w:tr>
        <w:trPr>
          <w:trHeight w:val="280"/>
        </w:trPr>
        <w:tc>
          <w:tcPr>
            <w:tcW w:w="60" w:type="dxa"/>
            <w:vAlign w:val="bottom"/>
          </w:tcPr>
          <w:p>
            <w:pPr>
              <w:spacing w:after="0"/>
              <w:rPr>
                <w:sz w:val="24"/>
                <w:szCs w:val="24"/>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Vested</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(40,871)</w:t>
            </w:r>
          </w:p>
        </w:tc>
        <w:tc>
          <w:tcPr>
            <w:tcW w:w="60" w:type="dxa"/>
            <w:vAlign w:val="bottom"/>
          </w:tcPr>
          <w:p>
            <w:pPr>
              <w:spacing w:after="0"/>
              <w:rPr>
                <w:sz w:val="24"/>
                <w:szCs w:val="24"/>
                <w:color w:val="auto"/>
              </w:rPr>
            </w:pP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9.89</w:t>
            </w:r>
          </w:p>
        </w:tc>
        <w:tc>
          <w:tcPr>
            <w:tcW w:w="0" w:type="dxa"/>
            <w:vAlign w:val="bottom"/>
          </w:tcPr>
          <w:p>
            <w:pPr>
              <w:spacing w:after="0"/>
              <w:rPr>
                <w:sz w:val="1"/>
                <w:szCs w:val="1"/>
                <w:color w:val="auto"/>
              </w:rPr>
            </w:pPr>
          </w:p>
        </w:tc>
      </w:tr>
      <w:tr>
        <w:trPr>
          <w:trHeight w:val="290"/>
        </w:trPr>
        <w:tc>
          <w:tcPr>
            <w:tcW w:w="60" w:type="dxa"/>
            <w:vAlign w:val="bottom"/>
            <w:shd w:val="clear" w:color="auto" w:fill="D2EEF5"/>
          </w:tcPr>
          <w:p>
            <w:pPr>
              <w:spacing w:after="0"/>
              <w:rPr>
                <w:sz w:val="24"/>
                <w:szCs w:val="24"/>
                <w:color w:val="auto"/>
              </w:rPr>
            </w:pPr>
          </w:p>
        </w:tc>
        <w:tc>
          <w:tcPr>
            <w:tcW w:w="6220" w:type="dxa"/>
            <w:vAlign w:val="bottom"/>
            <w:shd w:val="clear" w:color="auto" w:fill="D2EEF5"/>
          </w:tcPr>
          <w:p>
            <w:pPr>
              <w:spacing w:after="0"/>
              <w:rPr>
                <w:sz w:val="20"/>
                <w:szCs w:val="20"/>
                <w:color w:val="auto"/>
              </w:rPr>
            </w:pPr>
            <w:r>
              <w:rPr>
                <w:rFonts w:ascii="Times New Roman" w:cs="Times New Roman" w:eastAsia="Times New Roman" w:hAnsi="Times New Roman"/>
                <w:sz w:val="20"/>
                <w:szCs w:val="20"/>
                <w:color w:val="auto"/>
              </w:rPr>
              <w:t>Forfeited</w:t>
            </w:r>
          </w:p>
        </w:tc>
        <w:tc>
          <w:tcPr>
            <w:tcW w:w="100" w:type="dxa"/>
            <w:vAlign w:val="bottom"/>
            <w:shd w:val="clear" w:color="auto" w:fill="D2EEF5"/>
          </w:tcPr>
          <w:p>
            <w:pPr>
              <w:spacing w:after="0"/>
              <w:rPr>
                <w:sz w:val="24"/>
                <w:szCs w:val="24"/>
                <w:color w:val="auto"/>
              </w:rPr>
            </w:pPr>
          </w:p>
        </w:tc>
        <w:tc>
          <w:tcPr>
            <w:tcW w:w="19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(84,912)</w:t>
            </w:r>
          </w:p>
        </w:tc>
        <w:tc>
          <w:tcPr>
            <w:tcW w:w="60" w:type="dxa"/>
            <w:vAlign w:val="bottom"/>
            <w:shd w:val="clear" w:color="auto" w:fill="D2EEF5"/>
          </w:tcPr>
          <w:p>
            <w:pPr>
              <w:spacing w:after="0"/>
              <w:rPr>
                <w:sz w:val="24"/>
                <w:szCs w:val="24"/>
                <w:color w:val="auto"/>
              </w:rPr>
            </w:pPr>
          </w:p>
        </w:tc>
        <w:tc>
          <w:tcPr>
            <w:tcW w:w="260" w:type="dxa"/>
            <w:vAlign w:val="bottom"/>
            <w:shd w:val="clear" w:color="auto" w:fill="D2EEF5"/>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16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9.89</w:t>
            </w:r>
          </w:p>
        </w:tc>
        <w:tc>
          <w:tcPr>
            <w:tcW w:w="0" w:type="dxa"/>
            <w:vAlign w:val="bottom"/>
          </w:tcPr>
          <w:p>
            <w:pPr>
              <w:spacing w:after="0"/>
              <w:rPr>
                <w:sz w:val="1"/>
                <w:szCs w:val="1"/>
                <w:color w:val="auto"/>
              </w:rPr>
            </w:pPr>
          </w:p>
        </w:tc>
      </w:tr>
      <w:tr>
        <w:trPr>
          <w:trHeight w:val="267"/>
        </w:trPr>
        <w:tc>
          <w:tcPr>
            <w:tcW w:w="60" w:type="dxa"/>
            <w:vAlign w:val="bottom"/>
          </w:tcPr>
          <w:p>
            <w:pPr>
              <w:spacing w:after="0"/>
              <w:rPr>
                <w:sz w:val="23"/>
                <w:szCs w:val="23"/>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Balance, December 31, 2025</w:t>
            </w:r>
          </w:p>
        </w:tc>
        <w:tc>
          <w:tcPr>
            <w:tcW w:w="100" w:type="dxa"/>
            <w:vAlign w:val="bottom"/>
          </w:tcPr>
          <w:p>
            <w:pPr>
              <w:spacing w:after="0"/>
              <w:rPr>
                <w:sz w:val="23"/>
                <w:szCs w:val="23"/>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3"/>
                <w:szCs w:val="23"/>
                <w:color w:val="auto"/>
              </w:rPr>
            </w:pP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left="60" w:firstLine="720"/>
        <w:spacing w:after="0" w:line="263" w:lineRule="auto"/>
        <w:rPr>
          <w:sz w:val="20"/>
          <w:szCs w:val="20"/>
          <w:color w:val="auto"/>
        </w:rPr>
      </w:pPr>
      <w:r>
        <w:rPr>
          <w:rFonts w:ascii="Times New Roman" w:cs="Times New Roman" w:eastAsia="Times New Roman" w:hAnsi="Times New Roman"/>
          <w:sz w:val="20"/>
          <w:szCs w:val="20"/>
          <w:color w:val="auto"/>
        </w:rPr>
        <w:t>The total vest date fair value of PSUs vested for the years ended December 31, 2025, and 2024, was $73 and $167, respectively. The Company recognized $122, and $357, of total stock-based compensation expense for PSUs the years ended December 31, 2025, and 2024, respectively. As of December 31, 2025, there was no unamortized stock-based compensation cost related to unvested PSUs.</w:t>
      </w:r>
    </w:p>
    <w:p>
      <w:pPr>
        <w:spacing w:after="0" w:line="152" w:lineRule="exact"/>
        <w:rPr>
          <w:sz w:val="20"/>
          <w:szCs w:val="20"/>
          <w:color w:val="auto"/>
        </w:rPr>
      </w:pPr>
    </w:p>
    <w:p>
      <w:pPr>
        <w:jc w:val="both"/>
        <w:ind w:left="60" w:firstLine="720"/>
        <w:spacing w:after="0" w:line="269" w:lineRule="auto"/>
        <w:rPr>
          <w:sz w:val="20"/>
          <w:szCs w:val="20"/>
          <w:color w:val="auto"/>
        </w:rPr>
      </w:pPr>
      <w:r>
        <w:rPr>
          <w:rFonts w:ascii="Times New Roman" w:cs="Times New Roman" w:eastAsia="Times New Roman" w:hAnsi="Times New Roman"/>
          <w:sz w:val="20"/>
          <w:szCs w:val="20"/>
          <w:color w:val="auto"/>
        </w:rPr>
        <w:t>For the year ended December 31, 2025, the Company withheld 13,639, of the 40,871, shares of common stock issued upon vesting of PSUs to meet employees' payroll tax withholding requirements. The tax withholding payments of $24 were made in 2025.</w:t>
      </w:r>
    </w:p>
    <w:p>
      <w:pPr>
        <w:sectPr>
          <w:pgSz w:w="12240" w:h="15840" w:orient="portrait"/>
          <w:cols w:equalWidth="0" w:num="1">
            <w:col w:w="10320"/>
          </w:cols>
          <w:pgMar w:left="940" w:top="4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0"/>
          <w:szCs w:val="20"/>
          <w:color w:val="auto"/>
        </w:rPr>
        <w:t>86</w:t>
      </w:r>
    </w:p>
    <w:p>
      <w:pPr>
        <w:sectPr>
          <w:pgSz w:w="12240" w:h="15840" w:orient="portrait"/>
          <w:cols w:equalWidth="0" w:num="1">
            <w:col w:w="10320"/>
          </w:cols>
          <w:pgMar w:left="940" w:top="420" w:right="980" w:bottom="0" w:gutter="0" w:footer="0" w:header="0"/>
          <w:type w:val="continuous"/>
        </w:sectPr>
      </w:pPr>
    </w:p>
    <w:bookmarkStart w:id="88" w:name="page89"/>
    <w:bookmarkEnd w:id="88"/>
    <w:p>
      <w:pPr>
        <w:ind w:left="60"/>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4"/>
          <w:szCs w:val="24"/>
          <w:b w:val="1"/>
          <w:bCs w:val="1"/>
          <w:color w:val="auto"/>
        </w:rPr>
        <w:t>Hydrofarm Holdings Group, Inc.</w:t>
      </w:r>
    </w:p>
    <w:p>
      <w:pPr>
        <w:spacing w:after="0" w:line="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pacing w:after="0" w:line="3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Stock Options</w:t>
      </w:r>
    </w:p>
    <w:p>
      <w:pPr>
        <w:spacing w:after="0" w:line="210" w:lineRule="exact"/>
        <w:rPr>
          <w:sz w:val="20"/>
          <w:szCs w:val="20"/>
          <w:color w:val="auto"/>
        </w:rPr>
      </w:pPr>
    </w:p>
    <w:p>
      <w:pPr>
        <w:jc w:val="both"/>
        <w:ind w:left="60" w:right="20" w:firstLine="720"/>
        <w:spacing w:after="0" w:line="288" w:lineRule="auto"/>
        <w:rPr>
          <w:sz w:val="20"/>
          <w:szCs w:val="20"/>
          <w:color w:val="auto"/>
        </w:rPr>
      </w:pPr>
      <w:r>
        <w:rPr>
          <w:rFonts w:ascii="Times New Roman" w:cs="Times New Roman" w:eastAsia="Times New Roman" w:hAnsi="Times New Roman"/>
          <w:sz w:val="20"/>
          <w:szCs w:val="20"/>
          <w:color w:val="auto"/>
        </w:rPr>
        <w:t>The vesting of stock options is subject to certain change in control provisions as provided in the incentive plan agreements and stock options may be exercised up to 10 years from the date of issuance.</w:t>
      </w:r>
    </w:p>
    <w:p>
      <w:pPr>
        <w:spacing w:after="0" w:line="128" w:lineRule="exact"/>
        <w:rPr>
          <w:sz w:val="20"/>
          <w:szCs w:val="20"/>
          <w:color w:val="auto"/>
        </w:rPr>
      </w:pPr>
    </w:p>
    <w:p>
      <w:pPr>
        <w:jc w:val="both"/>
        <w:ind w:left="60" w:firstLine="720"/>
        <w:spacing w:after="0" w:line="287" w:lineRule="auto"/>
        <w:rPr>
          <w:sz w:val="20"/>
          <w:szCs w:val="20"/>
          <w:color w:val="auto"/>
        </w:rPr>
      </w:pPr>
      <w:r>
        <w:rPr>
          <w:rFonts w:ascii="Times New Roman" w:cs="Times New Roman" w:eastAsia="Times New Roman" w:hAnsi="Times New Roman"/>
          <w:sz w:val="20"/>
          <w:szCs w:val="20"/>
          <w:color w:val="auto"/>
        </w:rPr>
        <w:t>There were no stock options granted or exercised during the years ended December 31, 2025, or 2024. The following table summarizes the stock option activity for the year ended December 31, 2025:</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0" w:type="dxa"/>
            <w:vAlign w:val="bottom"/>
          </w:tcPr>
          <w:p>
            <w:pPr>
              <w:spacing w:after="0"/>
              <w:rPr>
                <w:sz w:val="1"/>
                <w:szCs w:val="1"/>
                <w:color w:val="auto"/>
              </w:rPr>
            </w:pPr>
          </w:p>
        </w:tc>
      </w:tr>
      <w:tr>
        <w:trPr>
          <w:trHeight w:val="160"/>
        </w:trPr>
        <w:tc>
          <w:tcPr>
            <w:tcW w:w="5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vMerge w:val="restart"/>
          </w:tcPr>
          <w:p>
            <w:pPr>
              <w:jc w:val="center"/>
              <w:ind w:right="5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vMerge w:val="restart"/>
          </w:tcPr>
          <w:p>
            <w:pPr>
              <w:jc w:val="center"/>
              <w:ind w:right="125"/>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60" w:type="dxa"/>
            <w:vAlign w:val="bottom"/>
          </w:tcPr>
          <w:p>
            <w:pPr>
              <w:spacing w:after="0"/>
              <w:rPr>
                <w:sz w:val="13"/>
                <w:szCs w:val="13"/>
                <w:color w:val="auto"/>
              </w:rPr>
            </w:pPr>
          </w:p>
        </w:tc>
        <w:tc>
          <w:tcPr>
            <w:tcW w:w="12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7"/>
              </w:rPr>
              <w:t>average</w:t>
            </w:r>
          </w:p>
        </w:tc>
        <w:tc>
          <w:tcPr>
            <w:tcW w:w="0" w:type="dxa"/>
            <w:vAlign w:val="bottom"/>
          </w:tcPr>
          <w:p>
            <w:pPr>
              <w:spacing w:after="0"/>
              <w:rPr>
                <w:sz w:val="1"/>
                <w:szCs w:val="1"/>
                <w:color w:val="auto"/>
              </w:rPr>
            </w:pPr>
          </w:p>
        </w:tc>
      </w:tr>
      <w:tr>
        <w:trPr>
          <w:trHeight w:val="161"/>
        </w:trPr>
        <w:tc>
          <w:tcPr>
            <w:tcW w:w="5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0" w:type="dxa"/>
            <w:vAlign w:val="bottom"/>
          </w:tcPr>
          <w:p>
            <w:pPr>
              <w:spacing w:after="0"/>
              <w:rPr>
                <w:sz w:val="1"/>
                <w:szCs w:val="1"/>
                <w:color w:val="auto"/>
              </w:rPr>
            </w:pPr>
          </w:p>
        </w:tc>
      </w:tr>
      <w:tr>
        <w:trPr>
          <w:trHeight w:val="160"/>
        </w:trPr>
        <w:tc>
          <w:tcPr>
            <w:tcW w:w="5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60" w:type="dxa"/>
            <w:vAlign w:val="bottom"/>
          </w:tcPr>
          <w:p>
            <w:pPr>
              <w:spacing w:after="0"/>
              <w:rPr>
                <w:sz w:val="13"/>
                <w:szCs w:val="13"/>
                <w:color w:val="auto"/>
              </w:rPr>
            </w:pPr>
          </w:p>
        </w:tc>
        <w:tc>
          <w:tcPr>
            <w:tcW w:w="1060" w:type="dxa"/>
            <w:vAlign w:val="bottom"/>
          </w:tcPr>
          <w:p>
            <w:pPr>
              <w:jc w:val="center"/>
              <w:ind w:right="50"/>
              <w:spacing w:after="0" w:line="160" w:lineRule="exact"/>
              <w:rPr>
                <w:sz w:val="20"/>
                <w:szCs w:val="20"/>
                <w:color w:val="auto"/>
              </w:rPr>
            </w:pPr>
            <w:r>
              <w:rPr>
                <w:rFonts w:ascii="Times New Roman" w:cs="Times New Roman" w:eastAsia="Times New Roman" w:hAnsi="Times New Roman"/>
                <w:sz w:val="16"/>
                <w:szCs w:val="16"/>
                <w:b w:val="1"/>
                <w:bCs w:val="1"/>
                <w:color w:val="auto"/>
                <w:w w:val="97"/>
              </w:rPr>
              <w:t>average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average grant</w:t>
            </w:r>
          </w:p>
        </w:tc>
        <w:tc>
          <w:tcPr>
            <w:tcW w:w="60" w:type="dxa"/>
            <w:vAlign w:val="bottom"/>
          </w:tcPr>
          <w:p>
            <w:pPr>
              <w:spacing w:after="0"/>
              <w:rPr>
                <w:sz w:val="13"/>
                <w:szCs w:val="13"/>
                <w:color w:val="auto"/>
              </w:rPr>
            </w:pPr>
          </w:p>
        </w:tc>
        <w:tc>
          <w:tcPr>
            <w:tcW w:w="12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contractual</w:t>
            </w:r>
          </w:p>
        </w:tc>
        <w:tc>
          <w:tcPr>
            <w:tcW w:w="0" w:type="dxa"/>
            <w:vAlign w:val="bottom"/>
          </w:tcPr>
          <w:p>
            <w:pPr>
              <w:spacing w:after="0"/>
              <w:rPr>
                <w:sz w:val="1"/>
                <w:szCs w:val="1"/>
                <w:color w:val="auto"/>
              </w:rPr>
            </w:pPr>
          </w:p>
        </w:tc>
      </w:tr>
      <w:tr>
        <w:trPr>
          <w:trHeight w:val="225"/>
        </w:trPr>
        <w:tc>
          <w:tcPr>
            <w:tcW w:w="5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center"/>
              <w:ind w:right="50"/>
              <w:spacing w:after="0"/>
              <w:rPr>
                <w:sz w:val="20"/>
                <w:szCs w:val="20"/>
                <w:color w:val="auto"/>
              </w:rPr>
            </w:pPr>
            <w:r>
              <w:rPr>
                <w:rFonts w:ascii="Times New Roman" w:cs="Times New Roman" w:eastAsia="Times New Roman" w:hAnsi="Times New Roman"/>
                <w:sz w:val="16"/>
                <w:szCs w:val="16"/>
                <w:b w:val="1"/>
                <w:bCs w:val="1"/>
                <w:color w:val="auto"/>
                <w:w w:val="99"/>
              </w:rPr>
              <w:t>exercise price</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 fair value</w:t>
            </w:r>
          </w:p>
        </w:tc>
        <w:tc>
          <w:tcPr>
            <w:tcW w:w="6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term (years)</w:t>
            </w:r>
          </w:p>
        </w:tc>
        <w:tc>
          <w:tcPr>
            <w:tcW w:w="0" w:type="dxa"/>
            <w:vAlign w:val="bottom"/>
          </w:tcPr>
          <w:p>
            <w:pPr>
              <w:spacing w:after="0"/>
              <w:rPr>
                <w:sz w:val="1"/>
                <w:szCs w:val="1"/>
                <w:color w:val="auto"/>
              </w:rPr>
            </w:pPr>
          </w:p>
        </w:tc>
      </w:tr>
      <w:tr>
        <w:trPr>
          <w:trHeight w:val="265"/>
        </w:trPr>
        <w:tc>
          <w:tcPr>
            <w:tcW w:w="5140" w:type="dxa"/>
            <w:vAlign w:val="bottom"/>
            <w:tcBorders>
              <w:top w:val="single" w:sz="8" w:color="D2EEF5"/>
            </w:tcBorders>
            <w:shd w:val="clear" w:color="auto" w:fill="D2EEF5"/>
          </w:tcPr>
          <w:p>
            <w:pPr>
              <w:ind w:left="60"/>
              <w:spacing w:after="0"/>
              <w:rPr>
                <w:sz w:val="20"/>
                <w:szCs w:val="20"/>
                <w:color w:val="auto"/>
              </w:rPr>
            </w:pPr>
            <w:r>
              <w:rPr>
                <w:rFonts w:ascii="Times New Roman" w:cs="Times New Roman" w:eastAsia="Times New Roman" w:hAnsi="Times New Roman"/>
                <w:sz w:val="20"/>
                <w:szCs w:val="20"/>
                <w:b w:val="1"/>
                <w:bCs w:val="1"/>
                <w:color w:val="auto"/>
              </w:rPr>
              <w:t>Outstanding and exercisable as of December 31, 2024</w:t>
            </w:r>
          </w:p>
        </w:tc>
        <w:tc>
          <w:tcPr>
            <w:tcW w:w="20" w:type="dxa"/>
            <w:vAlign w:val="bottom"/>
            <w:tcBorders>
              <w:top w:val="single" w:sz="8" w:color="D2EEF5"/>
            </w:tcBorders>
            <w:shd w:val="clear" w:color="auto" w:fill="D2EEF5"/>
          </w:tcPr>
          <w:p>
            <w:pPr>
              <w:spacing w:after="0"/>
              <w:rPr>
                <w:sz w:val="23"/>
                <w:szCs w:val="23"/>
                <w:color w:val="auto"/>
              </w:rPr>
            </w:pPr>
          </w:p>
        </w:tc>
        <w:tc>
          <w:tcPr>
            <w:tcW w:w="1220" w:type="dxa"/>
            <w:vAlign w:val="bottom"/>
            <w:tcBorders>
              <w:top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40,654</w:t>
            </w:r>
          </w:p>
        </w:tc>
        <w:tc>
          <w:tcPr>
            <w:tcW w:w="60" w:type="dxa"/>
            <w:vAlign w:val="bottom"/>
            <w:tcBorders>
              <w:top w:val="single" w:sz="8" w:color="D2EEF5"/>
            </w:tcBorders>
            <w:shd w:val="clear" w:color="auto" w:fill="D2EEF5"/>
          </w:tcPr>
          <w:p>
            <w:pPr>
              <w:spacing w:after="0"/>
              <w:rPr>
                <w:sz w:val="23"/>
                <w:szCs w:val="23"/>
                <w:color w:val="auto"/>
              </w:rPr>
            </w:pPr>
          </w:p>
        </w:tc>
        <w:tc>
          <w:tcPr>
            <w:tcW w:w="160" w:type="dxa"/>
            <w:vAlign w:val="bottom"/>
            <w:tcBorders>
              <w:top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60" w:type="dxa"/>
            <w:vAlign w:val="bottom"/>
            <w:tcBorders>
              <w:top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96.36</w:t>
            </w:r>
          </w:p>
        </w:tc>
        <w:tc>
          <w:tcPr>
            <w:tcW w:w="20" w:type="dxa"/>
            <w:vAlign w:val="bottom"/>
            <w:tcBorders>
              <w:top w:val="single" w:sz="8" w:color="auto"/>
            </w:tcBorders>
            <w:shd w:val="clear" w:color="auto" w:fill="D2EEF5"/>
          </w:tcPr>
          <w:p>
            <w:pPr>
              <w:spacing w:after="0"/>
              <w:rPr>
                <w:sz w:val="23"/>
                <w:szCs w:val="23"/>
                <w:color w:val="auto"/>
              </w:rPr>
            </w:pPr>
          </w:p>
        </w:tc>
        <w:tc>
          <w:tcPr>
            <w:tcW w:w="60" w:type="dxa"/>
            <w:vAlign w:val="bottom"/>
            <w:tcBorders>
              <w:top w:val="single" w:sz="8" w:color="D2EEF5"/>
            </w:tcBorders>
            <w:shd w:val="clear" w:color="auto" w:fill="D2EEF5"/>
          </w:tcPr>
          <w:p>
            <w:pPr>
              <w:spacing w:after="0"/>
              <w:rPr>
                <w:sz w:val="23"/>
                <w:szCs w:val="23"/>
                <w:color w:val="auto"/>
              </w:rPr>
            </w:pPr>
          </w:p>
        </w:tc>
        <w:tc>
          <w:tcPr>
            <w:tcW w:w="220" w:type="dxa"/>
            <w:vAlign w:val="bottom"/>
            <w:tcBorders>
              <w:top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tcBorders>
              <w:top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22.76</w:t>
            </w:r>
          </w:p>
        </w:tc>
        <w:tc>
          <w:tcPr>
            <w:tcW w:w="60" w:type="dxa"/>
            <w:vAlign w:val="bottom"/>
            <w:tcBorders>
              <w:top w:val="single" w:sz="8" w:color="D2EEF5"/>
            </w:tcBorders>
            <w:shd w:val="clear" w:color="auto" w:fill="D2EEF5"/>
          </w:tcPr>
          <w:p>
            <w:pPr>
              <w:spacing w:after="0"/>
              <w:rPr>
                <w:sz w:val="23"/>
                <w:szCs w:val="23"/>
                <w:color w:val="auto"/>
              </w:rPr>
            </w:pPr>
          </w:p>
        </w:tc>
        <w:tc>
          <w:tcPr>
            <w:tcW w:w="1240" w:type="dxa"/>
            <w:vAlign w:val="bottom"/>
            <w:tcBorders>
              <w:top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3.67</w:t>
            </w:r>
          </w:p>
        </w:tc>
        <w:tc>
          <w:tcPr>
            <w:tcW w:w="0" w:type="dxa"/>
            <w:vAlign w:val="bottom"/>
          </w:tcPr>
          <w:p>
            <w:pPr>
              <w:spacing w:after="0"/>
              <w:rPr>
                <w:sz w:val="1"/>
                <w:szCs w:val="1"/>
                <w:color w:val="auto"/>
              </w:rPr>
            </w:pPr>
          </w:p>
        </w:tc>
      </w:tr>
      <w:tr>
        <w:trPr>
          <w:trHeight w:val="285"/>
        </w:trPr>
        <w:tc>
          <w:tcPr>
            <w:tcW w:w="5160" w:type="dxa"/>
            <w:vAlign w:val="bottom"/>
            <w:tcBorders>
              <w:bottom w:val="single" w:sz="8" w:color="D2EEF5"/>
            </w:tcBorders>
            <w:gridSpan w:val="2"/>
          </w:tcPr>
          <w:p>
            <w:pPr>
              <w:ind w:left="180"/>
              <w:spacing w:after="0"/>
              <w:rPr>
                <w:sz w:val="20"/>
                <w:szCs w:val="20"/>
                <w:color w:val="auto"/>
              </w:rPr>
            </w:pPr>
            <w:r>
              <w:rPr>
                <w:rFonts w:ascii="Times New Roman" w:cs="Times New Roman" w:eastAsia="Times New Roman" w:hAnsi="Times New Roman"/>
                <w:sz w:val="20"/>
                <w:szCs w:val="20"/>
                <w:color w:val="auto"/>
              </w:rPr>
              <w:t>Cancelled</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(12,580)</w:t>
            </w:r>
          </w:p>
        </w:tc>
        <w:tc>
          <w:tcPr>
            <w:tcW w:w="60" w:type="dxa"/>
            <w:vAlign w:val="bottom"/>
            <w:tcBorders>
              <w:bottom w:val="single" w:sz="8" w:color="D2EEF5"/>
            </w:tcBorders>
          </w:tcPr>
          <w:p>
            <w:pPr>
              <w:spacing w:after="0"/>
              <w:rPr>
                <w:sz w:val="24"/>
                <w:szCs w:val="24"/>
                <w:color w:val="auto"/>
              </w:rPr>
            </w:pPr>
          </w:p>
        </w:tc>
        <w:tc>
          <w:tcPr>
            <w:tcW w:w="160" w:type="dxa"/>
            <w:vAlign w:val="bottom"/>
            <w:tcBorders>
              <w:bottom w:val="single" w:sz="8" w:color="D2EEF5"/>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60" w:type="dxa"/>
            <w:vAlign w:val="bottom"/>
            <w:tcBorders>
              <w:bottom w:val="single" w:sz="8" w:color="D2EEF5"/>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93.73</w:t>
            </w:r>
          </w:p>
        </w:tc>
        <w:tc>
          <w:tcPr>
            <w:tcW w:w="300" w:type="dxa"/>
            <w:vAlign w:val="bottom"/>
            <w:tcBorders>
              <w:bottom w:val="single" w:sz="8" w:color="D2EEF5"/>
            </w:tcBorders>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tcBorders>
              <w:bottom w:val="single" w:sz="8" w:color="D2EEF5"/>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18.88</w:t>
            </w:r>
          </w:p>
        </w:tc>
        <w:tc>
          <w:tcPr>
            <w:tcW w:w="60" w:type="dxa"/>
            <w:vAlign w:val="bottom"/>
            <w:tcBorders>
              <w:bottom w:val="single" w:sz="8" w:color="D2EEF5"/>
            </w:tcBorders>
          </w:tcPr>
          <w:p>
            <w:pPr>
              <w:spacing w:after="0"/>
              <w:rPr>
                <w:sz w:val="24"/>
                <w:szCs w:val="24"/>
                <w:color w:val="auto"/>
              </w:rPr>
            </w:pPr>
          </w:p>
        </w:tc>
        <w:tc>
          <w:tcPr>
            <w:tcW w:w="1240" w:type="dxa"/>
            <w:vAlign w:val="bottom"/>
            <w:tcBorders>
              <w:bottom w:val="single" w:sz="8" w:color="D2EEF5"/>
            </w:tcBorders>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5140" w:type="dxa"/>
            <w:vAlign w:val="bottom"/>
            <w:shd w:val="clear" w:color="auto" w:fill="D2EEF5"/>
          </w:tcPr>
          <w:p>
            <w:pPr>
              <w:ind w:left="60"/>
              <w:spacing w:after="0"/>
              <w:rPr>
                <w:sz w:val="20"/>
                <w:szCs w:val="20"/>
                <w:color w:val="auto"/>
              </w:rPr>
            </w:pPr>
            <w:r>
              <w:rPr>
                <w:rFonts w:ascii="Times New Roman" w:cs="Times New Roman" w:eastAsia="Times New Roman" w:hAnsi="Times New Roman"/>
                <w:sz w:val="20"/>
                <w:szCs w:val="20"/>
                <w:b w:val="1"/>
                <w:bCs w:val="1"/>
                <w:color w:val="auto"/>
              </w:rPr>
              <w:t>Outstanding and exercisable as of December 31, 2025</w:t>
            </w:r>
          </w:p>
        </w:tc>
        <w:tc>
          <w:tcPr>
            <w:tcW w:w="20" w:type="dxa"/>
            <w:vAlign w:val="bottom"/>
            <w:tcBorders>
              <w:bottom w:val="single" w:sz="8" w:color="auto"/>
            </w:tcBorders>
            <w:shd w:val="clear" w:color="auto" w:fill="D2EEF5"/>
          </w:tcPr>
          <w:p>
            <w:pPr>
              <w:spacing w:after="0"/>
              <w:rPr>
                <w:sz w:val="23"/>
                <w:szCs w:val="23"/>
                <w:color w:val="auto"/>
              </w:rPr>
            </w:pPr>
          </w:p>
        </w:tc>
        <w:tc>
          <w:tcPr>
            <w:tcW w:w="12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28,074</w:t>
            </w:r>
          </w:p>
        </w:tc>
        <w:tc>
          <w:tcPr>
            <w:tcW w:w="60" w:type="dxa"/>
            <w:vAlign w:val="bottom"/>
            <w:shd w:val="clear" w:color="auto" w:fill="D2EEF5"/>
          </w:tcPr>
          <w:p>
            <w:pPr>
              <w:spacing w:after="0"/>
              <w:rPr>
                <w:sz w:val="23"/>
                <w:szCs w:val="23"/>
                <w:color w:val="auto"/>
              </w:rPr>
            </w:pPr>
          </w:p>
        </w:tc>
        <w:tc>
          <w:tcPr>
            <w:tcW w:w="1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97.54</w:t>
            </w:r>
          </w:p>
        </w:tc>
        <w:tc>
          <w:tcPr>
            <w:tcW w:w="80" w:type="dxa"/>
            <w:vAlign w:val="bottom"/>
            <w:gridSpan w:val="2"/>
            <w:shd w:val="clear" w:color="auto" w:fill="D2EEF5"/>
          </w:tcPr>
          <w:p>
            <w:pPr>
              <w:spacing w:after="0"/>
              <w:rPr>
                <w:sz w:val="23"/>
                <w:szCs w:val="23"/>
                <w:color w:val="auto"/>
              </w:rPr>
            </w:pPr>
          </w:p>
        </w:tc>
        <w:tc>
          <w:tcPr>
            <w:tcW w:w="2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24.50</w:t>
            </w:r>
          </w:p>
        </w:tc>
        <w:tc>
          <w:tcPr>
            <w:tcW w:w="60" w:type="dxa"/>
            <w:vAlign w:val="bottom"/>
            <w:shd w:val="clear" w:color="auto" w:fill="D2EEF5"/>
          </w:tcPr>
          <w:p>
            <w:pPr>
              <w:spacing w:after="0"/>
              <w:rPr>
                <w:sz w:val="23"/>
                <w:szCs w:val="23"/>
                <w:color w:val="auto"/>
              </w:rPr>
            </w:pPr>
          </w:p>
        </w:tc>
        <w:tc>
          <w:tcPr>
            <w:tcW w:w="12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3.50</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left="60" w:firstLine="720"/>
        <w:spacing w:after="0" w:line="255" w:lineRule="auto"/>
        <w:rPr>
          <w:sz w:val="20"/>
          <w:szCs w:val="20"/>
          <w:color w:val="auto"/>
        </w:rPr>
      </w:pPr>
      <w:r>
        <w:rPr>
          <w:rFonts w:ascii="Times New Roman" w:cs="Times New Roman" w:eastAsia="Times New Roman" w:hAnsi="Times New Roman"/>
          <w:sz w:val="20"/>
          <w:szCs w:val="20"/>
          <w:color w:val="auto"/>
        </w:rPr>
        <w:t>Since stock options represent equity awards of the Company, such awards are fair valued as of the grant date for the purposes of measurement and recognition under U.S. GAAP. To measure the fair value of an option, the Black-Scholes valuation model was utilized. The valuation model requires the input of subjective assumptions. For inputs into the Black-Scholes model, the expected volatility is based on historical implied volatility from recent stock option transactions at the time of grant. The risk-free interest rate for the expected term of the option is based on the U.S. Treasury implied yield at the date of grant. The Company has elected to use the "simplified method" to determine the expected term which is the midpoint between the vesting date and the end of the contractual term because it has insufficient history upon which to base an assumption about the term. The expected dividend yield is 0.0% as the Company has not paid and does not anticipate paying dividends on its common stock.</w:t>
      </w:r>
    </w:p>
    <w:p>
      <w:pPr>
        <w:spacing w:after="0" w:line="161" w:lineRule="exact"/>
        <w:rPr>
          <w:sz w:val="20"/>
          <w:szCs w:val="20"/>
          <w:color w:val="auto"/>
        </w:rPr>
      </w:pPr>
    </w:p>
    <w:p>
      <w:pPr>
        <w:jc w:val="both"/>
        <w:ind w:left="60" w:firstLine="720"/>
        <w:spacing w:after="0" w:line="268" w:lineRule="auto"/>
        <w:rPr>
          <w:sz w:val="20"/>
          <w:szCs w:val="20"/>
          <w:color w:val="auto"/>
        </w:rPr>
      </w:pPr>
      <w:r>
        <w:rPr>
          <w:rFonts w:ascii="Times New Roman" w:cs="Times New Roman" w:eastAsia="Times New Roman" w:hAnsi="Times New Roman"/>
          <w:sz w:val="20"/>
          <w:szCs w:val="20"/>
          <w:color w:val="auto"/>
        </w:rPr>
        <w:t>For the years ended December 31, 2025, and 2024, respectively, the Company recognized zero and $101, of total stock-based compensation expense for stock options. As of December 31, 2025, there was no unvested options or unrecognized compensation expense.</w:t>
      </w:r>
    </w:p>
    <w:p>
      <w:pPr>
        <w:spacing w:after="0" w:line="344" w:lineRule="exact"/>
        <w:rPr>
          <w:sz w:val="20"/>
          <w:szCs w:val="20"/>
          <w:color w:val="auto"/>
        </w:rPr>
      </w:pPr>
    </w:p>
    <w:tbl>
      <w:tblPr>
        <w:tblLayout w:type="fixed"/>
        <w:tblInd w:w="60" w:type="dxa"/>
        <w:tblCellMar>
          <w:top w:w="0" w:type="dxa"/>
          <w:left w:w="0" w:type="dxa"/>
          <w:bottom w:w="0" w:type="dxa"/>
          <w:right w:w="0" w:type="dxa"/>
        </w:tblCellMar>
      </w:tblPr>
      <w:tr>
        <w:trPr>
          <w:trHeight w:val="275"/>
        </w:trPr>
        <w:tc>
          <w:tcPr>
            <w:tcW w:w="72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14. INCOME TAXES</w:t>
            </w: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438"/>
        </w:trPr>
        <w:tc>
          <w:tcPr>
            <w:tcW w:w="720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Loss before tax was as follows:</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6"/>
        </w:trPr>
        <w:tc>
          <w:tcPr>
            <w:tcW w:w="7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Years ended December 31,</w:t>
            </w:r>
          </w:p>
        </w:tc>
      </w:tr>
      <w:tr>
        <w:trPr>
          <w:trHeight w:val="294"/>
        </w:trPr>
        <w:tc>
          <w:tcPr>
            <w:tcW w:w="7180" w:type="dxa"/>
            <w:vAlign w:val="bottom"/>
            <w:tcBorders>
              <w:bottom w:val="single" w:sz="8" w:color="D2EEF5"/>
            </w:tcBorders>
          </w:tcPr>
          <w:p>
            <w:pPr>
              <w:spacing w:after="0"/>
              <w:rPr>
                <w:sz w:val="24"/>
                <w:szCs w:val="24"/>
                <w:color w:val="auto"/>
              </w:rPr>
            </w:pPr>
          </w:p>
        </w:tc>
        <w:tc>
          <w:tcPr>
            <w:tcW w:w="20" w:type="dxa"/>
            <w:vAlign w:val="bottom"/>
            <w:tcBorders>
              <w:bottom w:val="single" w:sz="8" w:color="D2EEF5"/>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20"/>
                <w:szCs w:val="20"/>
                <w:b w:val="1"/>
                <w:bCs w:val="1"/>
                <w:color w:val="auto"/>
              </w:rPr>
              <w:t>2025</w:t>
            </w:r>
          </w:p>
        </w:tc>
        <w:tc>
          <w:tcPr>
            <w:tcW w:w="40" w:type="dxa"/>
            <w:vAlign w:val="bottom"/>
            <w:tcBorders>
              <w:bottom w:val="single" w:sz="8" w:color="D2EEF5"/>
            </w:tcBorders>
          </w:tcPr>
          <w:p>
            <w:pPr>
              <w:spacing w:after="0"/>
              <w:rPr>
                <w:sz w:val="24"/>
                <w:szCs w:val="24"/>
                <w:color w:val="auto"/>
              </w:rPr>
            </w:pPr>
          </w:p>
        </w:tc>
        <w:tc>
          <w:tcPr>
            <w:tcW w:w="20" w:type="dxa"/>
            <w:vAlign w:val="bottom"/>
            <w:tcBorders>
              <w:bottom w:val="single" w:sz="8" w:color="D2EEF5"/>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96"/>
        </w:trPr>
        <w:tc>
          <w:tcPr>
            <w:tcW w:w="7180" w:type="dxa"/>
            <w:vAlign w:val="bottom"/>
            <w:shd w:val="clear" w:color="auto" w:fill="D2EEF5"/>
          </w:tcPr>
          <w:p>
            <w:pPr>
              <w:ind w:left="40"/>
              <w:spacing w:after="0"/>
              <w:rPr>
                <w:sz w:val="20"/>
                <w:szCs w:val="20"/>
                <w:color w:val="auto"/>
              </w:rPr>
            </w:pPr>
            <w:r>
              <w:rPr>
                <w:rFonts w:ascii="Times New Roman" w:cs="Times New Roman" w:eastAsia="Times New Roman" w:hAnsi="Times New Roman"/>
                <w:sz w:val="20"/>
                <w:szCs w:val="20"/>
                <w:color w:val="auto"/>
              </w:rPr>
              <w:t>United States</w:t>
            </w:r>
          </w:p>
        </w:tc>
        <w:tc>
          <w:tcPr>
            <w:tcW w:w="20" w:type="dxa"/>
            <w:vAlign w:val="bottom"/>
            <w:shd w:val="clear" w:color="auto" w:fill="D2EEF5"/>
          </w:tcPr>
          <w:p>
            <w:pPr>
              <w:spacing w:after="0"/>
              <w:rPr>
                <w:sz w:val="24"/>
                <w:szCs w:val="24"/>
                <w:color w:val="auto"/>
              </w:rPr>
            </w:pPr>
          </w:p>
        </w:tc>
        <w:tc>
          <w:tcPr>
            <w:tcW w:w="280" w:type="dxa"/>
            <w:vAlign w:val="bottom"/>
            <w:shd w:val="clear" w:color="auto" w:fill="D2EEF5"/>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12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(283,228)</w:t>
            </w:r>
          </w:p>
        </w:tc>
        <w:tc>
          <w:tcPr>
            <w:tcW w:w="4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360" w:type="dxa"/>
            <w:vAlign w:val="bottom"/>
            <w:shd w:val="clear" w:color="auto" w:fill="D2EEF5"/>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(64,011)</w:t>
            </w:r>
          </w:p>
        </w:tc>
      </w:tr>
      <w:tr>
        <w:trPr>
          <w:trHeight w:val="314"/>
        </w:trPr>
        <w:tc>
          <w:tcPr>
            <w:tcW w:w="7200" w:type="dxa"/>
            <w:vAlign w:val="bottom"/>
            <w:tcBorders>
              <w:bottom w:val="single" w:sz="8" w:color="D2EEF5"/>
            </w:tcBorders>
            <w:gridSpan w:val="2"/>
          </w:tcPr>
          <w:p>
            <w:pPr>
              <w:ind w:left="40"/>
              <w:spacing w:after="0"/>
              <w:rPr>
                <w:sz w:val="20"/>
                <w:szCs w:val="20"/>
                <w:color w:val="auto"/>
              </w:rPr>
            </w:pPr>
            <w:r>
              <w:rPr>
                <w:rFonts w:ascii="Times New Roman" w:cs="Times New Roman" w:eastAsia="Times New Roman" w:hAnsi="Times New Roman"/>
                <w:sz w:val="20"/>
                <w:szCs w:val="20"/>
                <w:color w:val="auto"/>
              </w:rPr>
              <w:t>Foreign</w:t>
            </w: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(7,302)</w:t>
            </w:r>
          </w:p>
        </w:tc>
        <w:tc>
          <w:tcPr>
            <w:tcW w:w="40" w:type="dxa"/>
            <w:vAlign w:val="bottom"/>
            <w:tcBorders>
              <w:bottom w:val="single" w:sz="8" w:color="D2EEF5"/>
            </w:tcBorders>
          </w:tcPr>
          <w:p>
            <w:pPr>
              <w:spacing w:after="0"/>
              <w:rPr>
                <w:sz w:val="24"/>
                <w:szCs w:val="24"/>
                <w:color w:val="auto"/>
              </w:rPr>
            </w:pPr>
          </w:p>
        </w:tc>
        <w:tc>
          <w:tcPr>
            <w:tcW w:w="20" w:type="dxa"/>
            <w:vAlign w:val="bottom"/>
            <w:tcBorders>
              <w:bottom w:val="single" w:sz="8" w:color="D2EEF5"/>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(1,837)</w:t>
            </w:r>
          </w:p>
        </w:tc>
      </w:tr>
      <w:tr>
        <w:trPr>
          <w:trHeight w:val="298"/>
        </w:trPr>
        <w:tc>
          <w:tcPr>
            <w:tcW w:w="7180" w:type="dxa"/>
            <w:vAlign w:val="bottom"/>
            <w:shd w:val="clear" w:color="auto" w:fill="D2EEF5"/>
          </w:tcPr>
          <w:p>
            <w:pPr>
              <w:ind w:left="40"/>
              <w:spacing w:after="0"/>
              <w:rPr>
                <w:sz w:val="20"/>
                <w:szCs w:val="20"/>
                <w:color w:val="auto"/>
              </w:rPr>
            </w:pPr>
            <w:r>
              <w:rPr>
                <w:rFonts w:ascii="Times New Roman" w:cs="Times New Roman" w:eastAsia="Times New Roman" w:hAnsi="Times New Roman"/>
                <w:sz w:val="20"/>
                <w:szCs w:val="20"/>
                <w:color w:val="auto"/>
              </w:rPr>
              <w:t>Loss before tax</w:t>
            </w:r>
          </w:p>
        </w:tc>
        <w:tc>
          <w:tcPr>
            <w:tcW w:w="20" w:type="dxa"/>
            <w:vAlign w:val="bottom"/>
            <w:tcBorders>
              <w:bottom w:val="single" w:sz="8" w:color="auto"/>
            </w:tcBorders>
            <w:shd w:val="clear" w:color="auto" w:fill="D2EEF5"/>
          </w:tcPr>
          <w:p>
            <w:pPr>
              <w:spacing w:after="0"/>
              <w:rPr>
                <w:sz w:val="24"/>
                <w:szCs w:val="24"/>
                <w:color w:val="auto"/>
              </w:rPr>
            </w:pPr>
          </w:p>
        </w:tc>
        <w:tc>
          <w:tcPr>
            <w:tcW w:w="280" w:type="dxa"/>
            <w:vAlign w:val="bottom"/>
            <w:tcBorders>
              <w:bottom w:val="single" w:sz="8" w:color="auto"/>
            </w:tcBorders>
            <w:shd w:val="clear" w:color="auto" w:fill="D2EEF5"/>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12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(290,530)</w:t>
            </w:r>
          </w:p>
        </w:tc>
        <w:tc>
          <w:tcPr>
            <w:tcW w:w="40" w:type="dxa"/>
            <w:vAlign w:val="bottom"/>
            <w:shd w:val="clear" w:color="auto" w:fill="D2EEF5"/>
          </w:tcPr>
          <w:p>
            <w:pPr>
              <w:spacing w:after="0"/>
              <w:rPr>
                <w:sz w:val="24"/>
                <w:szCs w:val="24"/>
                <w:color w:val="auto"/>
              </w:rPr>
            </w:pPr>
          </w:p>
        </w:tc>
        <w:tc>
          <w:tcPr>
            <w:tcW w:w="20" w:type="dxa"/>
            <w:vAlign w:val="bottom"/>
            <w:tcBorders>
              <w:bottom w:val="single" w:sz="8" w:color="auto"/>
            </w:tcBorders>
            <w:shd w:val="clear" w:color="auto" w:fill="D2EEF5"/>
          </w:tcPr>
          <w:p>
            <w:pPr>
              <w:spacing w:after="0"/>
              <w:rPr>
                <w:sz w:val="24"/>
                <w:szCs w:val="24"/>
                <w:color w:val="auto"/>
              </w:rPr>
            </w:pPr>
          </w:p>
        </w:tc>
        <w:tc>
          <w:tcPr>
            <w:tcW w:w="360" w:type="dxa"/>
            <w:vAlign w:val="bottom"/>
            <w:tcBorders>
              <w:bottom w:val="single" w:sz="8" w:color="auto"/>
            </w:tcBorders>
            <w:shd w:val="clear" w:color="auto" w:fill="D2EEF5"/>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(65,848)</w:t>
            </w:r>
          </w:p>
        </w:tc>
      </w:tr>
      <w:tr>
        <w:trPr>
          <w:trHeight w:val="20"/>
        </w:trPr>
        <w:tc>
          <w:tcPr>
            <w:tcW w:w="7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7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color w:val="auto"/>
        </w:rPr>
        <w:t>Significant components of income tax (benefit) expense consist of the following:</w:t>
      </w:r>
    </w:p>
    <w:p>
      <w:pPr>
        <w:spacing w:after="0" w:line="59" w:lineRule="exact"/>
        <w:rPr>
          <w:sz w:val="20"/>
          <w:szCs w:val="20"/>
          <w:color w:val="auto"/>
        </w:rPr>
      </w:pPr>
    </w:p>
    <w:tbl>
      <w:tblPr>
        <w:tblLayout w:type="fixed"/>
        <w:tblInd w:w="60" w:type="dxa"/>
        <w:tblCellMar>
          <w:top w:w="0" w:type="dxa"/>
          <w:left w:w="0" w:type="dxa"/>
          <w:bottom w:w="0" w:type="dxa"/>
          <w:right w:w="0" w:type="dxa"/>
        </w:tblCellMar>
      </w:tblPr>
      <w:tr>
        <w:trPr>
          <w:trHeight w:val="283"/>
        </w:trPr>
        <w:tc>
          <w:tcPr>
            <w:tcW w:w="7200" w:type="dxa"/>
            <w:vAlign w:val="bottom"/>
          </w:tcPr>
          <w:p>
            <w:pPr>
              <w:spacing w:after="0"/>
              <w:rPr>
                <w:sz w:val="24"/>
                <w:szCs w:val="24"/>
                <w:color w:val="auto"/>
              </w:rPr>
            </w:pPr>
          </w:p>
        </w:tc>
        <w:tc>
          <w:tcPr>
            <w:tcW w:w="266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Years ended December 31,</w:t>
            </w:r>
          </w:p>
        </w:tc>
        <w:tc>
          <w:tcPr>
            <w:tcW w:w="400" w:type="dxa"/>
            <w:vAlign w:val="bottom"/>
            <w:tcBorders>
              <w:bottom w:val="single" w:sz="8" w:color="auto"/>
            </w:tcBorders>
          </w:tcPr>
          <w:p>
            <w:pPr>
              <w:spacing w:after="0"/>
              <w:rPr>
                <w:sz w:val="24"/>
                <w:szCs w:val="24"/>
                <w:color w:val="auto"/>
              </w:rPr>
            </w:pPr>
          </w:p>
        </w:tc>
      </w:tr>
      <w:tr>
        <w:trPr>
          <w:trHeight w:val="280"/>
        </w:trPr>
        <w:tc>
          <w:tcPr>
            <w:tcW w:w="7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164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400" w:type="dxa"/>
            <w:vAlign w:val="bottom"/>
          </w:tcPr>
          <w:p>
            <w:pPr>
              <w:spacing w:after="0"/>
              <w:rPr>
                <w:sz w:val="24"/>
                <w:szCs w:val="24"/>
                <w:color w:val="auto"/>
              </w:rPr>
            </w:pPr>
          </w:p>
        </w:tc>
      </w:tr>
      <w:tr>
        <w:trPr>
          <w:trHeight w:val="266"/>
        </w:trPr>
        <w:tc>
          <w:tcPr>
            <w:tcW w:w="7200" w:type="dxa"/>
            <w:vAlign w:val="bottom"/>
            <w:tcBorders>
              <w:top w:val="single" w:sz="8" w:color="D2EEF5"/>
            </w:tcBorders>
            <w:shd w:val="clear" w:color="auto" w:fill="D2EEF5"/>
          </w:tcPr>
          <w:p>
            <w:pPr>
              <w:ind w:left="40"/>
              <w:spacing w:after="0"/>
              <w:rPr>
                <w:sz w:val="20"/>
                <w:szCs w:val="20"/>
                <w:color w:val="auto"/>
              </w:rPr>
            </w:pPr>
            <w:r>
              <w:rPr>
                <w:rFonts w:ascii="Times New Roman" w:cs="Times New Roman" w:eastAsia="Times New Roman" w:hAnsi="Times New Roman"/>
                <w:sz w:val="20"/>
                <w:szCs w:val="20"/>
                <w:b w:val="1"/>
                <w:bCs w:val="1"/>
                <w:color w:val="auto"/>
              </w:rPr>
              <w:t>Current:</w:t>
            </w:r>
          </w:p>
        </w:tc>
        <w:tc>
          <w:tcPr>
            <w:tcW w:w="1020" w:type="dxa"/>
            <w:vAlign w:val="bottom"/>
            <w:tcBorders>
              <w:top w:val="single" w:sz="8" w:color="auto"/>
            </w:tcBorders>
            <w:shd w:val="clear" w:color="auto" w:fill="D2EEF5"/>
          </w:tcPr>
          <w:p>
            <w:pPr>
              <w:spacing w:after="0"/>
              <w:rPr>
                <w:sz w:val="23"/>
                <w:szCs w:val="23"/>
                <w:color w:val="auto"/>
              </w:rPr>
            </w:pPr>
          </w:p>
        </w:tc>
        <w:tc>
          <w:tcPr>
            <w:tcW w:w="480" w:type="dxa"/>
            <w:vAlign w:val="bottom"/>
            <w:tcBorders>
              <w:top w:val="single" w:sz="8" w:color="auto"/>
            </w:tcBorders>
            <w:shd w:val="clear" w:color="auto" w:fill="D2EEF5"/>
          </w:tcPr>
          <w:p>
            <w:pPr>
              <w:spacing w:after="0"/>
              <w:rPr>
                <w:sz w:val="23"/>
                <w:szCs w:val="23"/>
                <w:color w:val="auto"/>
              </w:rPr>
            </w:pPr>
          </w:p>
        </w:tc>
        <w:tc>
          <w:tcPr>
            <w:tcW w:w="60" w:type="dxa"/>
            <w:vAlign w:val="bottom"/>
            <w:tcBorders>
              <w:top w:val="single" w:sz="8" w:color="D2EEF5"/>
            </w:tcBorders>
            <w:shd w:val="clear" w:color="auto" w:fill="D2EEF5"/>
          </w:tcPr>
          <w:p>
            <w:pPr>
              <w:spacing w:after="0"/>
              <w:rPr>
                <w:sz w:val="23"/>
                <w:szCs w:val="23"/>
                <w:color w:val="auto"/>
              </w:rPr>
            </w:pPr>
          </w:p>
        </w:tc>
        <w:tc>
          <w:tcPr>
            <w:tcW w:w="1100" w:type="dxa"/>
            <w:vAlign w:val="bottom"/>
            <w:tcBorders>
              <w:top w:val="single" w:sz="8" w:color="auto"/>
            </w:tcBorders>
            <w:shd w:val="clear" w:color="auto" w:fill="D2EEF5"/>
          </w:tcPr>
          <w:p>
            <w:pPr>
              <w:spacing w:after="0"/>
              <w:rPr>
                <w:sz w:val="23"/>
                <w:szCs w:val="23"/>
                <w:color w:val="auto"/>
              </w:rPr>
            </w:pPr>
          </w:p>
        </w:tc>
        <w:tc>
          <w:tcPr>
            <w:tcW w:w="400" w:type="dxa"/>
            <w:vAlign w:val="bottom"/>
            <w:tcBorders>
              <w:top w:val="single" w:sz="8" w:color="auto"/>
            </w:tcBorders>
            <w:shd w:val="clear" w:color="auto" w:fill="D2EEF5"/>
          </w:tcPr>
          <w:p>
            <w:pPr>
              <w:spacing w:after="0"/>
              <w:rPr>
                <w:sz w:val="23"/>
                <w:szCs w:val="23"/>
                <w:color w:val="auto"/>
              </w:rPr>
            </w:pPr>
          </w:p>
        </w:tc>
      </w:tr>
      <w:tr>
        <w:trPr>
          <w:trHeight w:val="275"/>
        </w:trPr>
        <w:tc>
          <w:tcPr>
            <w:tcW w:w="7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Federal</w:t>
            </w:r>
          </w:p>
        </w:tc>
        <w:tc>
          <w:tcPr>
            <w:tcW w:w="1020" w:type="dxa"/>
            <w:vAlign w:val="bottom"/>
          </w:tcPr>
          <w:p>
            <w:pPr>
              <w:jc w:val="right"/>
              <w:ind w:right="780"/>
              <w:spacing w:after="0"/>
              <w:rPr>
                <w:sz w:val="20"/>
                <w:szCs w:val="20"/>
                <w:color w:val="auto"/>
              </w:rPr>
            </w:pPr>
            <w:r>
              <w:rPr>
                <w:rFonts w:ascii="Times New Roman" w:cs="Times New Roman" w:eastAsia="Times New Roman" w:hAnsi="Times New Roman"/>
                <w:sz w:val="20"/>
                <w:szCs w:val="20"/>
                <w:b w:val="1"/>
                <w:bCs w:val="1"/>
                <w:color w:val="auto"/>
              </w:rPr>
              <w:t>$</w:t>
            </w:r>
          </w:p>
        </w:tc>
        <w:tc>
          <w:tcPr>
            <w:tcW w:w="1640" w:type="dxa"/>
            <w:vAlign w:val="bottom"/>
            <w:gridSpan w:val="3"/>
          </w:tcPr>
          <w:p>
            <w:pPr>
              <w:jc w:val="right"/>
              <w:ind w:right="960"/>
              <w:spacing w:after="0"/>
              <w:rPr>
                <w:sz w:val="20"/>
                <w:szCs w:val="20"/>
                <w:color w:val="auto"/>
              </w:rPr>
            </w:pPr>
            <w:r>
              <w:rPr>
                <w:rFonts w:ascii="Times New Roman" w:cs="Times New Roman" w:eastAsia="Times New Roman" w:hAnsi="Times New Roman"/>
                <w:sz w:val="20"/>
                <w:szCs w:val="20"/>
                <w:b w:val="1"/>
                <w:bCs w:val="1"/>
                <w:color w:val="auto"/>
              </w:rPr>
              <w:t>—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25"/>
        </w:trPr>
        <w:tc>
          <w:tcPr>
            <w:tcW w:w="7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84"/>
        </w:trPr>
        <w:tc>
          <w:tcPr>
            <w:tcW w:w="7200" w:type="dxa"/>
            <w:vAlign w:val="bottom"/>
            <w:shd w:val="clear" w:color="auto" w:fill="D2EEF5"/>
          </w:tcPr>
          <w:p>
            <w:pPr>
              <w:ind w:left="40"/>
              <w:spacing w:after="0"/>
              <w:rPr>
                <w:sz w:val="20"/>
                <w:szCs w:val="20"/>
                <w:color w:val="auto"/>
              </w:rPr>
            </w:pPr>
            <w:r>
              <w:rPr>
                <w:rFonts w:ascii="Times New Roman" w:cs="Times New Roman" w:eastAsia="Times New Roman" w:hAnsi="Times New Roman"/>
                <w:sz w:val="20"/>
                <w:szCs w:val="20"/>
                <w:color w:val="auto"/>
              </w:rPr>
              <w:t>State</w:t>
            </w:r>
          </w:p>
        </w:tc>
        <w:tc>
          <w:tcPr>
            <w:tcW w:w="1020" w:type="dxa"/>
            <w:vAlign w:val="bottom"/>
            <w:shd w:val="clear" w:color="auto" w:fill="D2EEF5"/>
          </w:tcPr>
          <w:p>
            <w:pPr>
              <w:spacing w:after="0"/>
              <w:rPr>
                <w:sz w:val="24"/>
                <w:szCs w:val="24"/>
                <w:color w:val="auto"/>
              </w:rPr>
            </w:pPr>
          </w:p>
        </w:tc>
        <w:tc>
          <w:tcPr>
            <w:tcW w:w="4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87</w:t>
            </w:r>
          </w:p>
        </w:tc>
        <w:tc>
          <w:tcPr>
            <w:tcW w:w="60" w:type="dxa"/>
            <w:vAlign w:val="bottom"/>
            <w:shd w:val="clear" w:color="auto" w:fill="D2EEF5"/>
          </w:tcPr>
          <w:p>
            <w:pPr>
              <w:spacing w:after="0"/>
              <w:rPr>
                <w:sz w:val="24"/>
                <w:szCs w:val="24"/>
                <w:color w:val="auto"/>
              </w:rPr>
            </w:pPr>
          </w:p>
        </w:tc>
        <w:tc>
          <w:tcPr>
            <w:tcW w:w="1100" w:type="dxa"/>
            <w:vAlign w:val="bottom"/>
            <w:shd w:val="clear" w:color="auto" w:fill="D2EEF5"/>
          </w:tcPr>
          <w:p>
            <w:pPr>
              <w:spacing w:after="0"/>
              <w:rPr>
                <w:sz w:val="24"/>
                <w:szCs w:val="24"/>
                <w:color w:val="auto"/>
              </w:rPr>
            </w:pPr>
          </w:p>
        </w:tc>
        <w:tc>
          <w:tcPr>
            <w:tcW w:w="4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90</w:t>
            </w:r>
          </w:p>
        </w:tc>
      </w:tr>
      <w:tr>
        <w:trPr>
          <w:trHeight w:val="285"/>
        </w:trPr>
        <w:tc>
          <w:tcPr>
            <w:tcW w:w="7200" w:type="dxa"/>
            <w:vAlign w:val="bottom"/>
            <w:tcBorders>
              <w:bottom w:val="single" w:sz="8" w:color="D2EEF5"/>
            </w:tcBorders>
          </w:tcPr>
          <w:p>
            <w:pPr>
              <w:ind w:left="40"/>
              <w:spacing w:after="0"/>
              <w:rPr>
                <w:sz w:val="20"/>
                <w:szCs w:val="20"/>
                <w:color w:val="auto"/>
              </w:rPr>
            </w:pPr>
            <w:r>
              <w:rPr>
                <w:rFonts w:ascii="Times New Roman" w:cs="Times New Roman" w:eastAsia="Times New Roman" w:hAnsi="Times New Roman"/>
                <w:sz w:val="20"/>
                <w:szCs w:val="20"/>
                <w:color w:val="auto"/>
              </w:rPr>
              <w:t>Foreign</w:t>
            </w:r>
          </w:p>
        </w:tc>
        <w:tc>
          <w:tcPr>
            <w:tcW w:w="10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90</w:t>
            </w:r>
          </w:p>
        </w:tc>
        <w:tc>
          <w:tcPr>
            <w:tcW w:w="60" w:type="dxa"/>
            <w:vAlign w:val="bottom"/>
            <w:tcBorders>
              <w:bottom w:val="single" w:sz="8" w:color="D2EEF5"/>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706</w:t>
            </w:r>
          </w:p>
        </w:tc>
      </w:tr>
      <w:tr>
        <w:trPr>
          <w:trHeight w:val="281"/>
        </w:trPr>
        <w:tc>
          <w:tcPr>
            <w:tcW w:w="7200" w:type="dxa"/>
            <w:vAlign w:val="bottom"/>
            <w:shd w:val="clear" w:color="auto" w:fill="D2EEF5"/>
          </w:tcPr>
          <w:p>
            <w:pPr>
              <w:ind w:left="160"/>
              <w:spacing w:after="0"/>
              <w:rPr>
                <w:sz w:val="20"/>
                <w:szCs w:val="20"/>
                <w:color w:val="auto"/>
              </w:rPr>
            </w:pPr>
            <w:r>
              <w:rPr>
                <w:rFonts w:ascii="Times New Roman" w:cs="Times New Roman" w:eastAsia="Times New Roman" w:hAnsi="Times New Roman"/>
                <w:sz w:val="20"/>
                <w:szCs w:val="20"/>
                <w:color w:val="auto"/>
              </w:rPr>
              <w:t>Total current expense (benefit)</w:t>
            </w:r>
          </w:p>
        </w:tc>
        <w:tc>
          <w:tcPr>
            <w:tcW w:w="1020" w:type="dxa"/>
            <w:vAlign w:val="bottom"/>
            <w:tcBorders>
              <w:bottom w:val="single" w:sz="8" w:color="auto"/>
            </w:tcBorders>
            <w:shd w:val="clear" w:color="auto" w:fill="D2EEF5"/>
          </w:tcPr>
          <w:p>
            <w:pPr>
              <w:spacing w:after="0"/>
              <w:rPr>
                <w:sz w:val="24"/>
                <w:szCs w:val="24"/>
                <w:color w:val="auto"/>
              </w:rPr>
            </w:pPr>
          </w:p>
        </w:tc>
        <w:tc>
          <w:tcPr>
            <w:tcW w:w="4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177</w:t>
            </w:r>
          </w:p>
        </w:tc>
        <w:tc>
          <w:tcPr>
            <w:tcW w:w="60" w:type="dxa"/>
            <w:vAlign w:val="bottom"/>
            <w:shd w:val="clear" w:color="auto" w:fill="D2EEF5"/>
          </w:tcPr>
          <w:p>
            <w:pPr>
              <w:spacing w:after="0"/>
              <w:rPr>
                <w:sz w:val="24"/>
                <w:szCs w:val="24"/>
                <w:color w:val="auto"/>
              </w:rPr>
            </w:pPr>
          </w:p>
        </w:tc>
        <w:tc>
          <w:tcPr>
            <w:tcW w:w="1100" w:type="dxa"/>
            <w:vAlign w:val="bottom"/>
            <w:tcBorders>
              <w:bottom w:val="single" w:sz="8" w:color="auto"/>
            </w:tcBorders>
            <w:shd w:val="clear" w:color="auto" w:fill="D2EEF5"/>
          </w:tcPr>
          <w:p>
            <w:pPr>
              <w:spacing w:after="0"/>
              <w:rPr>
                <w:sz w:val="24"/>
                <w:szCs w:val="24"/>
                <w:color w:val="auto"/>
              </w:rPr>
            </w:pPr>
          </w:p>
        </w:tc>
        <w:tc>
          <w:tcPr>
            <w:tcW w:w="4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796</w:t>
            </w:r>
          </w:p>
        </w:tc>
      </w:tr>
      <w:tr>
        <w:trPr>
          <w:trHeight w:val="280"/>
        </w:trPr>
        <w:tc>
          <w:tcPr>
            <w:tcW w:w="7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31750</wp:posOffset>
                </wp:positionH>
                <wp:positionV relativeFrom="paragraph">
                  <wp:posOffset>0</wp:posOffset>
                </wp:positionV>
                <wp:extent cx="6515100" cy="19050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5100" cy="190500"/>
                        </a:xfrm>
                        <a:prstGeom prst="rect">
                          <a:avLst/>
                        </a:prstGeom>
                        <a:solidFill>
                          <a:srgbClr val="D2EEF5"/>
                        </a:solidFill>
                      </wps:spPr>
                      <wps:bodyPr/>
                    </wps:wsp>
                  </a:graphicData>
                </a:graphic>
              </wp:anchor>
            </w:drawing>
          </mc:Choice>
          <mc:Fallback>
            <w:pict>
              <v:rect id="Shape 72" o:spid="_x0000_s1097" style="position:absolute;margin-left:2.5pt;margin-top:0pt;width:513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ind w:left="100"/>
        <w:spacing w:after="0"/>
        <w:rPr>
          <w:sz w:val="20"/>
          <w:szCs w:val="20"/>
          <w:color w:val="auto"/>
        </w:rPr>
      </w:pPr>
      <w:r>
        <w:rPr>
          <w:rFonts w:ascii="Times New Roman" w:cs="Times New Roman" w:eastAsia="Times New Roman" w:hAnsi="Times New Roman"/>
          <w:sz w:val="20"/>
          <w:szCs w:val="20"/>
          <w:b w:val="1"/>
          <w:bCs w:val="1"/>
          <w:color w:val="auto"/>
        </w:rPr>
        <w:t>Deferred: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4603750</wp:posOffset>
                </wp:positionH>
                <wp:positionV relativeFrom="paragraph">
                  <wp:posOffset>-107315</wp:posOffset>
                </wp:positionV>
                <wp:extent cx="1943100" cy="151765"/>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151765"/>
                        </a:xfrm>
                        <a:prstGeom prst="rect">
                          <a:avLst/>
                        </a:prstGeom>
                        <a:solidFill>
                          <a:srgbClr val="D2EEF5"/>
                        </a:solidFill>
                      </wps:spPr>
                      <wps:bodyPr/>
                    </wps:wsp>
                  </a:graphicData>
                </a:graphic>
              </wp:anchor>
            </w:drawing>
          </mc:Choice>
          <mc:Fallback>
            <w:pict>
              <v:rect id="Shape 73" o:spid="_x0000_s1098" style="position:absolute;margin-left:362.5pt;margin-top:-8.4499pt;width:153pt;height:11.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ectPr>
          <w:pgSz w:w="12240" w:h="15840" w:orient="portrait"/>
          <w:cols w:equalWidth="0" w:num="1">
            <w:col w:w="10320"/>
          </w:cols>
          <w:pgMar w:left="940" w:top="420" w:right="980" w:bottom="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0"/>
          <w:szCs w:val="20"/>
          <w:color w:val="auto"/>
        </w:rPr>
        <w:t>87</w:t>
      </w:r>
    </w:p>
    <w:p>
      <w:pPr>
        <w:sectPr>
          <w:pgSz w:w="12240" w:h="15840" w:orient="portrait"/>
          <w:cols w:equalWidth="0" w:num="1">
            <w:col w:w="10320"/>
          </w:cols>
          <w:pgMar w:left="940" w:top="420" w:right="980" w:bottom="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Hydrofarm Holdings Group, Inc.</w:t>
      </w:r>
    </w:p>
    <w:p>
      <w:pPr>
        <w:spacing w:after="0" w:line="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72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Federal</w:t>
            </w:r>
          </w:p>
        </w:tc>
        <w:tc>
          <w:tcPr>
            <w:tcW w:w="6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(641)</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26"/>
        </w:trPr>
        <w:tc>
          <w:tcPr>
            <w:tcW w:w="7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80"/>
        </w:trPr>
        <w:tc>
          <w:tcPr>
            <w:tcW w:w="7200" w:type="dxa"/>
            <w:vAlign w:val="bottom"/>
            <w:tcBorders>
              <w:bottom w:val="single" w:sz="8" w:color="D2EEF5"/>
            </w:tcBorders>
            <w:gridSpan w:val="2"/>
            <w:shd w:val="clear" w:color="auto" w:fill="D2EEF5"/>
          </w:tcPr>
          <w:p>
            <w:pPr>
              <w:ind w:left="40"/>
              <w:spacing w:after="0"/>
              <w:rPr>
                <w:sz w:val="20"/>
                <w:szCs w:val="20"/>
                <w:color w:val="auto"/>
              </w:rPr>
            </w:pPr>
            <w:r>
              <w:rPr>
                <w:rFonts w:ascii="Times New Roman" w:cs="Times New Roman" w:eastAsia="Times New Roman" w:hAnsi="Times New Roman"/>
                <w:sz w:val="20"/>
                <w:szCs w:val="20"/>
                <w:color w:val="auto"/>
              </w:rPr>
              <w:t>State</w:t>
            </w:r>
          </w:p>
        </w:tc>
        <w:tc>
          <w:tcPr>
            <w:tcW w:w="600" w:type="dxa"/>
            <w:vAlign w:val="bottom"/>
            <w:tcBorders>
              <w:bottom w:val="single" w:sz="8" w:color="D2EEF5"/>
            </w:tcBorders>
            <w:shd w:val="clear" w:color="auto" w:fill="D2EEF5"/>
          </w:tcPr>
          <w:p>
            <w:pPr>
              <w:spacing w:after="0"/>
              <w:rPr>
                <w:sz w:val="24"/>
                <w:szCs w:val="24"/>
                <w:color w:val="auto"/>
              </w:rPr>
            </w:pPr>
          </w:p>
        </w:tc>
        <w:tc>
          <w:tcPr>
            <w:tcW w:w="900" w:type="dxa"/>
            <w:vAlign w:val="bottom"/>
            <w:tcBorders>
              <w:bottom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(24)</w:t>
            </w:r>
          </w:p>
        </w:tc>
        <w:tc>
          <w:tcPr>
            <w:tcW w:w="40" w:type="dxa"/>
            <w:vAlign w:val="bottom"/>
            <w:tcBorders>
              <w:bottom w:val="single" w:sz="8" w:color="D2EEF5"/>
            </w:tcBorders>
            <w:shd w:val="clear" w:color="auto" w:fill="D2EEF5"/>
          </w:tcPr>
          <w:p>
            <w:pPr>
              <w:spacing w:after="0"/>
              <w:rPr>
                <w:sz w:val="24"/>
                <w:szCs w:val="24"/>
                <w:color w:val="auto"/>
              </w:rPr>
            </w:pPr>
          </w:p>
        </w:tc>
        <w:tc>
          <w:tcPr>
            <w:tcW w:w="20" w:type="dxa"/>
            <w:vAlign w:val="bottom"/>
            <w:tcBorders>
              <w:bottom w:val="single" w:sz="8" w:color="D2EEF5"/>
            </w:tcBorders>
            <w:shd w:val="clear" w:color="auto" w:fill="D2EEF5"/>
          </w:tcPr>
          <w:p>
            <w:pPr>
              <w:spacing w:after="0"/>
              <w:rPr>
                <w:sz w:val="24"/>
                <w:szCs w:val="24"/>
                <w:color w:val="auto"/>
              </w:rPr>
            </w:pPr>
          </w:p>
        </w:tc>
        <w:tc>
          <w:tcPr>
            <w:tcW w:w="620" w:type="dxa"/>
            <w:vAlign w:val="bottom"/>
            <w:tcBorders>
              <w:bottom w:val="single" w:sz="8" w:color="D2EEF5"/>
            </w:tcBorders>
            <w:shd w:val="clear" w:color="auto" w:fill="D2EEF5"/>
          </w:tcPr>
          <w:p>
            <w:pPr>
              <w:spacing w:after="0"/>
              <w:rPr>
                <w:sz w:val="24"/>
                <w:szCs w:val="24"/>
                <w:color w:val="auto"/>
              </w:rPr>
            </w:pPr>
          </w:p>
        </w:tc>
        <w:tc>
          <w:tcPr>
            <w:tcW w:w="880" w:type="dxa"/>
            <w:vAlign w:val="bottom"/>
            <w:tcBorders>
              <w:bottom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275"/>
        </w:trPr>
        <w:tc>
          <w:tcPr>
            <w:tcW w:w="72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Foreign</w:t>
            </w:r>
          </w:p>
        </w:tc>
        <w:tc>
          <w:tcPr>
            <w:tcW w:w="6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(252)</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73</w:t>
            </w:r>
          </w:p>
        </w:tc>
      </w:tr>
      <w:tr>
        <w:trPr>
          <w:trHeight w:val="25"/>
        </w:trPr>
        <w:tc>
          <w:tcPr>
            <w:tcW w:w="7180" w:type="dxa"/>
            <w:vAlign w:val="bottom"/>
            <w:tcBorders>
              <w:bottom w:val="single" w:sz="8" w:color="D2EEF5"/>
            </w:tcBorders>
          </w:tcPr>
          <w:p>
            <w:pPr>
              <w:spacing w:after="0"/>
              <w:rPr>
                <w:sz w:val="2"/>
                <w:szCs w:val="2"/>
                <w:color w:val="auto"/>
              </w:rPr>
            </w:pPr>
          </w:p>
        </w:tc>
        <w:tc>
          <w:tcPr>
            <w:tcW w:w="20" w:type="dxa"/>
            <w:vAlign w:val="bottom"/>
            <w:tcBorders>
              <w:bottom w:val="single" w:sz="8" w:color="D2EEF5"/>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D2EEF5"/>
            </w:tcBorders>
          </w:tcPr>
          <w:p>
            <w:pPr>
              <w:spacing w:after="0"/>
              <w:rPr>
                <w:sz w:val="2"/>
                <w:szCs w:val="2"/>
                <w:color w:val="auto"/>
              </w:rPr>
            </w:pPr>
          </w:p>
        </w:tc>
        <w:tc>
          <w:tcPr>
            <w:tcW w:w="20" w:type="dxa"/>
            <w:vAlign w:val="bottom"/>
            <w:tcBorders>
              <w:bottom w:val="single" w:sz="8" w:color="D2EEF5"/>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0"/>
        </w:trPr>
        <w:tc>
          <w:tcPr>
            <w:tcW w:w="7200" w:type="dxa"/>
            <w:vAlign w:val="bottom"/>
            <w:gridSpan w:val="2"/>
            <w:shd w:val="clear" w:color="auto" w:fill="D2EEF5"/>
          </w:tcPr>
          <w:p>
            <w:pPr>
              <w:ind w:left="160"/>
              <w:spacing w:after="0"/>
              <w:rPr>
                <w:sz w:val="20"/>
                <w:szCs w:val="20"/>
                <w:color w:val="auto"/>
              </w:rPr>
            </w:pPr>
            <w:r>
              <w:rPr>
                <w:rFonts w:ascii="Times New Roman" w:cs="Times New Roman" w:eastAsia="Times New Roman" w:hAnsi="Times New Roman"/>
                <w:sz w:val="20"/>
                <w:szCs w:val="20"/>
                <w:color w:val="auto"/>
              </w:rPr>
              <w:t>Total deferred (benefit) expense</w:t>
            </w:r>
          </w:p>
        </w:tc>
        <w:tc>
          <w:tcPr>
            <w:tcW w:w="600" w:type="dxa"/>
            <w:vAlign w:val="bottom"/>
            <w:tcBorders>
              <w:bottom w:val="single" w:sz="8" w:color="auto"/>
            </w:tcBorders>
            <w:shd w:val="clear" w:color="auto" w:fill="D2EEF5"/>
          </w:tcPr>
          <w:p>
            <w:pPr>
              <w:spacing w:after="0"/>
              <w:rPr>
                <w:sz w:val="24"/>
                <w:szCs w:val="24"/>
                <w:color w:val="auto"/>
              </w:rPr>
            </w:pPr>
          </w:p>
        </w:tc>
        <w:tc>
          <w:tcPr>
            <w:tcW w:w="9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(917)</w:t>
            </w:r>
          </w:p>
        </w:tc>
        <w:tc>
          <w:tcPr>
            <w:tcW w:w="4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620" w:type="dxa"/>
            <w:vAlign w:val="bottom"/>
            <w:tcBorders>
              <w:bottom w:val="single" w:sz="8" w:color="auto"/>
            </w:tcBorders>
            <w:shd w:val="clear" w:color="auto" w:fill="D2EEF5"/>
          </w:tcPr>
          <w:p>
            <w:pPr>
              <w:spacing w:after="0"/>
              <w:rPr>
                <w:sz w:val="24"/>
                <w:szCs w:val="24"/>
                <w:color w:val="auto"/>
              </w:rPr>
            </w:pPr>
          </w:p>
        </w:tc>
        <w:tc>
          <w:tcPr>
            <w:tcW w:w="8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73</w:t>
            </w:r>
          </w:p>
        </w:tc>
      </w:tr>
      <w:tr>
        <w:trPr>
          <w:trHeight w:val="282"/>
        </w:trPr>
        <w:tc>
          <w:tcPr>
            <w:tcW w:w="720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Total income tax (benefit) expense</w:t>
            </w:r>
          </w:p>
        </w:tc>
        <w:tc>
          <w:tcPr>
            <w:tcW w:w="600" w:type="dxa"/>
            <w:vAlign w:val="bottom"/>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(740)</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869</w:t>
            </w:r>
          </w:p>
        </w:tc>
      </w:tr>
      <w:tr>
        <w:trPr>
          <w:trHeight w:val="20"/>
        </w:trPr>
        <w:tc>
          <w:tcPr>
            <w:tcW w:w="7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both"/>
        <w:ind w:firstLine="720"/>
        <w:spacing w:after="0" w:line="277" w:lineRule="auto"/>
        <w:rPr>
          <w:sz w:val="20"/>
          <w:szCs w:val="20"/>
          <w:color w:val="auto"/>
        </w:rPr>
      </w:pPr>
      <w:r>
        <w:rPr>
          <w:rFonts w:ascii="Times New Roman" w:cs="Times New Roman" w:eastAsia="Times New Roman" w:hAnsi="Times New Roman"/>
          <w:sz w:val="20"/>
          <w:szCs w:val="20"/>
          <w:color w:val="auto"/>
        </w:rPr>
        <w:t>The reconciliation of income tax computed at the U.S. federal statutory tax rates of 21% to income tax benefit consists of the following:</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7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0" w:type="dxa"/>
            <w:vAlign w:val="bottom"/>
            <w:gridSpan w:val="3"/>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9"/>
              </w:rPr>
              <w:t>Year ended December 31,</w:t>
            </w:r>
          </w:p>
        </w:tc>
      </w:tr>
      <w:tr>
        <w:trPr>
          <w:trHeight w:val="26"/>
        </w:trPr>
        <w:tc>
          <w:tcPr>
            <w:tcW w:w="7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79"/>
        </w:trPr>
        <w:tc>
          <w:tcPr>
            <w:tcW w:w="7640" w:type="dxa"/>
            <w:vAlign w:val="bottom"/>
            <w:tcBorders>
              <w:bottom w:val="single" w:sz="8" w:color="D2EEF5"/>
            </w:tcBorders>
          </w:tcPr>
          <w:p>
            <w:pPr>
              <w:spacing w:after="0"/>
              <w:rPr>
                <w:sz w:val="24"/>
                <w:szCs w:val="24"/>
                <w:color w:val="auto"/>
              </w:rPr>
            </w:pPr>
          </w:p>
        </w:tc>
        <w:tc>
          <w:tcPr>
            <w:tcW w:w="20" w:type="dxa"/>
            <w:vAlign w:val="bottom"/>
            <w:tcBorders>
              <w:bottom w:val="single" w:sz="8" w:color="D2EEF5"/>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center"/>
              <w:ind w:left="600"/>
              <w:spacing w:after="0"/>
              <w:rPr>
                <w:sz w:val="20"/>
                <w:szCs w:val="20"/>
                <w:color w:val="auto"/>
              </w:rPr>
            </w:pPr>
            <w:r>
              <w:rPr>
                <w:rFonts w:ascii="Times New Roman" w:cs="Times New Roman" w:eastAsia="Times New Roman" w:hAnsi="Times New Roman"/>
                <w:sz w:val="20"/>
                <w:szCs w:val="20"/>
                <w:b w:val="1"/>
                <w:bCs w:val="1"/>
                <w:color w:val="auto"/>
                <w:w w:val="99"/>
              </w:rPr>
              <w:t>2025</w:t>
            </w:r>
          </w:p>
        </w:tc>
        <w:tc>
          <w:tcPr>
            <w:tcW w:w="900" w:type="dxa"/>
            <w:vAlign w:val="bottom"/>
            <w:tcBorders>
              <w:bottom w:val="single" w:sz="8" w:color="auto"/>
            </w:tcBorders>
          </w:tcPr>
          <w:p>
            <w:pPr>
              <w:spacing w:after="0"/>
              <w:rPr>
                <w:sz w:val="24"/>
                <w:szCs w:val="24"/>
                <w:color w:val="auto"/>
              </w:rPr>
            </w:pPr>
          </w:p>
        </w:tc>
      </w:tr>
      <w:tr>
        <w:trPr>
          <w:trHeight w:val="261"/>
        </w:trPr>
        <w:tc>
          <w:tcPr>
            <w:tcW w:w="7660" w:type="dxa"/>
            <w:vAlign w:val="bottom"/>
            <w:tcBorders>
              <w:bottom w:val="single" w:sz="8" w:color="D2EEF5"/>
            </w:tcBorders>
            <w:gridSpan w:val="2"/>
            <w:shd w:val="clear" w:color="auto" w:fill="D2EEF5"/>
          </w:tcPr>
          <w:p>
            <w:pPr>
              <w:ind w:left="40"/>
              <w:spacing w:after="0"/>
              <w:rPr>
                <w:sz w:val="20"/>
                <w:szCs w:val="20"/>
                <w:color w:val="auto"/>
              </w:rPr>
            </w:pPr>
            <w:r>
              <w:rPr>
                <w:rFonts w:ascii="Times New Roman" w:cs="Times New Roman" w:eastAsia="Times New Roman" w:hAnsi="Times New Roman"/>
                <w:sz w:val="20"/>
                <w:szCs w:val="20"/>
                <w:b w:val="1"/>
                <w:bCs w:val="1"/>
                <w:color w:val="auto"/>
              </w:rPr>
              <w:t>Effective rate reconciliation</w:t>
            </w:r>
          </w:p>
        </w:tc>
        <w:tc>
          <w:tcPr>
            <w:tcW w:w="20" w:type="dxa"/>
            <w:vAlign w:val="bottom"/>
            <w:tcBorders>
              <w:bottom w:val="single" w:sz="8" w:color="D2EEF5"/>
            </w:tcBorders>
            <w:shd w:val="clear" w:color="auto" w:fill="D2EEF5"/>
          </w:tcPr>
          <w:p>
            <w:pPr>
              <w:spacing w:after="0"/>
              <w:rPr>
                <w:sz w:val="22"/>
                <w:szCs w:val="22"/>
                <w:color w:val="auto"/>
              </w:rPr>
            </w:pPr>
          </w:p>
        </w:tc>
        <w:tc>
          <w:tcPr>
            <w:tcW w:w="180" w:type="dxa"/>
            <w:vAlign w:val="bottom"/>
            <w:tcBorders>
              <w:bottom w:val="single" w:sz="8" w:color="D2EEF5"/>
            </w:tcBorders>
            <w:shd w:val="clear" w:color="auto" w:fill="D2EEF5"/>
          </w:tcPr>
          <w:p>
            <w:pPr>
              <w:spacing w:after="0"/>
              <w:rPr>
                <w:sz w:val="22"/>
                <w:szCs w:val="22"/>
                <w:color w:val="auto"/>
              </w:rPr>
            </w:pPr>
          </w:p>
        </w:tc>
        <w:tc>
          <w:tcPr>
            <w:tcW w:w="1300" w:type="dxa"/>
            <w:vAlign w:val="bottom"/>
            <w:tcBorders>
              <w:bottom w:val="single" w:sz="8" w:color="D2EEF5"/>
            </w:tcBorders>
            <w:shd w:val="clear" w:color="auto" w:fill="D2EEF5"/>
          </w:tcPr>
          <w:p>
            <w:pPr>
              <w:spacing w:after="0"/>
              <w:rPr>
                <w:sz w:val="22"/>
                <w:szCs w:val="22"/>
                <w:color w:val="auto"/>
              </w:rPr>
            </w:pPr>
          </w:p>
        </w:tc>
        <w:tc>
          <w:tcPr>
            <w:tcW w:w="200" w:type="dxa"/>
            <w:vAlign w:val="bottom"/>
            <w:tcBorders>
              <w:bottom w:val="single" w:sz="8" w:color="D2EEF5"/>
            </w:tcBorders>
            <w:shd w:val="clear" w:color="auto" w:fill="D2EEF5"/>
          </w:tcPr>
          <w:p>
            <w:pPr>
              <w:spacing w:after="0"/>
              <w:rPr>
                <w:sz w:val="22"/>
                <w:szCs w:val="22"/>
                <w:color w:val="auto"/>
              </w:rPr>
            </w:pPr>
          </w:p>
        </w:tc>
        <w:tc>
          <w:tcPr>
            <w:tcW w:w="900" w:type="dxa"/>
            <w:vAlign w:val="bottom"/>
            <w:tcBorders>
              <w:bottom w:val="single" w:sz="8" w:color="D2EEF5"/>
            </w:tcBorders>
            <w:shd w:val="clear" w:color="auto" w:fill="D2EEF5"/>
          </w:tcPr>
          <w:p>
            <w:pPr>
              <w:spacing w:after="0"/>
              <w:rPr>
                <w:sz w:val="22"/>
                <w:szCs w:val="22"/>
                <w:color w:val="auto"/>
              </w:rPr>
            </w:pPr>
          </w:p>
        </w:tc>
      </w:tr>
      <w:tr>
        <w:trPr>
          <w:trHeight w:val="275"/>
        </w:trPr>
        <w:tc>
          <w:tcPr>
            <w:tcW w:w="76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U.S. federal tax benefit at statutory rate</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(61,011)</w:t>
            </w: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21.0 %</w:t>
            </w:r>
          </w:p>
        </w:tc>
      </w:tr>
      <w:tr>
        <w:trPr>
          <w:trHeight w:val="25"/>
        </w:trPr>
        <w:tc>
          <w:tcPr>
            <w:tcW w:w="7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80"/>
        </w:trPr>
        <w:tc>
          <w:tcPr>
            <w:tcW w:w="7660" w:type="dxa"/>
            <w:vAlign w:val="bottom"/>
            <w:tcBorders>
              <w:bottom w:val="single" w:sz="8" w:color="D2EEF5"/>
            </w:tcBorders>
            <w:gridSpan w:val="2"/>
            <w:shd w:val="clear" w:color="auto" w:fill="D2EEF5"/>
          </w:tcPr>
          <w:p>
            <w:pPr>
              <w:ind w:left="160"/>
              <w:spacing w:after="0"/>
              <w:rPr>
                <w:sz w:val="20"/>
                <w:szCs w:val="20"/>
                <w:color w:val="auto"/>
              </w:rPr>
            </w:pPr>
            <w:r>
              <w:rPr>
                <w:rFonts w:ascii="Times New Roman" w:cs="Times New Roman" w:eastAsia="Times New Roman" w:hAnsi="Times New Roman"/>
                <w:sz w:val="20"/>
                <w:szCs w:val="20"/>
                <w:color w:val="auto"/>
              </w:rPr>
              <w:t>State income taxes, net</w:t>
            </w:r>
          </w:p>
        </w:tc>
        <w:tc>
          <w:tcPr>
            <w:tcW w:w="20" w:type="dxa"/>
            <w:vAlign w:val="bottom"/>
            <w:tcBorders>
              <w:bottom w:val="single" w:sz="8" w:color="D2EEF5"/>
            </w:tcBorders>
            <w:shd w:val="clear" w:color="auto" w:fill="D2EEF5"/>
          </w:tcPr>
          <w:p>
            <w:pPr>
              <w:spacing w:after="0"/>
              <w:rPr>
                <w:sz w:val="24"/>
                <w:szCs w:val="24"/>
                <w:color w:val="auto"/>
              </w:rPr>
            </w:pPr>
          </w:p>
        </w:tc>
        <w:tc>
          <w:tcPr>
            <w:tcW w:w="180" w:type="dxa"/>
            <w:vAlign w:val="bottom"/>
            <w:tcBorders>
              <w:bottom w:val="single" w:sz="8" w:color="D2EEF5"/>
            </w:tcBorders>
            <w:shd w:val="clear" w:color="auto" w:fill="D2EEF5"/>
          </w:tcPr>
          <w:p>
            <w:pPr>
              <w:spacing w:after="0"/>
              <w:rPr>
                <w:sz w:val="24"/>
                <w:szCs w:val="24"/>
                <w:color w:val="auto"/>
              </w:rPr>
            </w:pPr>
          </w:p>
        </w:tc>
        <w:tc>
          <w:tcPr>
            <w:tcW w:w="1300" w:type="dxa"/>
            <w:vAlign w:val="bottom"/>
            <w:tcBorders>
              <w:bottom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68</w:t>
            </w:r>
          </w:p>
        </w:tc>
        <w:tc>
          <w:tcPr>
            <w:tcW w:w="200" w:type="dxa"/>
            <w:vAlign w:val="bottom"/>
            <w:tcBorders>
              <w:bottom w:val="single" w:sz="8" w:color="D2EEF5"/>
            </w:tcBorders>
            <w:shd w:val="clear" w:color="auto" w:fill="D2EEF5"/>
          </w:tcPr>
          <w:p>
            <w:pPr>
              <w:spacing w:after="0"/>
              <w:rPr>
                <w:sz w:val="24"/>
                <w:szCs w:val="24"/>
                <w:color w:val="auto"/>
              </w:rPr>
            </w:pPr>
          </w:p>
        </w:tc>
        <w:tc>
          <w:tcPr>
            <w:tcW w:w="900" w:type="dxa"/>
            <w:vAlign w:val="bottom"/>
            <w:tcBorders>
              <w:bottom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 %</w:t>
            </w:r>
          </w:p>
        </w:tc>
      </w:tr>
      <w:tr>
        <w:trPr>
          <w:trHeight w:val="275"/>
        </w:trPr>
        <w:tc>
          <w:tcPr>
            <w:tcW w:w="76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Permanent items</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(261)</w:t>
            </w: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0.1 %</w:t>
            </w:r>
          </w:p>
        </w:tc>
      </w:tr>
      <w:tr>
        <w:trPr>
          <w:trHeight w:val="25"/>
        </w:trPr>
        <w:tc>
          <w:tcPr>
            <w:tcW w:w="7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80"/>
        </w:trPr>
        <w:tc>
          <w:tcPr>
            <w:tcW w:w="7660" w:type="dxa"/>
            <w:vAlign w:val="bottom"/>
            <w:tcBorders>
              <w:bottom w:val="single" w:sz="8" w:color="D2EEF5"/>
            </w:tcBorders>
            <w:gridSpan w:val="2"/>
            <w:shd w:val="clear" w:color="auto" w:fill="D2EEF5"/>
          </w:tcPr>
          <w:p>
            <w:pPr>
              <w:ind w:left="160"/>
              <w:spacing w:after="0"/>
              <w:rPr>
                <w:sz w:val="20"/>
                <w:szCs w:val="20"/>
                <w:color w:val="auto"/>
              </w:rPr>
            </w:pPr>
            <w:r>
              <w:rPr>
                <w:rFonts w:ascii="Times New Roman" w:cs="Times New Roman" w:eastAsia="Times New Roman" w:hAnsi="Times New Roman"/>
                <w:sz w:val="20"/>
                <w:szCs w:val="20"/>
                <w:b w:val="1"/>
                <w:bCs w:val="1"/>
                <w:color w:val="auto"/>
              </w:rPr>
              <w:t>Impact of foreign operations</w:t>
            </w:r>
          </w:p>
        </w:tc>
        <w:tc>
          <w:tcPr>
            <w:tcW w:w="20" w:type="dxa"/>
            <w:vAlign w:val="bottom"/>
            <w:tcBorders>
              <w:bottom w:val="single" w:sz="8" w:color="D2EEF5"/>
            </w:tcBorders>
            <w:shd w:val="clear" w:color="auto" w:fill="D2EEF5"/>
          </w:tcPr>
          <w:p>
            <w:pPr>
              <w:spacing w:after="0"/>
              <w:rPr>
                <w:sz w:val="24"/>
                <w:szCs w:val="24"/>
                <w:color w:val="auto"/>
              </w:rPr>
            </w:pPr>
          </w:p>
        </w:tc>
        <w:tc>
          <w:tcPr>
            <w:tcW w:w="180" w:type="dxa"/>
            <w:vAlign w:val="bottom"/>
            <w:tcBorders>
              <w:bottom w:val="single" w:sz="8" w:color="D2EEF5"/>
            </w:tcBorders>
            <w:shd w:val="clear" w:color="auto" w:fill="D2EEF5"/>
          </w:tcPr>
          <w:p>
            <w:pPr>
              <w:spacing w:after="0"/>
              <w:rPr>
                <w:sz w:val="24"/>
                <w:szCs w:val="24"/>
                <w:color w:val="auto"/>
              </w:rPr>
            </w:pPr>
          </w:p>
        </w:tc>
        <w:tc>
          <w:tcPr>
            <w:tcW w:w="1300" w:type="dxa"/>
            <w:vAlign w:val="bottom"/>
            <w:tcBorders>
              <w:bottom w:val="single" w:sz="8" w:color="D2EEF5"/>
            </w:tcBorders>
            <w:shd w:val="clear" w:color="auto" w:fill="D2EEF5"/>
          </w:tcPr>
          <w:p>
            <w:pPr>
              <w:spacing w:after="0"/>
              <w:rPr>
                <w:sz w:val="24"/>
                <w:szCs w:val="24"/>
                <w:color w:val="auto"/>
              </w:rPr>
            </w:pPr>
          </w:p>
        </w:tc>
        <w:tc>
          <w:tcPr>
            <w:tcW w:w="200" w:type="dxa"/>
            <w:vAlign w:val="bottom"/>
            <w:tcBorders>
              <w:bottom w:val="single" w:sz="8" w:color="D2EEF5"/>
            </w:tcBorders>
            <w:shd w:val="clear" w:color="auto" w:fill="D2EEF5"/>
          </w:tcPr>
          <w:p>
            <w:pPr>
              <w:spacing w:after="0"/>
              <w:rPr>
                <w:sz w:val="24"/>
                <w:szCs w:val="24"/>
                <w:color w:val="auto"/>
              </w:rPr>
            </w:pPr>
          </w:p>
        </w:tc>
        <w:tc>
          <w:tcPr>
            <w:tcW w:w="900" w:type="dxa"/>
            <w:vAlign w:val="bottom"/>
            <w:tcBorders>
              <w:bottom w:val="single" w:sz="8" w:color="D2EEF5"/>
            </w:tcBorders>
            <w:shd w:val="clear" w:color="auto" w:fill="D2EEF5"/>
          </w:tcPr>
          <w:p>
            <w:pPr>
              <w:spacing w:after="0"/>
              <w:rPr>
                <w:sz w:val="24"/>
                <w:szCs w:val="24"/>
                <w:color w:val="auto"/>
              </w:rPr>
            </w:pPr>
          </w:p>
        </w:tc>
      </w:tr>
      <w:tr>
        <w:trPr>
          <w:trHeight w:val="275"/>
        </w:trPr>
        <w:tc>
          <w:tcPr>
            <w:tcW w:w="7660" w:type="dxa"/>
            <w:vAlign w:val="bottom"/>
            <w:gridSpan w:val="2"/>
          </w:tcPr>
          <w:p>
            <w:pPr>
              <w:ind w:left="280"/>
              <w:spacing w:after="0"/>
              <w:rPr>
                <w:sz w:val="20"/>
                <w:szCs w:val="20"/>
                <w:color w:val="auto"/>
              </w:rPr>
            </w:pPr>
            <w:r>
              <w:rPr>
                <w:rFonts w:ascii="Times New Roman" w:cs="Times New Roman" w:eastAsia="Times New Roman" w:hAnsi="Times New Roman"/>
                <w:sz w:val="20"/>
                <w:szCs w:val="20"/>
                <w:b w:val="1"/>
                <w:bCs w:val="1"/>
                <w:color w:val="auto"/>
              </w:rPr>
              <w:t>Canada</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5"/>
        </w:trPr>
        <w:tc>
          <w:tcPr>
            <w:tcW w:w="7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80"/>
        </w:trPr>
        <w:tc>
          <w:tcPr>
            <w:tcW w:w="7660" w:type="dxa"/>
            <w:vAlign w:val="bottom"/>
            <w:tcBorders>
              <w:bottom w:val="single" w:sz="8" w:color="D2EEF5"/>
            </w:tcBorders>
            <w:gridSpan w:val="2"/>
            <w:shd w:val="clear" w:color="auto" w:fill="D2EEF5"/>
          </w:tcPr>
          <w:p>
            <w:pPr>
              <w:ind w:left="400"/>
              <w:spacing w:after="0"/>
              <w:rPr>
                <w:sz w:val="20"/>
                <w:szCs w:val="20"/>
                <w:color w:val="auto"/>
              </w:rPr>
            </w:pPr>
            <w:r>
              <w:rPr>
                <w:rFonts w:ascii="Times New Roman" w:cs="Times New Roman" w:eastAsia="Times New Roman" w:hAnsi="Times New Roman"/>
                <w:sz w:val="20"/>
                <w:szCs w:val="20"/>
                <w:color w:val="auto"/>
              </w:rPr>
              <w:t>Foreign rate differential</w:t>
            </w:r>
          </w:p>
        </w:tc>
        <w:tc>
          <w:tcPr>
            <w:tcW w:w="20" w:type="dxa"/>
            <w:vAlign w:val="bottom"/>
            <w:tcBorders>
              <w:bottom w:val="single" w:sz="8" w:color="D2EEF5"/>
            </w:tcBorders>
            <w:shd w:val="clear" w:color="auto" w:fill="D2EEF5"/>
          </w:tcPr>
          <w:p>
            <w:pPr>
              <w:spacing w:after="0"/>
              <w:rPr>
                <w:sz w:val="24"/>
                <w:szCs w:val="24"/>
                <w:color w:val="auto"/>
              </w:rPr>
            </w:pPr>
          </w:p>
        </w:tc>
        <w:tc>
          <w:tcPr>
            <w:tcW w:w="180" w:type="dxa"/>
            <w:vAlign w:val="bottom"/>
            <w:tcBorders>
              <w:bottom w:val="single" w:sz="8" w:color="D2EEF5"/>
            </w:tcBorders>
            <w:shd w:val="clear" w:color="auto" w:fill="D2EEF5"/>
          </w:tcPr>
          <w:p>
            <w:pPr>
              <w:spacing w:after="0"/>
              <w:rPr>
                <w:sz w:val="24"/>
                <w:szCs w:val="24"/>
                <w:color w:val="auto"/>
              </w:rPr>
            </w:pPr>
          </w:p>
        </w:tc>
        <w:tc>
          <w:tcPr>
            <w:tcW w:w="1300" w:type="dxa"/>
            <w:vAlign w:val="bottom"/>
            <w:tcBorders>
              <w:bottom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(424)</w:t>
            </w:r>
          </w:p>
        </w:tc>
        <w:tc>
          <w:tcPr>
            <w:tcW w:w="200" w:type="dxa"/>
            <w:vAlign w:val="bottom"/>
            <w:tcBorders>
              <w:bottom w:val="single" w:sz="8" w:color="D2EEF5"/>
            </w:tcBorders>
            <w:shd w:val="clear" w:color="auto" w:fill="D2EEF5"/>
          </w:tcPr>
          <w:p>
            <w:pPr>
              <w:spacing w:after="0"/>
              <w:rPr>
                <w:sz w:val="24"/>
                <w:szCs w:val="24"/>
                <w:color w:val="auto"/>
              </w:rPr>
            </w:pPr>
          </w:p>
        </w:tc>
        <w:tc>
          <w:tcPr>
            <w:tcW w:w="900" w:type="dxa"/>
            <w:vAlign w:val="bottom"/>
            <w:tcBorders>
              <w:bottom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0.1 %</w:t>
            </w:r>
          </w:p>
        </w:tc>
      </w:tr>
      <w:tr>
        <w:trPr>
          <w:trHeight w:val="275"/>
        </w:trPr>
        <w:tc>
          <w:tcPr>
            <w:tcW w:w="766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Valuation allowance</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2,393</w:t>
            </w: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(0.8)%</w:t>
            </w:r>
          </w:p>
        </w:tc>
      </w:tr>
      <w:tr>
        <w:trPr>
          <w:trHeight w:val="25"/>
        </w:trPr>
        <w:tc>
          <w:tcPr>
            <w:tcW w:w="7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80"/>
        </w:trPr>
        <w:tc>
          <w:tcPr>
            <w:tcW w:w="7660" w:type="dxa"/>
            <w:vAlign w:val="bottom"/>
            <w:tcBorders>
              <w:bottom w:val="single" w:sz="8" w:color="D2EEF5"/>
            </w:tcBorders>
            <w:gridSpan w:val="2"/>
            <w:shd w:val="clear" w:color="auto" w:fill="D2EEF5"/>
          </w:tcPr>
          <w:p>
            <w:pPr>
              <w:ind w:left="400"/>
              <w:spacing w:after="0"/>
              <w:rPr>
                <w:sz w:val="20"/>
                <w:szCs w:val="20"/>
                <w:color w:val="auto"/>
              </w:rPr>
            </w:pPr>
            <w:r>
              <w:rPr>
                <w:rFonts w:ascii="Times New Roman" w:cs="Times New Roman" w:eastAsia="Times New Roman" w:hAnsi="Times New Roman"/>
                <w:sz w:val="20"/>
                <w:szCs w:val="20"/>
                <w:color w:val="auto"/>
              </w:rPr>
              <w:t>Other</w:t>
            </w:r>
          </w:p>
        </w:tc>
        <w:tc>
          <w:tcPr>
            <w:tcW w:w="20" w:type="dxa"/>
            <w:vAlign w:val="bottom"/>
            <w:tcBorders>
              <w:bottom w:val="single" w:sz="8" w:color="D2EEF5"/>
            </w:tcBorders>
            <w:shd w:val="clear" w:color="auto" w:fill="D2EEF5"/>
          </w:tcPr>
          <w:p>
            <w:pPr>
              <w:spacing w:after="0"/>
              <w:rPr>
                <w:sz w:val="24"/>
                <w:szCs w:val="24"/>
                <w:color w:val="auto"/>
              </w:rPr>
            </w:pPr>
          </w:p>
        </w:tc>
        <w:tc>
          <w:tcPr>
            <w:tcW w:w="180" w:type="dxa"/>
            <w:vAlign w:val="bottom"/>
            <w:tcBorders>
              <w:bottom w:val="single" w:sz="8" w:color="D2EEF5"/>
            </w:tcBorders>
            <w:shd w:val="clear" w:color="auto" w:fill="D2EEF5"/>
          </w:tcPr>
          <w:p>
            <w:pPr>
              <w:spacing w:after="0"/>
              <w:rPr>
                <w:sz w:val="24"/>
                <w:szCs w:val="24"/>
                <w:color w:val="auto"/>
              </w:rPr>
            </w:pPr>
          </w:p>
        </w:tc>
        <w:tc>
          <w:tcPr>
            <w:tcW w:w="1300" w:type="dxa"/>
            <w:vAlign w:val="bottom"/>
            <w:tcBorders>
              <w:bottom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(634)</w:t>
            </w:r>
          </w:p>
        </w:tc>
        <w:tc>
          <w:tcPr>
            <w:tcW w:w="200" w:type="dxa"/>
            <w:vAlign w:val="bottom"/>
            <w:tcBorders>
              <w:bottom w:val="single" w:sz="8" w:color="D2EEF5"/>
            </w:tcBorders>
            <w:shd w:val="clear" w:color="auto" w:fill="D2EEF5"/>
          </w:tcPr>
          <w:p>
            <w:pPr>
              <w:spacing w:after="0"/>
              <w:rPr>
                <w:sz w:val="24"/>
                <w:szCs w:val="24"/>
                <w:color w:val="auto"/>
              </w:rPr>
            </w:pPr>
          </w:p>
        </w:tc>
        <w:tc>
          <w:tcPr>
            <w:tcW w:w="900" w:type="dxa"/>
            <w:vAlign w:val="bottom"/>
            <w:tcBorders>
              <w:bottom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0.2 %</w:t>
            </w:r>
          </w:p>
        </w:tc>
      </w:tr>
      <w:tr>
        <w:trPr>
          <w:trHeight w:val="275"/>
        </w:trPr>
        <w:tc>
          <w:tcPr>
            <w:tcW w:w="7660" w:type="dxa"/>
            <w:vAlign w:val="bottom"/>
            <w:gridSpan w:val="2"/>
          </w:tcPr>
          <w:p>
            <w:pPr>
              <w:ind w:left="280"/>
              <w:spacing w:after="0"/>
              <w:rPr>
                <w:sz w:val="20"/>
                <w:szCs w:val="20"/>
                <w:color w:val="auto"/>
              </w:rPr>
            </w:pPr>
            <w:r>
              <w:rPr>
                <w:rFonts w:ascii="Times New Roman" w:cs="Times New Roman" w:eastAsia="Times New Roman" w:hAnsi="Times New Roman"/>
                <w:sz w:val="20"/>
                <w:szCs w:val="20"/>
                <w:b w:val="1"/>
                <w:bCs w:val="1"/>
                <w:color w:val="auto"/>
              </w:rPr>
              <w:t>Spain</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5"/>
        </w:trPr>
        <w:tc>
          <w:tcPr>
            <w:tcW w:w="7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80"/>
        </w:trPr>
        <w:tc>
          <w:tcPr>
            <w:tcW w:w="7660" w:type="dxa"/>
            <w:vAlign w:val="bottom"/>
            <w:tcBorders>
              <w:bottom w:val="single" w:sz="8" w:color="D2EEF5"/>
            </w:tcBorders>
            <w:gridSpan w:val="2"/>
            <w:shd w:val="clear" w:color="auto" w:fill="D2EEF5"/>
          </w:tcPr>
          <w:p>
            <w:pPr>
              <w:ind w:left="400"/>
              <w:spacing w:after="0"/>
              <w:rPr>
                <w:sz w:val="20"/>
                <w:szCs w:val="20"/>
                <w:color w:val="auto"/>
              </w:rPr>
            </w:pPr>
            <w:r>
              <w:rPr>
                <w:rFonts w:ascii="Times New Roman" w:cs="Times New Roman" w:eastAsia="Times New Roman" w:hAnsi="Times New Roman"/>
                <w:sz w:val="20"/>
                <w:szCs w:val="20"/>
                <w:color w:val="auto"/>
              </w:rPr>
              <w:t>Other</w:t>
            </w:r>
          </w:p>
        </w:tc>
        <w:tc>
          <w:tcPr>
            <w:tcW w:w="20" w:type="dxa"/>
            <w:vAlign w:val="bottom"/>
            <w:tcBorders>
              <w:bottom w:val="single" w:sz="8" w:color="D2EEF5"/>
            </w:tcBorders>
            <w:shd w:val="clear" w:color="auto" w:fill="D2EEF5"/>
          </w:tcPr>
          <w:p>
            <w:pPr>
              <w:spacing w:after="0"/>
              <w:rPr>
                <w:sz w:val="24"/>
                <w:szCs w:val="24"/>
                <w:color w:val="auto"/>
              </w:rPr>
            </w:pPr>
          </w:p>
        </w:tc>
        <w:tc>
          <w:tcPr>
            <w:tcW w:w="180" w:type="dxa"/>
            <w:vAlign w:val="bottom"/>
            <w:tcBorders>
              <w:bottom w:val="single" w:sz="8" w:color="D2EEF5"/>
            </w:tcBorders>
            <w:shd w:val="clear" w:color="auto" w:fill="D2EEF5"/>
          </w:tcPr>
          <w:p>
            <w:pPr>
              <w:spacing w:after="0"/>
              <w:rPr>
                <w:sz w:val="24"/>
                <w:szCs w:val="24"/>
                <w:color w:val="auto"/>
              </w:rPr>
            </w:pPr>
          </w:p>
        </w:tc>
        <w:tc>
          <w:tcPr>
            <w:tcW w:w="1300" w:type="dxa"/>
            <w:vAlign w:val="bottom"/>
            <w:tcBorders>
              <w:bottom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36</w:t>
            </w:r>
          </w:p>
        </w:tc>
        <w:tc>
          <w:tcPr>
            <w:tcW w:w="200" w:type="dxa"/>
            <w:vAlign w:val="bottom"/>
            <w:tcBorders>
              <w:bottom w:val="single" w:sz="8" w:color="D2EEF5"/>
            </w:tcBorders>
            <w:shd w:val="clear" w:color="auto" w:fill="D2EEF5"/>
          </w:tcPr>
          <w:p>
            <w:pPr>
              <w:spacing w:after="0"/>
              <w:rPr>
                <w:sz w:val="24"/>
                <w:szCs w:val="24"/>
                <w:color w:val="auto"/>
              </w:rPr>
            </w:pPr>
          </w:p>
        </w:tc>
        <w:tc>
          <w:tcPr>
            <w:tcW w:w="900" w:type="dxa"/>
            <w:vAlign w:val="bottom"/>
            <w:tcBorders>
              <w:bottom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 %</w:t>
            </w:r>
          </w:p>
        </w:tc>
      </w:tr>
      <w:tr>
        <w:trPr>
          <w:trHeight w:val="300"/>
        </w:trPr>
        <w:tc>
          <w:tcPr>
            <w:tcW w:w="7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80"/>
        </w:trPr>
        <w:tc>
          <w:tcPr>
            <w:tcW w:w="7660" w:type="dxa"/>
            <w:vAlign w:val="bottom"/>
            <w:tcBorders>
              <w:bottom w:val="single" w:sz="8" w:color="D2EEF5"/>
            </w:tcBorders>
            <w:gridSpan w:val="2"/>
            <w:shd w:val="clear" w:color="auto" w:fill="D2EEF5"/>
          </w:tcPr>
          <w:p>
            <w:pPr>
              <w:ind w:left="160"/>
              <w:spacing w:after="0"/>
              <w:rPr>
                <w:sz w:val="20"/>
                <w:szCs w:val="20"/>
                <w:color w:val="auto"/>
              </w:rPr>
            </w:pPr>
            <w:r>
              <w:rPr>
                <w:rFonts w:ascii="Times New Roman" w:cs="Times New Roman" w:eastAsia="Times New Roman" w:hAnsi="Times New Roman"/>
                <w:sz w:val="20"/>
                <w:szCs w:val="20"/>
                <w:color w:val="auto"/>
              </w:rPr>
              <w:t>Other, net</w:t>
            </w:r>
          </w:p>
        </w:tc>
        <w:tc>
          <w:tcPr>
            <w:tcW w:w="20" w:type="dxa"/>
            <w:vAlign w:val="bottom"/>
            <w:tcBorders>
              <w:bottom w:val="single" w:sz="8" w:color="D2EEF5"/>
            </w:tcBorders>
            <w:shd w:val="clear" w:color="auto" w:fill="D2EEF5"/>
          </w:tcPr>
          <w:p>
            <w:pPr>
              <w:spacing w:after="0"/>
              <w:rPr>
                <w:sz w:val="24"/>
                <w:szCs w:val="24"/>
                <w:color w:val="auto"/>
              </w:rPr>
            </w:pPr>
          </w:p>
        </w:tc>
        <w:tc>
          <w:tcPr>
            <w:tcW w:w="180" w:type="dxa"/>
            <w:vAlign w:val="bottom"/>
            <w:tcBorders>
              <w:bottom w:val="single" w:sz="8" w:color="D2EEF5"/>
            </w:tcBorders>
            <w:shd w:val="clear" w:color="auto" w:fill="D2EEF5"/>
          </w:tcPr>
          <w:p>
            <w:pPr>
              <w:spacing w:after="0"/>
              <w:rPr>
                <w:sz w:val="24"/>
                <w:szCs w:val="24"/>
                <w:color w:val="auto"/>
              </w:rPr>
            </w:pPr>
          </w:p>
        </w:tc>
        <w:tc>
          <w:tcPr>
            <w:tcW w:w="1300" w:type="dxa"/>
            <w:vAlign w:val="bottom"/>
            <w:tcBorders>
              <w:bottom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(1,251)</w:t>
            </w:r>
          </w:p>
        </w:tc>
        <w:tc>
          <w:tcPr>
            <w:tcW w:w="200" w:type="dxa"/>
            <w:vAlign w:val="bottom"/>
            <w:tcBorders>
              <w:bottom w:val="single" w:sz="8" w:color="D2EEF5"/>
            </w:tcBorders>
            <w:shd w:val="clear" w:color="auto" w:fill="D2EEF5"/>
          </w:tcPr>
          <w:p>
            <w:pPr>
              <w:spacing w:after="0"/>
              <w:rPr>
                <w:sz w:val="24"/>
                <w:szCs w:val="24"/>
                <w:color w:val="auto"/>
              </w:rPr>
            </w:pPr>
          </w:p>
        </w:tc>
        <w:tc>
          <w:tcPr>
            <w:tcW w:w="900" w:type="dxa"/>
            <w:vAlign w:val="bottom"/>
            <w:tcBorders>
              <w:bottom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0.4 %</w:t>
            </w:r>
          </w:p>
        </w:tc>
      </w:tr>
      <w:tr>
        <w:trPr>
          <w:trHeight w:val="275"/>
        </w:trPr>
        <w:tc>
          <w:tcPr>
            <w:tcW w:w="76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Valuation allowance</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60,344</w:t>
            </w: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(20.8)%</w:t>
            </w:r>
          </w:p>
        </w:tc>
      </w:tr>
      <w:tr>
        <w:trPr>
          <w:trHeight w:val="25"/>
        </w:trPr>
        <w:tc>
          <w:tcPr>
            <w:tcW w:w="7640" w:type="dxa"/>
            <w:vAlign w:val="bottom"/>
            <w:tcBorders>
              <w:bottom w:val="single" w:sz="8" w:color="D2EEF5"/>
            </w:tcBorders>
          </w:tcPr>
          <w:p>
            <w:pPr>
              <w:spacing w:after="0"/>
              <w:rPr>
                <w:sz w:val="2"/>
                <w:szCs w:val="2"/>
                <w:color w:val="auto"/>
              </w:rPr>
            </w:pPr>
          </w:p>
        </w:tc>
        <w:tc>
          <w:tcPr>
            <w:tcW w:w="20" w:type="dxa"/>
            <w:vAlign w:val="bottom"/>
            <w:tcBorders>
              <w:bottom w:val="single" w:sz="8" w:color="D2EEF5"/>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D2EEF5"/>
            </w:tcBorders>
          </w:tcPr>
          <w:p>
            <w:pPr>
              <w:spacing w:after="0"/>
              <w:rPr>
                <w:sz w:val="2"/>
                <w:szCs w:val="2"/>
                <w:color w:val="auto"/>
              </w:rPr>
            </w:pPr>
          </w:p>
        </w:tc>
        <w:tc>
          <w:tcPr>
            <w:tcW w:w="900" w:type="dxa"/>
            <w:vAlign w:val="bottom"/>
            <w:tcBorders>
              <w:bottom w:val="single" w:sz="8" w:color="D2EEF5"/>
            </w:tcBorders>
          </w:tcPr>
          <w:p>
            <w:pPr>
              <w:spacing w:after="0"/>
              <w:rPr>
                <w:sz w:val="2"/>
                <w:szCs w:val="2"/>
                <w:color w:val="auto"/>
              </w:rPr>
            </w:pPr>
          </w:p>
        </w:tc>
      </w:tr>
      <w:tr>
        <w:trPr>
          <w:trHeight w:val="282"/>
        </w:trPr>
        <w:tc>
          <w:tcPr>
            <w:tcW w:w="7660" w:type="dxa"/>
            <w:vAlign w:val="bottom"/>
            <w:gridSpan w:val="2"/>
            <w:shd w:val="clear" w:color="auto" w:fill="D2EEF5"/>
          </w:tcPr>
          <w:p>
            <w:pPr>
              <w:ind w:left="40"/>
              <w:spacing w:after="0"/>
              <w:rPr>
                <w:sz w:val="20"/>
                <w:szCs w:val="20"/>
                <w:color w:val="auto"/>
              </w:rPr>
            </w:pPr>
            <w:r>
              <w:rPr>
                <w:rFonts w:ascii="Times New Roman" w:cs="Times New Roman" w:eastAsia="Times New Roman" w:hAnsi="Times New Roman"/>
                <w:sz w:val="20"/>
                <w:szCs w:val="20"/>
                <w:b w:val="1"/>
                <w:bCs w:val="1"/>
                <w:color w:val="auto"/>
              </w:rPr>
              <w:t>Total income tax benefit</w:t>
            </w:r>
          </w:p>
        </w:tc>
        <w:tc>
          <w:tcPr>
            <w:tcW w:w="200" w:type="dxa"/>
            <w:vAlign w:val="bottom"/>
            <w:gridSpan w:val="2"/>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3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(740)</w:t>
            </w:r>
          </w:p>
        </w:tc>
        <w:tc>
          <w:tcPr>
            <w:tcW w:w="200" w:type="dxa"/>
            <w:vAlign w:val="bottom"/>
            <w:shd w:val="clear" w:color="auto" w:fill="D2EEF5"/>
          </w:tcPr>
          <w:p>
            <w:pPr>
              <w:spacing w:after="0"/>
              <w:rPr>
                <w:sz w:val="24"/>
                <w:szCs w:val="24"/>
                <w:color w:val="auto"/>
              </w:rPr>
            </w:pPr>
          </w:p>
        </w:tc>
        <w:tc>
          <w:tcPr>
            <w:tcW w:w="9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0.3 %</w:t>
            </w:r>
          </w:p>
        </w:tc>
      </w:tr>
      <w:tr>
        <w:trPr>
          <w:trHeight w:val="20"/>
        </w:trPr>
        <w:tc>
          <w:tcPr>
            <w:tcW w:w="7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592"/>
        </w:trPr>
        <w:tc>
          <w:tcPr>
            <w:tcW w:w="7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0" w:type="dxa"/>
            <w:vAlign w:val="bottom"/>
            <w:gridSpan w:val="3"/>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8"/>
              </w:rPr>
              <w:t>Year ended December 31,</w:t>
            </w:r>
          </w:p>
        </w:tc>
      </w:tr>
      <w:tr>
        <w:trPr>
          <w:trHeight w:val="26"/>
        </w:trPr>
        <w:tc>
          <w:tcPr>
            <w:tcW w:w="7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79"/>
        </w:trPr>
        <w:tc>
          <w:tcPr>
            <w:tcW w:w="7640" w:type="dxa"/>
            <w:vAlign w:val="bottom"/>
            <w:tcBorders>
              <w:bottom w:val="single" w:sz="8" w:color="D2EEF5"/>
            </w:tcBorders>
          </w:tcPr>
          <w:p>
            <w:pPr>
              <w:spacing w:after="0"/>
              <w:rPr>
                <w:sz w:val="24"/>
                <w:szCs w:val="24"/>
                <w:color w:val="auto"/>
              </w:rPr>
            </w:pPr>
          </w:p>
        </w:tc>
        <w:tc>
          <w:tcPr>
            <w:tcW w:w="20" w:type="dxa"/>
            <w:vAlign w:val="bottom"/>
            <w:tcBorders>
              <w:bottom w:val="single" w:sz="8" w:color="D2EEF5"/>
            </w:tcBorders>
          </w:tcPr>
          <w:p>
            <w:pPr>
              <w:spacing w:after="0"/>
              <w:rPr>
                <w:sz w:val="24"/>
                <w:szCs w:val="24"/>
                <w:color w:val="auto"/>
              </w:rPr>
            </w:pPr>
          </w:p>
        </w:tc>
        <w:tc>
          <w:tcPr>
            <w:tcW w:w="20" w:type="dxa"/>
            <w:vAlign w:val="bottom"/>
            <w:tcBorders>
              <w:bottom w:val="single" w:sz="8" w:color="D2EEF5"/>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center"/>
              <w:ind w:left="600"/>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900" w:type="dxa"/>
            <w:vAlign w:val="bottom"/>
            <w:tcBorders>
              <w:bottom w:val="single" w:sz="8" w:color="auto"/>
            </w:tcBorders>
          </w:tcPr>
          <w:p>
            <w:pPr>
              <w:spacing w:after="0"/>
              <w:rPr>
                <w:sz w:val="24"/>
                <w:szCs w:val="24"/>
                <w:color w:val="auto"/>
              </w:rPr>
            </w:pPr>
          </w:p>
        </w:tc>
      </w:tr>
      <w:tr>
        <w:trPr>
          <w:trHeight w:val="261"/>
        </w:trPr>
        <w:tc>
          <w:tcPr>
            <w:tcW w:w="7660" w:type="dxa"/>
            <w:vAlign w:val="bottom"/>
            <w:tcBorders>
              <w:bottom w:val="single" w:sz="8" w:color="D2EEF5"/>
            </w:tcBorders>
            <w:gridSpan w:val="2"/>
            <w:shd w:val="clear" w:color="auto" w:fill="D2EEF5"/>
          </w:tcPr>
          <w:p>
            <w:pPr>
              <w:ind w:left="40"/>
              <w:spacing w:after="0"/>
              <w:rPr>
                <w:sz w:val="20"/>
                <w:szCs w:val="20"/>
                <w:color w:val="auto"/>
              </w:rPr>
            </w:pPr>
            <w:r>
              <w:rPr>
                <w:rFonts w:ascii="Times New Roman" w:cs="Times New Roman" w:eastAsia="Times New Roman" w:hAnsi="Times New Roman"/>
                <w:sz w:val="20"/>
                <w:szCs w:val="20"/>
                <w:b w:val="1"/>
                <w:bCs w:val="1"/>
                <w:color w:val="auto"/>
              </w:rPr>
              <w:t>Effective rate reconciliation</w:t>
            </w:r>
          </w:p>
        </w:tc>
        <w:tc>
          <w:tcPr>
            <w:tcW w:w="20" w:type="dxa"/>
            <w:vAlign w:val="bottom"/>
            <w:tcBorders>
              <w:bottom w:val="single" w:sz="8" w:color="D2EEF5"/>
            </w:tcBorders>
            <w:shd w:val="clear" w:color="auto" w:fill="D2EEF5"/>
          </w:tcPr>
          <w:p>
            <w:pPr>
              <w:spacing w:after="0"/>
              <w:rPr>
                <w:sz w:val="22"/>
                <w:szCs w:val="22"/>
                <w:color w:val="auto"/>
              </w:rPr>
            </w:pPr>
          </w:p>
        </w:tc>
        <w:tc>
          <w:tcPr>
            <w:tcW w:w="180" w:type="dxa"/>
            <w:vAlign w:val="bottom"/>
            <w:tcBorders>
              <w:bottom w:val="single" w:sz="8" w:color="D2EEF5"/>
            </w:tcBorders>
            <w:shd w:val="clear" w:color="auto" w:fill="D2EEF5"/>
          </w:tcPr>
          <w:p>
            <w:pPr>
              <w:spacing w:after="0"/>
              <w:rPr>
                <w:sz w:val="22"/>
                <w:szCs w:val="22"/>
                <w:color w:val="auto"/>
              </w:rPr>
            </w:pPr>
          </w:p>
        </w:tc>
        <w:tc>
          <w:tcPr>
            <w:tcW w:w="1300" w:type="dxa"/>
            <w:vAlign w:val="bottom"/>
            <w:tcBorders>
              <w:bottom w:val="single" w:sz="8" w:color="D2EEF5"/>
            </w:tcBorders>
            <w:shd w:val="clear" w:color="auto" w:fill="D2EEF5"/>
          </w:tcPr>
          <w:p>
            <w:pPr>
              <w:spacing w:after="0"/>
              <w:rPr>
                <w:sz w:val="22"/>
                <w:szCs w:val="22"/>
                <w:color w:val="auto"/>
              </w:rPr>
            </w:pPr>
          </w:p>
        </w:tc>
        <w:tc>
          <w:tcPr>
            <w:tcW w:w="200" w:type="dxa"/>
            <w:vAlign w:val="bottom"/>
            <w:tcBorders>
              <w:bottom w:val="single" w:sz="8" w:color="D2EEF5"/>
            </w:tcBorders>
            <w:shd w:val="clear" w:color="auto" w:fill="D2EEF5"/>
          </w:tcPr>
          <w:p>
            <w:pPr>
              <w:spacing w:after="0"/>
              <w:rPr>
                <w:sz w:val="22"/>
                <w:szCs w:val="22"/>
                <w:color w:val="auto"/>
              </w:rPr>
            </w:pPr>
          </w:p>
        </w:tc>
        <w:tc>
          <w:tcPr>
            <w:tcW w:w="900" w:type="dxa"/>
            <w:vAlign w:val="bottom"/>
            <w:tcBorders>
              <w:bottom w:val="single" w:sz="8" w:color="D2EEF5"/>
            </w:tcBorders>
            <w:shd w:val="clear" w:color="auto" w:fill="D2EEF5"/>
          </w:tcPr>
          <w:p>
            <w:pPr>
              <w:spacing w:after="0"/>
              <w:rPr>
                <w:sz w:val="22"/>
                <w:szCs w:val="22"/>
                <w:color w:val="auto"/>
              </w:rPr>
            </w:pPr>
          </w:p>
        </w:tc>
      </w:tr>
      <w:tr>
        <w:trPr>
          <w:trHeight w:val="275"/>
        </w:trPr>
        <w:tc>
          <w:tcPr>
            <w:tcW w:w="76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U.S. federal tax benefit at statutory rate</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(13,828)</w:t>
            </w:r>
          </w:p>
        </w:tc>
      </w:tr>
      <w:tr>
        <w:trPr>
          <w:trHeight w:val="25"/>
        </w:trPr>
        <w:tc>
          <w:tcPr>
            <w:tcW w:w="76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80"/>
        </w:trPr>
        <w:tc>
          <w:tcPr>
            <w:tcW w:w="7660" w:type="dxa"/>
            <w:vAlign w:val="bottom"/>
            <w:tcBorders>
              <w:bottom w:val="single" w:sz="8" w:color="D2EEF5"/>
            </w:tcBorders>
            <w:gridSpan w:val="2"/>
            <w:shd w:val="clear" w:color="auto" w:fill="D2EEF5"/>
          </w:tcPr>
          <w:p>
            <w:pPr>
              <w:ind w:left="160"/>
              <w:spacing w:after="0"/>
              <w:rPr>
                <w:sz w:val="20"/>
                <w:szCs w:val="20"/>
                <w:color w:val="auto"/>
              </w:rPr>
            </w:pPr>
            <w:r>
              <w:rPr>
                <w:rFonts w:ascii="Times New Roman" w:cs="Times New Roman" w:eastAsia="Times New Roman" w:hAnsi="Times New Roman"/>
                <w:sz w:val="20"/>
                <w:szCs w:val="20"/>
                <w:color w:val="auto"/>
              </w:rPr>
              <w:t>State income taxes, net</w:t>
            </w:r>
          </w:p>
        </w:tc>
        <w:tc>
          <w:tcPr>
            <w:tcW w:w="20" w:type="dxa"/>
            <w:vAlign w:val="bottom"/>
            <w:tcBorders>
              <w:bottom w:val="single" w:sz="8" w:color="D2EEF5"/>
            </w:tcBorders>
            <w:shd w:val="clear" w:color="auto" w:fill="D2EEF5"/>
          </w:tcPr>
          <w:p>
            <w:pPr>
              <w:spacing w:after="0"/>
              <w:rPr>
                <w:sz w:val="24"/>
                <w:szCs w:val="24"/>
                <w:color w:val="auto"/>
              </w:rPr>
            </w:pPr>
          </w:p>
        </w:tc>
        <w:tc>
          <w:tcPr>
            <w:tcW w:w="180" w:type="dxa"/>
            <w:vAlign w:val="bottom"/>
            <w:tcBorders>
              <w:bottom w:val="single" w:sz="8" w:color="D2EEF5"/>
            </w:tcBorders>
            <w:shd w:val="clear" w:color="auto" w:fill="D2EEF5"/>
          </w:tcPr>
          <w:p>
            <w:pPr>
              <w:spacing w:after="0"/>
              <w:rPr>
                <w:sz w:val="24"/>
                <w:szCs w:val="24"/>
                <w:color w:val="auto"/>
              </w:rPr>
            </w:pPr>
          </w:p>
        </w:tc>
        <w:tc>
          <w:tcPr>
            <w:tcW w:w="1300" w:type="dxa"/>
            <w:vAlign w:val="bottom"/>
            <w:tcBorders>
              <w:bottom w:val="single" w:sz="8" w:color="D2EEF5"/>
            </w:tcBorders>
            <w:shd w:val="clear" w:color="auto" w:fill="D2EEF5"/>
          </w:tcPr>
          <w:p>
            <w:pPr>
              <w:spacing w:after="0"/>
              <w:rPr>
                <w:sz w:val="24"/>
                <w:szCs w:val="24"/>
                <w:color w:val="auto"/>
              </w:rPr>
            </w:pPr>
          </w:p>
        </w:tc>
        <w:tc>
          <w:tcPr>
            <w:tcW w:w="200" w:type="dxa"/>
            <w:vAlign w:val="bottom"/>
            <w:tcBorders>
              <w:bottom w:val="single" w:sz="8" w:color="D2EEF5"/>
            </w:tcBorders>
            <w:shd w:val="clear" w:color="auto" w:fill="D2EEF5"/>
          </w:tcPr>
          <w:p>
            <w:pPr>
              <w:spacing w:after="0"/>
              <w:rPr>
                <w:sz w:val="24"/>
                <w:szCs w:val="24"/>
                <w:color w:val="auto"/>
              </w:rPr>
            </w:pPr>
          </w:p>
        </w:tc>
        <w:tc>
          <w:tcPr>
            <w:tcW w:w="900" w:type="dxa"/>
            <w:vAlign w:val="bottom"/>
            <w:tcBorders>
              <w:bottom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71</w:t>
            </w:r>
          </w:p>
        </w:tc>
      </w:tr>
      <w:tr>
        <w:trPr>
          <w:trHeight w:val="275"/>
        </w:trPr>
        <w:tc>
          <w:tcPr>
            <w:tcW w:w="76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Permanent items</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688</w:t>
            </w:r>
          </w:p>
        </w:tc>
      </w:tr>
      <w:tr>
        <w:trPr>
          <w:trHeight w:val="25"/>
        </w:trPr>
        <w:tc>
          <w:tcPr>
            <w:tcW w:w="76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80"/>
        </w:trPr>
        <w:tc>
          <w:tcPr>
            <w:tcW w:w="7660" w:type="dxa"/>
            <w:vAlign w:val="bottom"/>
            <w:tcBorders>
              <w:bottom w:val="single" w:sz="8" w:color="D2EEF5"/>
            </w:tcBorders>
            <w:gridSpan w:val="2"/>
            <w:shd w:val="clear" w:color="auto" w:fill="D2EEF5"/>
          </w:tcPr>
          <w:p>
            <w:pPr>
              <w:ind w:left="160"/>
              <w:spacing w:after="0"/>
              <w:rPr>
                <w:sz w:val="20"/>
                <w:szCs w:val="20"/>
                <w:color w:val="auto"/>
              </w:rPr>
            </w:pPr>
            <w:r>
              <w:rPr>
                <w:rFonts w:ascii="Times New Roman" w:cs="Times New Roman" w:eastAsia="Times New Roman" w:hAnsi="Times New Roman"/>
                <w:sz w:val="20"/>
                <w:szCs w:val="20"/>
                <w:color w:val="auto"/>
              </w:rPr>
              <w:t>Foreign rate differential</w:t>
            </w:r>
          </w:p>
        </w:tc>
        <w:tc>
          <w:tcPr>
            <w:tcW w:w="20" w:type="dxa"/>
            <w:vAlign w:val="bottom"/>
            <w:tcBorders>
              <w:bottom w:val="single" w:sz="8" w:color="D2EEF5"/>
            </w:tcBorders>
            <w:shd w:val="clear" w:color="auto" w:fill="D2EEF5"/>
          </w:tcPr>
          <w:p>
            <w:pPr>
              <w:spacing w:after="0"/>
              <w:rPr>
                <w:sz w:val="24"/>
                <w:szCs w:val="24"/>
                <w:color w:val="auto"/>
              </w:rPr>
            </w:pPr>
          </w:p>
        </w:tc>
        <w:tc>
          <w:tcPr>
            <w:tcW w:w="180" w:type="dxa"/>
            <w:vAlign w:val="bottom"/>
            <w:tcBorders>
              <w:bottom w:val="single" w:sz="8" w:color="D2EEF5"/>
            </w:tcBorders>
            <w:shd w:val="clear" w:color="auto" w:fill="D2EEF5"/>
          </w:tcPr>
          <w:p>
            <w:pPr>
              <w:spacing w:after="0"/>
              <w:rPr>
                <w:sz w:val="24"/>
                <w:szCs w:val="24"/>
                <w:color w:val="auto"/>
              </w:rPr>
            </w:pPr>
          </w:p>
        </w:tc>
        <w:tc>
          <w:tcPr>
            <w:tcW w:w="1300" w:type="dxa"/>
            <w:vAlign w:val="bottom"/>
            <w:tcBorders>
              <w:bottom w:val="single" w:sz="8" w:color="D2EEF5"/>
            </w:tcBorders>
            <w:shd w:val="clear" w:color="auto" w:fill="D2EEF5"/>
          </w:tcPr>
          <w:p>
            <w:pPr>
              <w:spacing w:after="0"/>
              <w:rPr>
                <w:sz w:val="24"/>
                <w:szCs w:val="24"/>
                <w:color w:val="auto"/>
              </w:rPr>
            </w:pPr>
          </w:p>
        </w:tc>
        <w:tc>
          <w:tcPr>
            <w:tcW w:w="200" w:type="dxa"/>
            <w:vAlign w:val="bottom"/>
            <w:tcBorders>
              <w:bottom w:val="single" w:sz="8" w:color="D2EEF5"/>
            </w:tcBorders>
            <w:shd w:val="clear" w:color="auto" w:fill="D2EEF5"/>
          </w:tcPr>
          <w:p>
            <w:pPr>
              <w:spacing w:after="0"/>
              <w:rPr>
                <w:sz w:val="24"/>
                <w:szCs w:val="24"/>
                <w:color w:val="auto"/>
              </w:rPr>
            </w:pPr>
          </w:p>
        </w:tc>
        <w:tc>
          <w:tcPr>
            <w:tcW w:w="900" w:type="dxa"/>
            <w:vAlign w:val="bottom"/>
            <w:tcBorders>
              <w:bottom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112</w:t>
            </w:r>
          </w:p>
        </w:tc>
      </w:tr>
      <w:tr>
        <w:trPr>
          <w:trHeight w:val="275"/>
        </w:trPr>
        <w:tc>
          <w:tcPr>
            <w:tcW w:w="76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Share-based compensation</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417</w:t>
            </w:r>
          </w:p>
        </w:tc>
      </w:tr>
      <w:tr>
        <w:trPr>
          <w:trHeight w:val="25"/>
        </w:trPr>
        <w:tc>
          <w:tcPr>
            <w:tcW w:w="76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80"/>
        </w:trPr>
        <w:tc>
          <w:tcPr>
            <w:tcW w:w="7660" w:type="dxa"/>
            <w:vAlign w:val="bottom"/>
            <w:tcBorders>
              <w:bottom w:val="single" w:sz="8" w:color="D2EEF5"/>
            </w:tcBorders>
            <w:gridSpan w:val="2"/>
            <w:shd w:val="clear" w:color="auto" w:fill="D2EEF5"/>
          </w:tcPr>
          <w:p>
            <w:pPr>
              <w:ind w:left="160"/>
              <w:spacing w:after="0"/>
              <w:rPr>
                <w:sz w:val="20"/>
                <w:szCs w:val="20"/>
                <w:color w:val="auto"/>
              </w:rPr>
            </w:pPr>
            <w:r>
              <w:rPr>
                <w:rFonts w:ascii="Times New Roman" w:cs="Times New Roman" w:eastAsia="Times New Roman" w:hAnsi="Times New Roman"/>
                <w:sz w:val="20"/>
                <w:szCs w:val="20"/>
                <w:color w:val="auto"/>
              </w:rPr>
              <w:t>Deferred adjustments</w:t>
            </w:r>
          </w:p>
        </w:tc>
        <w:tc>
          <w:tcPr>
            <w:tcW w:w="20" w:type="dxa"/>
            <w:vAlign w:val="bottom"/>
            <w:tcBorders>
              <w:bottom w:val="single" w:sz="8" w:color="D2EEF5"/>
            </w:tcBorders>
            <w:shd w:val="clear" w:color="auto" w:fill="D2EEF5"/>
          </w:tcPr>
          <w:p>
            <w:pPr>
              <w:spacing w:after="0"/>
              <w:rPr>
                <w:sz w:val="24"/>
                <w:szCs w:val="24"/>
                <w:color w:val="auto"/>
              </w:rPr>
            </w:pPr>
          </w:p>
        </w:tc>
        <w:tc>
          <w:tcPr>
            <w:tcW w:w="180" w:type="dxa"/>
            <w:vAlign w:val="bottom"/>
            <w:tcBorders>
              <w:bottom w:val="single" w:sz="8" w:color="D2EEF5"/>
            </w:tcBorders>
            <w:shd w:val="clear" w:color="auto" w:fill="D2EEF5"/>
          </w:tcPr>
          <w:p>
            <w:pPr>
              <w:spacing w:after="0"/>
              <w:rPr>
                <w:sz w:val="24"/>
                <w:szCs w:val="24"/>
                <w:color w:val="auto"/>
              </w:rPr>
            </w:pPr>
          </w:p>
        </w:tc>
        <w:tc>
          <w:tcPr>
            <w:tcW w:w="1300" w:type="dxa"/>
            <w:vAlign w:val="bottom"/>
            <w:tcBorders>
              <w:bottom w:val="single" w:sz="8" w:color="D2EEF5"/>
            </w:tcBorders>
            <w:shd w:val="clear" w:color="auto" w:fill="D2EEF5"/>
          </w:tcPr>
          <w:p>
            <w:pPr>
              <w:spacing w:after="0"/>
              <w:rPr>
                <w:sz w:val="24"/>
                <w:szCs w:val="24"/>
                <w:color w:val="auto"/>
              </w:rPr>
            </w:pPr>
          </w:p>
        </w:tc>
        <w:tc>
          <w:tcPr>
            <w:tcW w:w="200" w:type="dxa"/>
            <w:vAlign w:val="bottom"/>
            <w:tcBorders>
              <w:bottom w:val="single" w:sz="8" w:color="D2EEF5"/>
            </w:tcBorders>
            <w:shd w:val="clear" w:color="auto" w:fill="D2EEF5"/>
          </w:tcPr>
          <w:p>
            <w:pPr>
              <w:spacing w:after="0"/>
              <w:rPr>
                <w:sz w:val="24"/>
                <w:szCs w:val="24"/>
                <w:color w:val="auto"/>
              </w:rPr>
            </w:pPr>
          </w:p>
        </w:tc>
        <w:tc>
          <w:tcPr>
            <w:tcW w:w="900" w:type="dxa"/>
            <w:vAlign w:val="bottom"/>
            <w:tcBorders>
              <w:bottom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(827)</w:t>
            </w:r>
          </w:p>
        </w:tc>
      </w:tr>
      <w:tr>
        <w:trPr>
          <w:trHeight w:val="275"/>
        </w:trPr>
        <w:tc>
          <w:tcPr>
            <w:tcW w:w="76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Other, net</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14</w:t>
            </w:r>
          </w:p>
        </w:tc>
      </w:tr>
      <w:tr>
        <w:trPr>
          <w:trHeight w:val="25"/>
        </w:trPr>
        <w:tc>
          <w:tcPr>
            <w:tcW w:w="76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325"/>
        </w:trPr>
        <w:tc>
          <w:tcPr>
            <w:tcW w:w="7660" w:type="dxa"/>
            <w:vAlign w:val="bottom"/>
            <w:tcBorders>
              <w:bottom w:val="single" w:sz="8" w:color="D2EEF5"/>
            </w:tcBorders>
            <w:gridSpan w:val="2"/>
            <w:shd w:val="clear" w:color="auto" w:fill="D2EEF5"/>
          </w:tcPr>
          <w:p>
            <w:pPr>
              <w:ind w:left="160"/>
              <w:spacing w:after="0"/>
              <w:rPr>
                <w:sz w:val="20"/>
                <w:szCs w:val="20"/>
                <w:color w:val="auto"/>
              </w:rPr>
            </w:pPr>
            <w:r>
              <w:rPr>
                <w:rFonts w:ascii="Times New Roman" w:cs="Times New Roman" w:eastAsia="Times New Roman" w:hAnsi="Times New Roman"/>
                <w:sz w:val="20"/>
                <w:szCs w:val="20"/>
                <w:color w:val="auto"/>
              </w:rPr>
              <w:t>Valuation allowance</w:t>
            </w:r>
          </w:p>
        </w:tc>
        <w:tc>
          <w:tcPr>
            <w:tcW w:w="20" w:type="dxa"/>
            <w:vAlign w:val="bottom"/>
            <w:tcBorders>
              <w:bottom w:val="single" w:sz="8" w:color="D2EEF5"/>
            </w:tcBorders>
            <w:shd w:val="clear" w:color="auto" w:fill="D2EEF5"/>
          </w:tcPr>
          <w:p>
            <w:pPr>
              <w:spacing w:after="0"/>
              <w:rPr>
                <w:sz w:val="24"/>
                <w:szCs w:val="24"/>
                <w:color w:val="auto"/>
              </w:rPr>
            </w:pPr>
          </w:p>
        </w:tc>
        <w:tc>
          <w:tcPr>
            <w:tcW w:w="180" w:type="dxa"/>
            <w:vAlign w:val="bottom"/>
            <w:tcBorders>
              <w:bottom w:val="single" w:sz="8" w:color="D2EEF5"/>
            </w:tcBorders>
            <w:shd w:val="clear" w:color="auto" w:fill="D2EEF5"/>
          </w:tcPr>
          <w:p>
            <w:pPr>
              <w:spacing w:after="0"/>
              <w:rPr>
                <w:sz w:val="24"/>
                <w:szCs w:val="24"/>
                <w:color w:val="auto"/>
              </w:rPr>
            </w:pPr>
          </w:p>
        </w:tc>
        <w:tc>
          <w:tcPr>
            <w:tcW w:w="1300" w:type="dxa"/>
            <w:vAlign w:val="bottom"/>
            <w:tcBorders>
              <w:bottom w:val="single" w:sz="8" w:color="D2EEF5"/>
            </w:tcBorders>
            <w:shd w:val="clear" w:color="auto" w:fill="D2EEF5"/>
          </w:tcPr>
          <w:p>
            <w:pPr>
              <w:spacing w:after="0"/>
              <w:rPr>
                <w:sz w:val="24"/>
                <w:szCs w:val="24"/>
                <w:color w:val="auto"/>
              </w:rPr>
            </w:pPr>
          </w:p>
        </w:tc>
        <w:tc>
          <w:tcPr>
            <w:tcW w:w="200" w:type="dxa"/>
            <w:vAlign w:val="bottom"/>
            <w:tcBorders>
              <w:bottom w:val="single" w:sz="8" w:color="D2EEF5"/>
            </w:tcBorders>
            <w:shd w:val="clear" w:color="auto" w:fill="D2EEF5"/>
          </w:tcPr>
          <w:p>
            <w:pPr>
              <w:spacing w:after="0"/>
              <w:rPr>
                <w:sz w:val="24"/>
                <w:szCs w:val="24"/>
                <w:color w:val="auto"/>
              </w:rPr>
            </w:pPr>
          </w:p>
        </w:tc>
        <w:tc>
          <w:tcPr>
            <w:tcW w:w="900" w:type="dxa"/>
            <w:vAlign w:val="bottom"/>
            <w:tcBorders>
              <w:bottom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14,222</w:t>
            </w:r>
          </w:p>
        </w:tc>
      </w:tr>
      <w:tr>
        <w:trPr>
          <w:trHeight w:val="262"/>
        </w:trPr>
        <w:tc>
          <w:tcPr>
            <w:tcW w:w="7660" w:type="dxa"/>
            <w:vAlign w:val="bottom"/>
            <w:tcBorders>
              <w:top w:val="single" w:sz="8" w:color="D2EEF5"/>
            </w:tcBorders>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Total income tax expense</w:t>
            </w:r>
          </w:p>
        </w:tc>
        <w:tc>
          <w:tcPr>
            <w:tcW w:w="20" w:type="dxa"/>
            <w:vAlign w:val="bottom"/>
            <w:tcBorders>
              <w:top w:val="single" w:sz="8" w:color="D2EEF5"/>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3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869</w:t>
            </w:r>
          </w:p>
        </w:tc>
      </w:tr>
      <w:tr>
        <w:trPr>
          <w:trHeight w:val="20"/>
        </w:trPr>
        <w:tc>
          <w:tcPr>
            <w:tcW w:w="7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color w:val="auto"/>
        </w:rPr>
        <w:t>State income taxes, net is primarily attributable to Oregon, which represents more than 50% of total state income tax expense for the years ended December 31, 2025, and 2024.</w:t>
      </w:r>
    </w:p>
    <w:p>
      <w:pPr>
        <w:sectPr>
          <w:pgSz w:w="12240" w:h="15840" w:orient="portrait"/>
          <w:cols w:equalWidth="0" w:num="1">
            <w:col w:w="10260"/>
          </w:cols>
          <w:pgMar w:left="1000" w:top="4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88</w:t>
      </w:r>
    </w:p>
    <w:p>
      <w:pPr>
        <w:sectPr>
          <w:pgSz w:w="12240" w:h="15840" w:orient="portrait"/>
          <w:cols w:equalWidth="0" w:num="1">
            <w:col w:w="10260"/>
          </w:cols>
          <w:pgMar w:left="1000" w:top="420" w:right="980" w:bottom="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Hydrofarm Holdings Group, Inc.</w:t>
      </w:r>
    </w:p>
    <w:p>
      <w:pPr>
        <w:spacing w:after="0" w:line="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0" w:type="dxa"/>
            <w:vAlign w:val="bottom"/>
          </w:tcPr>
          <w:p>
            <w:pPr>
              <w:spacing w:after="0"/>
              <w:rPr>
                <w:sz w:val="23"/>
                <w:szCs w:val="23"/>
                <w:color w:val="auto"/>
              </w:rPr>
            </w:pPr>
          </w:p>
        </w:tc>
        <w:tc>
          <w:tcPr>
            <w:tcW w:w="6720" w:type="dxa"/>
            <w:vAlign w:val="bottom"/>
            <w:gridSpan w:val="2"/>
          </w:tcPr>
          <w:p>
            <w:pPr>
              <w:ind w:left="680"/>
              <w:spacing w:after="0"/>
              <w:rPr>
                <w:sz w:val="20"/>
                <w:szCs w:val="20"/>
                <w:color w:val="auto"/>
              </w:rPr>
            </w:pPr>
            <w:r>
              <w:rPr>
                <w:rFonts w:ascii="Times New Roman" w:cs="Times New Roman" w:eastAsia="Times New Roman" w:hAnsi="Times New Roman"/>
                <w:sz w:val="20"/>
                <w:szCs w:val="20"/>
                <w:color w:val="auto"/>
              </w:rPr>
              <w:t>Deferred income tax assets and liabilities consist of the following:</w:t>
            </w: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87"/>
        </w:trPr>
        <w:tc>
          <w:tcPr>
            <w:tcW w:w="4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gridSpan w:val="4"/>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120" w:type="dxa"/>
            <w:vAlign w:val="bottom"/>
          </w:tcPr>
          <w:p>
            <w:pPr>
              <w:spacing w:after="0"/>
              <w:rPr>
                <w:sz w:val="24"/>
                <w:szCs w:val="24"/>
                <w:color w:val="auto"/>
              </w:rPr>
            </w:pPr>
          </w:p>
        </w:tc>
      </w:tr>
      <w:tr>
        <w:trPr>
          <w:trHeight w:val="26"/>
        </w:trPr>
        <w:tc>
          <w:tcPr>
            <w:tcW w:w="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9"/>
        </w:trPr>
        <w:tc>
          <w:tcPr>
            <w:tcW w:w="40" w:type="dxa"/>
            <w:vAlign w:val="bottom"/>
            <w:tcBorders>
              <w:bottom w:val="single" w:sz="8" w:color="D2EEF5"/>
            </w:tcBorders>
          </w:tcPr>
          <w:p>
            <w:pPr>
              <w:spacing w:after="0"/>
              <w:rPr>
                <w:sz w:val="24"/>
                <w:szCs w:val="24"/>
                <w:color w:val="auto"/>
              </w:rPr>
            </w:pPr>
          </w:p>
        </w:tc>
        <w:tc>
          <w:tcPr>
            <w:tcW w:w="6700" w:type="dxa"/>
            <w:vAlign w:val="bottom"/>
            <w:tcBorders>
              <w:bottom w:val="single" w:sz="8" w:color="D2EEF5"/>
            </w:tcBorders>
          </w:tcPr>
          <w:p>
            <w:pPr>
              <w:spacing w:after="0"/>
              <w:rPr>
                <w:sz w:val="24"/>
                <w:szCs w:val="24"/>
                <w:color w:val="auto"/>
              </w:rPr>
            </w:pPr>
          </w:p>
        </w:tc>
        <w:tc>
          <w:tcPr>
            <w:tcW w:w="20" w:type="dxa"/>
            <w:vAlign w:val="bottom"/>
            <w:tcBorders>
              <w:bottom w:val="single" w:sz="8" w:color="D2EEF5"/>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ind w:right="540"/>
              <w:spacing w:after="0"/>
              <w:rPr>
                <w:sz w:val="20"/>
                <w:szCs w:val="20"/>
                <w:color w:val="auto"/>
              </w:rPr>
            </w:pPr>
            <w:r>
              <w:rPr>
                <w:rFonts w:ascii="Times New Roman" w:cs="Times New Roman" w:eastAsia="Times New Roman" w:hAnsi="Times New Roman"/>
                <w:sz w:val="20"/>
                <w:szCs w:val="20"/>
                <w:b w:val="1"/>
                <w:bCs w:val="1"/>
                <w:color w:val="auto"/>
              </w:rPr>
              <w:t>2025</w:t>
            </w:r>
          </w:p>
        </w:tc>
        <w:tc>
          <w:tcPr>
            <w:tcW w:w="120" w:type="dxa"/>
            <w:vAlign w:val="bottom"/>
            <w:tcBorders>
              <w:bottom w:val="single" w:sz="8" w:color="D2EEF5"/>
            </w:tcBorders>
          </w:tcPr>
          <w:p>
            <w:pPr>
              <w:spacing w:after="0"/>
              <w:rPr>
                <w:sz w:val="24"/>
                <w:szCs w:val="24"/>
                <w:color w:val="auto"/>
              </w:rPr>
            </w:pPr>
          </w:p>
        </w:tc>
        <w:tc>
          <w:tcPr>
            <w:tcW w:w="20" w:type="dxa"/>
            <w:vAlign w:val="bottom"/>
            <w:tcBorders>
              <w:bottom w:val="single" w:sz="8" w:color="D2EEF5"/>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61"/>
        </w:trPr>
        <w:tc>
          <w:tcPr>
            <w:tcW w:w="40" w:type="dxa"/>
            <w:vAlign w:val="bottom"/>
            <w:tcBorders>
              <w:bottom w:val="single" w:sz="8" w:color="D2EEF5"/>
            </w:tcBorders>
            <w:shd w:val="clear" w:color="auto" w:fill="D2EEF5"/>
          </w:tcPr>
          <w:p>
            <w:pPr>
              <w:spacing w:after="0"/>
              <w:rPr>
                <w:sz w:val="22"/>
                <w:szCs w:val="22"/>
                <w:color w:val="auto"/>
              </w:rPr>
            </w:pPr>
          </w:p>
        </w:tc>
        <w:tc>
          <w:tcPr>
            <w:tcW w:w="6720" w:type="dxa"/>
            <w:vAlign w:val="bottom"/>
            <w:tcBorders>
              <w:bottom w:val="single" w:sz="8" w:color="D2EEF5"/>
            </w:tcBorders>
            <w:gridSpan w:val="2"/>
            <w:shd w:val="clear" w:color="auto" w:fill="D2EEF5"/>
          </w:tcPr>
          <w:p>
            <w:pPr>
              <w:spacing w:after="0"/>
              <w:rPr>
                <w:sz w:val="20"/>
                <w:szCs w:val="20"/>
                <w:color w:val="auto"/>
              </w:rPr>
            </w:pPr>
            <w:r>
              <w:rPr>
                <w:rFonts w:ascii="Times New Roman" w:cs="Times New Roman" w:eastAsia="Times New Roman" w:hAnsi="Times New Roman"/>
                <w:sz w:val="20"/>
                <w:szCs w:val="20"/>
                <w:b w:val="1"/>
                <w:bCs w:val="1"/>
                <w:color w:val="auto"/>
              </w:rPr>
              <w:t>Deferred tax assets</w:t>
            </w:r>
          </w:p>
        </w:tc>
        <w:tc>
          <w:tcPr>
            <w:tcW w:w="400" w:type="dxa"/>
            <w:vAlign w:val="bottom"/>
            <w:tcBorders>
              <w:bottom w:val="single" w:sz="8" w:color="D2EEF5"/>
            </w:tcBorders>
            <w:shd w:val="clear" w:color="auto" w:fill="D2EEF5"/>
          </w:tcPr>
          <w:p>
            <w:pPr>
              <w:spacing w:after="0"/>
              <w:rPr>
                <w:sz w:val="22"/>
                <w:szCs w:val="22"/>
                <w:color w:val="auto"/>
              </w:rPr>
            </w:pPr>
          </w:p>
        </w:tc>
        <w:tc>
          <w:tcPr>
            <w:tcW w:w="340" w:type="dxa"/>
            <w:vAlign w:val="bottom"/>
            <w:tcBorders>
              <w:bottom w:val="single" w:sz="8" w:color="D2EEF5"/>
            </w:tcBorders>
            <w:shd w:val="clear" w:color="auto" w:fill="D2EEF5"/>
          </w:tcPr>
          <w:p>
            <w:pPr>
              <w:spacing w:after="0"/>
              <w:rPr>
                <w:sz w:val="22"/>
                <w:szCs w:val="22"/>
                <w:color w:val="auto"/>
              </w:rPr>
            </w:pPr>
          </w:p>
        </w:tc>
        <w:tc>
          <w:tcPr>
            <w:tcW w:w="20" w:type="dxa"/>
            <w:vAlign w:val="bottom"/>
            <w:tcBorders>
              <w:bottom w:val="single" w:sz="8" w:color="D2EEF5"/>
            </w:tcBorders>
            <w:shd w:val="clear" w:color="auto" w:fill="D2EEF5"/>
          </w:tcPr>
          <w:p>
            <w:pPr>
              <w:spacing w:after="0"/>
              <w:rPr>
                <w:sz w:val="22"/>
                <w:szCs w:val="22"/>
                <w:color w:val="auto"/>
              </w:rPr>
            </w:pPr>
          </w:p>
        </w:tc>
        <w:tc>
          <w:tcPr>
            <w:tcW w:w="920" w:type="dxa"/>
            <w:vAlign w:val="bottom"/>
            <w:tcBorders>
              <w:bottom w:val="single" w:sz="8" w:color="D2EEF5"/>
            </w:tcBorders>
            <w:shd w:val="clear" w:color="auto" w:fill="D2EEF5"/>
          </w:tcPr>
          <w:p>
            <w:pPr>
              <w:spacing w:after="0"/>
              <w:rPr>
                <w:sz w:val="22"/>
                <w:szCs w:val="22"/>
                <w:color w:val="auto"/>
              </w:rPr>
            </w:pPr>
          </w:p>
        </w:tc>
        <w:tc>
          <w:tcPr>
            <w:tcW w:w="120" w:type="dxa"/>
            <w:vAlign w:val="bottom"/>
            <w:tcBorders>
              <w:bottom w:val="single" w:sz="8" w:color="D2EEF5"/>
            </w:tcBorders>
            <w:shd w:val="clear" w:color="auto" w:fill="D2EEF5"/>
          </w:tcPr>
          <w:p>
            <w:pPr>
              <w:spacing w:after="0"/>
              <w:rPr>
                <w:sz w:val="22"/>
                <w:szCs w:val="22"/>
                <w:color w:val="auto"/>
              </w:rPr>
            </w:pPr>
          </w:p>
        </w:tc>
        <w:tc>
          <w:tcPr>
            <w:tcW w:w="20" w:type="dxa"/>
            <w:vAlign w:val="bottom"/>
            <w:tcBorders>
              <w:bottom w:val="single" w:sz="8" w:color="D2EEF5"/>
            </w:tcBorders>
            <w:shd w:val="clear" w:color="auto" w:fill="D2EEF5"/>
          </w:tcPr>
          <w:p>
            <w:pPr>
              <w:spacing w:after="0"/>
              <w:rPr>
                <w:sz w:val="22"/>
                <w:szCs w:val="22"/>
                <w:color w:val="auto"/>
              </w:rPr>
            </w:pPr>
          </w:p>
        </w:tc>
        <w:tc>
          <w:tcPr>
            <w:tcW w:w="560" w:type="dxa"/>
            <w:vAlign w:val="bottom"/>
            <w:tcBorders>
              <w:bottom w:val="single" w:sz="8" w:color="D2EEF5"/>
            </w:tcBorders>
            <w:shd w:val="clear" w:color="auto" w:fill="D2EEF5"/>
          </w:tcPr>
          <w:p>
            <w:pPr>
              <w:spacing w:after="0"/>
              <w:rPr>
                <w:sz w:val="22"/>
                <w:szCs w:val="22"/>
                <w:color w:val="auto"/>
              </w:rPr>
            </w:pPr>
          </w:p>
        </w:tc>
        <w:tc>
          <w:tcPr>
            <w:tcW w:w="1120" w:type="dxa"/>
            <w:vAlign w:val="bottom"/>
            <w:tcBorders>
              <w:bottom w:val="single" w:sz="8" w:color="D2EEF5"/>
            </w:tcBorders>
            <w:shd w:val="clear" w:color="auto" w:fill="D2EEF5"/>
          </w:tcPr>
          <w:p>
            <w:pPr>
              <w:spacing w:after="0"/>
              <w:rPr>
                <w:sz w:val="22"/>
                <w:szCs w:val="22"/>
                <w:color w:val="auto"/>
              </w:rPr>
            </w:pPr>
          </w:p>
        </w:tc>
      </w:tr>
      <w:tr>
        <w:trPr>
          <w:trHeight w:val="275"/>
        </w:trPr>
        <w:tc>
          <w:tcPr>
            <w:tcW w:w="40" w:type="dxa"/>
            <w:vAlign w:val="bottom"/>
          </w:tcPr>
          <w:p>
            <w:pPr>
              <w:spacing w:after="0"/>
              <w:rPr>
                <w:sz w:val="23"/>
                <w:szCs w:val="23"/>
                <w:color w:val="auto"/>
              </w:rPr>
            </w:pPr>
          </w:p>
        </w:tc>
        <w:tc>
          <w:tcPr>
            <w:tcW w:w="67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Lease liabilities</w:t>
            </w:r>
          </w:p>
        </w:tc>
        <w:tc>
          <w:tcPr>
            <w:tcW w:w="400" w:type="dxa"/>
            <w:vAlign w:val="bottom"/>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12,901</w:t>
            </w:r>
          </w:p>
        </w:tc>
        <w:tc>
          <w:tcPr>
            <w:tcW w:w="700" w:type="dxa"/>
            <w:vAlign w:val="bottom"/>
            <w:gridSpan w:val="3"/>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12,959</w:t>
            </w:r>
          </w:p>
        </w:tc>
      </w:tr>
      <w:tr>
        <w:trPr>
          <w:trHeight w:val="25"/>
        </w:trPr>
        <w:tc>
          <w:tcPr>
            <w:tcW w:w="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0"/>
        </w:trPr>
        <w:tc>
          <w:tcPr>
            <w:tcW w:w="40" w:type="dxa"/>
            <w:vAlign w:val="bottom"/>
            <w:tcBorders>
              <w:bottom w:val="single" w:sz="8" w:color="D2EEF5"/>
            </w:tcBorders>
            <w:shd w:val="clear" w:color="auto" w:fill="D2EEF5"/>
          </w:tcPr>
          <w:p>
            <w:pPr>
              <w:spacing w:after="0"/>
              <w:rPr>
                <w:sz w:val="24"/>
                <w:szCs w:val="24"/>
                <w:color w:val="auto"/>
              </w:rPr>
            </w:pPr>
          </w:p>
        </w:tc>
        <w:tc>
          <w:tcPr>
            <w:tcW w:w="6720" w:type="dxa"/>
            <w:vAlign w:val="bottom"/>
            <w:tcBorders>
              <w:bottom w:val="single" w:sz="8" w:color="D2EEF5"/>
            </w:tcBorders>
            <w:gridSpan w:val="2"/>
            <w:shd w:val="clear" w:color="auto" w:fill="D2EEF5"/>
          </w:tcPr>
          <w:p>
            <w:pPr>
              <w:ind w:left="240"/>
              <w:spacing w:after="0"/>
              <w:rPr>
                <w:sz w:val="20"/>
                <w:szCs w:val="20"/>
                <w:color w:val="auto"/>
              </w:rPr>
            </w:pPr>
            <w:r>
              <w:rPr>
                <w:rFonts w:ascii="Times New Roman" w:cs="Times New Roman" w:eastAsia="Times New Roman" w:hAnsi="Times New Roman"/>
                <w:sz w:val="20"/>
                <w:szCs w:val="20"/>
                <w:color w:val="auto"/>
              </w:rPr>
              <w:t>Accrued expenses</w:t>
            </w:r>
          </w:p>
        </w:tc>
        <w:tc>
          <w:tcPr>
            <w:tcW w:w="400" w:type="dxa"/>
            <w:vAlign w:val="bottom"/>
            <w:tcBorders>
              <w:bottom w:val="single" w:sz="8" w:color="D2EEF5"/>
            </w:tcBorders>
            <w:shd w:val="clear" w:color="auto" w:fill="D2EEF5"/>
          </w:tcPr>
          <w:p>
            <w:pPr>
              <w:spacing w:after="0"/>
              <w:rPr>
                <w:sz w:val="24"/>
                <w:szCs w:val="24"/>
                <w:color w:val="auto"/>
              </w:rPr>
            </w:pPr>
          </w:p>
        </w:tc>
        <w:tc>
          <w:tcPr>
            <w:tcW w:w="1280" w:type="dxa"/>
            <w:vAlign w:val="bottom"/>
            <w:tcBorders>
              <w:bottom w:val="single" w:sz="8" w:color="D2EEF5"/>
            </w:tcBorders>
            <w:gridSpan w:val="3"/>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591</w:t>
            </w:r>
          </w:p>
        </w:tc>
        <w:tc>
          <w:tcPr>
            <w:tcW w:w="120" w:type="dxa"/>
            <w:vAlign w:val="bottom"/>
            <w:tcBorders>
              <w:bottom w:val="single" w:sz="8" w:color="D2EEF5"/>
            </w:tcBorders>
            <w:shd w:val="clear" w:color="auto" w:fill="D2EEF5"/>
          </w:tcPr>
          <w:p>
            <w:pPr>
              <w:spacing w:after="0"/>
              <w:rPr>
                <w:sz w:val="24"/>
                <w:szCs w:val="24"/>
                <w:color w:val="auto"/>
              </w:rPr>
            </w:pPr>
          </w:p>
        </w:tc>
        <w:tc>
          <w:tcPr>
            <w:tcW w:w="20" w:type="dxa"/>
            <w:vAlign w:val="bottom"/>
            <w:tcBorders>
              <w:bottom w:val="single" w:sz="8" w:color="D2EEF5"/>
            </w:tcBorders>
            <w:shd w:val="clear" w:color="auto" w:fill="D2EEF5"/>
          </w:tcPr>
          <w:p>
            <w:pPr>
              <w:spacing w:after="0"/>
              <w:rPr>
                <w:sz w:val="24"/>
                <w:szCs w:val="24"/>
                <w:color w:val="auto"/>
              </w:rPr>
            </w:pPr>
          </w:p>
        </w:tc>
        <w:tc>
          <w:tcPr>
            <w:tcW w:w="560" w:type="dxa"/>
            <w:vAlign w:val="bottom"/>
            <w:tcBorders>
              <w:bottom w:val="single" w:sz="8" w:color="D2EEF5"/>
            </w:tcBorders>
            <w:shd w:val="clear" w:color="auto" w:fill="D2EEF5"/>
          </w:tcPr>
          <w:p>
            <w:pPr>
              <w:spacing w:after="0"/>
              <w:rPr>
                <w:sz w:val="24"/>
                <w:szCs w:val="24"/>
                <w:color w:val="auto"/>
              </w:rPr>
            </w:pPr>
          </w:p>
        </w:tc>
        <w:tc>
          <w:tcPr>
            <w:tcW w:w="1120" w:type="dxa"/>
            <w:vAlign w:val="bottom"/>
            <w:tcBorders>
              <w:bottom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1,671</w:t>
            </w:r>
          </w:p>
        </w:tc>
      </w:tr>
      <w:tr>
        <w:trPr>
          <w:trHeight w:val="275"/>
        </w:trPr>
        <w:tc>
          <w:tcPr>
            <w:tcW w:w="40" w:type="dxa"/>
            <w:vAlign w:val="bottom"/>
          </w:tcPr>
          <w:p>
            <w:pPr>
              <w:spacing w:after="0"/>
              <w:rPr>
                <w:sz w:val="23"/>
                <w:szCs w:val="23"/>
                <w:color w:val="auto"/>
              </w:rPr>
            </w:pPr>
          </w:p>
        </w:tc>
        <w:tc>
          <w:tcPr>
            <w:tcW w:w="67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Share-based compensation</w:t>
            </w:r>
          </w:p>
        </w:tc>
        <w:tc>
          <w:tcPr>
            <w:tcW w:w="400" w:type="dxa"/>
            <w:vAlign w:val="bottom"/>
          </w:tcPr>
          <w:p>
            <w:pPr>
              <w:spacing w:after="0"/>
              <w:rPr>
                <w:sz w:val="23"/>
                <w:szCs w:val="23"/>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726</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674</w:t>
            </w:r>
          </w:p>
        </w:tc>
      </w:tr>
      <w:tr>
        <w:trPr>
          <w:trHeight w:val="25"/>
        </w:trPr>
        <w:tc>
          <w:tcPr>
            <w:tcW w:w="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0"/>
        </w:trPr>
        <w:tc>
          <w:tcPr>
            <w:tcW w:w="40" w:type="dxa"/>
            <w:vAlign w:val="bottom"/>
            <w:tcBorders>
              <w:bottom w:val="single" w:sz="8" w:color="D2EEF5"/>
            </w:tcBorders>
            <w:shd w:val="clear" w:color="auto" w:fill="D2EEF5"/>
          </w:tcPr>
          <w:p>
            <w:pPr>
              <w:spacing w:after="0"/>
              <w:rPr>
                <w:sz w:val="24"/>
                <w:szCs w:val="24"/>
                <w:color w:val="auto"/>
              </w:rPr>
            </w:pPr>
          </w:p>
        </w:tc>
        <w:tc>
          <w:tcPr>
            <w:tcW w:w="6720" w:type="dxa"/>
            <w:vAlign w:val="bottom"/>
            <w:tcBorders>
              <w:bottom w:val="single" w:sz="8" w:color="D2EEF5"/>
            </w:tcBorders>
            <w:gridSpan w:val="2"/>
            <w:shd w:val="clear" w:color="auto" w:fill="D2EEF5"/>
          </w:tcPr>
          <w:p>
            <w:pPr>
              <w:ind w:left="240"/>
              <w:spacing w:after="0"/>
              <w:rPr>
                <w:sz w:val="20"/>
                <w:szCs w:val="20"/>
                <w:color w:val="auto"/>
              </w:rPr>
            </w:pPr>
            <w:r>
              <w:rPr>
                <w:rFonts w:ascii="Times New Roman" w:cs="Times New Roman" w:eastAsia="Times New Roman" w:hAnsi="Times New Roman"/>
                <w:sz w:val="20"/>
                <w:szCs w:val="20"/>
                <w:color w:val="auto"/>
              </w:rPr>
              <w:t>Intangible assets</w:t>
            </w:r>
          </w:p>
        </w:tc>
        <w:tc>
          <w:tcPr>
            <w:tcW w:w="400" w:type="dxa"/>
            <w:vAlign w:val="bottom"/>
            <w:tcBorders>
              <w:bottom w:val="single" w:sz="8" w:color="D2EEF5"/>
            </w:tcBorders>
            <w:shd w:val="clear" w:color="auto" w:fill="D2EEF5"/>
          </w:tcPr>
          <w:p>
            <w:pPr>
              <w:spacing w:after="0"/>
              <w:rPr>
                <w:sz w:val="24"/>
                <w:szCs w:val="24"/>
                <w:color w:val="auto"/>
              </w:rPr>
            </w:pPr>
          </w:p>
        </w:tc>
        <w:tc>
          <w:tcPr>
            <w:tcW w:w="1280" w:type="dxa"/>
            <w:vAlign w:val="bottom"/>
            <w:tcBorders>
              <w:bottom w:val="single" w:sz="8" w:color="D2EEF5"/>
            </w:tcBorders>
            <w:gridSpan w:val="3"/>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58,690</w:t>
            </w:r>
          </w:p>
        </w:tc>
        <w:tc>
          <w:tcPr>
            <w:tcW w:w="120" w:type="dxa"/>
            <w:vAlign w:val="bottom"/>
            <w:tcBorders>
              <w:bottom w:val="single" w:sz="8" w:color="D2EEF5"/>
            </w:tcBorders>
            <w:shd w:val="clear" w:color="auto" w:fill="D2EEF5"/>
          </w:tcPr>
          <w:p>
            <w:pPr>
              <w:spacing w:after="0"/>
              <w:rPr>
                <w:sz w:val="24"/>
                <w:szCs w:val="24"/>
                <w:color w:val="auto"/>
              </w:rPr>
            </w:pPr>
          </w:p>
        </w:tc>
        <w:tc>
          <w:tcPr>
            <w:tcW w:w="20" w:type="dxa"/>
            <w:vAlign w:val="bottom"/>
            <w:tcBorders>
              <w:bottom w:val="single" w:sz="8" w:color="D2EEF5"/>
            </w:tcBorders>
            <w:shd w:val="clear" w:color="auto" w:fill="D2EEF5"/>
          </w:tcPr>
          <w:p>
            <w:pPr>
              <w:spacing w:after="0"/>
              <w:rPr>
                <w:sz w:val="24"/>
                <w:szCs w:val="24"/>
                <w:color w:val="auto"/>
              </w:rPr>
            </w:pPr>
          </w:p>
        </w:tc>
        <w:tc>
          <w:tcPr>
            <w:tcW w:w="560" w:type="dxa"/>
            <w:vAlign w:val="bottom"/>
            <w:tcBorders>
              <w:bottom w:val="single" w:sz="8" w:color="D2EEF5"/>
            </w:tcBorders>
            <w:shd w:val="clear" w:color="auto" w:fill="D2EEF5"/>
          </w:tcPr>
          <w:p>
            <w:pPr>
              <w:spacing w:after="0"/>
              <w:rPr>
                <w:sz w:val="24"/>
                <w:szCs w:val="24"/>
                <w:color w:val="auto"/>
              </w:rPr>
            </w:pPr>
          </w:p>
        </w:tc>
        <w:tc>
          <w:tcPr>
            <w:tcW w:w="1120" w:type="dxa"/>
            <w:vAlign w:val="bottom"/>
            <w:tcBorders>
              <w:bottom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1,449</w:t>
            </w:r>
          </w:p>
        </w:tc>
      </w:tr>
      <w:tr>
        <w:trPr>
          <w:trHeight w:val="275"/>
        </w:trPr>
        <w:tc>
          <w:tcPr>
            <w:tcW w:w="40" w:type="dxa"/>
            <w:vAlign w:val="bottom"/>
          </w:tcPr>
          <w:p>
            <w:pPr>
              <w:spacing w:after="0"/>
              <w:rPr>
                <w:sz w:val="23"/>
                <w:szCs w:val="23"/>
                <w:color w:val="auto"/>
              </w:rPr>
            </w:pPr>
          </w:p>
        </w:tc>
        <w:tc>
          <w:tcPr>
            <w:tcW w:w="67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Net operating loss</w:t>
            </w:r>
          </w:p>
        </w:tc>
        <w:tc>
          <w:tcPr>
            <w:tcW w:w="400" w:type="dxa"/>
            <w:vAlign w:val="bottom"/>
          </w:tcPr>
          <w:p>
            <w:pPr>
              <w:spacing w:after="0"/>
              <w:rPr>
                <w:sz w:val="23"/>
                <w:szCs w:val="23"/>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65,844</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49,690</w:t>
            </w:r>
          </w:p>
        </w:tc>
      </w:tr>
      <w:tr>
        <w:trPr>
          <w:trHeight w:val="25"/>
        </w:trPr>
        <w:tc>
          <w:tcPr>
            <w:tcW w:w="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0"/>
        </w:trPr>
        <w:tc>
          <w:tcPr>
            <w:tcW w:w="40" w:type="dxa"/>
            <w:vAlign w:val="bottom"/>
            <w:tcBorders>
              <w:bottom w:val="single" w:sz="8" w:color="D2EEF5"/>
            </w:tcBorders>
            <w:shd w:val="clear" w:color="auto" w:fill="D2EEF5"/>
          </w:tcPr>
          <w:p>
            <w:pPr>
              <w:spacing w:after="0"/>
              <w:rPr>
                <w:sz w:val="24"/>
                <w:szCs w:val="24"/>
                <w:color w:val="auto"/>
              </w:rPr>
            </w:pPr>
          </w:p>
        </w:tc>
        <w:tc>
          <w:tcPr>
            <w:tcW w:w="6720" w:type="dxa"/>
            <w:vAlign w:val="bottom"/>
            <w:tcBorders>
              <w:bottom w:val="single" w:sz="8" w:color="D2EEF5"/>
            </w:tcBorders>
            <w:gridSpan w:val="2"/>
            <w:shd w:val="clear" w:color="auto" w:fill="D2EEF5"/>
          </w:tcPr>
          <w:p>
            <w:pPr>
              <w:ind w:left="240"/>
              <w:spacing w:after="0"/>
              <w:rPr>
                <w:sz w:val="20"/>
                <w:szCs w:val="20"/>
                <w:color w:val="auto"/>
              </w:rPr>
            </w:pPr>
            <w:r>
              <w:rPr>
                <w:rFonts w:ascii="Times New Roman" w:cs="Times New Roman" w:eastAsia="Times New Roman" w:hAnsi="Times New Roman"/>
                <w:sz w:val="20"/>
                <w:szCs w:val="20"/>
                <w:color w:val="auto"/>
              </w:rPr>
              <w:t>Inventories</w:t>
            </w:r>
          </w:p>
        </w:tc>
        <w:tc>
          <w:tcPr>
            <w:tcW w:w="400" w:type="dxa"/>
            <w:vAlign w:val="bottom"/>
            <w:tcBorders>
              <w:bottom w:val="single" w:sz="8" w:color="D2EEF5"/>
            </w:tcBorders>
            <w:shd w:val="clear" w:color="auto" w:fill="D2EEF5"/>
          </w:tcPr>
          <w:p>
            <w:pPr>
              <w:spacing w:after="0"/>
              <w:rPr>
                <w:sz w:val="24"/>
                <w:szCs w:val="24"/>
                <w:color w:val="auto"/>
              </w:rPr>
            </w:pPr>
          </w:p>
        </w:tc>
        <w:tc>
          <w:tcPr>
            <w:tcW w:w="1280" w:type="dxa"/>
            <w:vAlign w:val="bottom"/>
            <w:tcBorders>
              <w:bottom w:val="single" w:sz="8" w:color="D2EEF5"/>
            </w:tcBorders>
            <w:gridSpan w:val="3"/>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4,697</w:t>
            </w:r>
          </w:p>
        </w:tc>
        <w:tc>
          <w:tcPr>
            <w:tcW w:w="120" w:type="dxa"/>
            <w:vAlign w:val="bottom"/>
            <w:tcBorders>
              <w:bottom w:val="single" w:sz="8" w:color="D2EEF5"/>
            </w:tcBorders>
            <w:shd w:val="clear" w:color="auto" w:fill="D2EEF5"/>
          </w:tcPr>
          <w:p>
            <w:pPr>
              <w:spacing w:after="0"/>
              <w:rPr>
                <w:sz w:val="24"/>
                <w:szCs w:val="24"/>
                <w:color w:val="auto"/>
              </w:rPr>
            </w:pPr>
          </w:p>
        </w:tc>
        <w:tc>
          <w:tcPr>
            <w:tcW w:w="20" w:type="dxa"/>
            <w:vAlign w:val="bottom"/>
            <w:tcBorders>
              <w:bottom w:val="single" w:sz="8" w:color="D2EEF5"/>
            </w:tcBorders>
            <w:shd w:val="clear" w:color="auto" w:fill="D2EEF5"/>
          </w:tcPr>
          <w:p>
            <w:pPr>
              <w:spacing w:after="0"/>
              <w:rPr>
                <w:sz w:val="24"/>
                <w:szCs w:val="24"/>
                <w:color w:val="auto"/>
              </w:rPr>
            </w:pPr>
          </w:p>
        </w:tc>
        <w:tc>
          <w:tcPr>
            <w:tcW w:w="560" w:type="dxa"/>
            <w:vAlign w:val="bottom"/>
            <w:tcBorders>
              <w:bottom w:val="single" w:sz="8" w:color="D2EEF5"/>
            </w:tcBorders>
            <w:shd w:val="clear" w:color="auto" w:fill="D2EEF5"/>
          </w:tcPr>
          <w:p>
            <w:pPr>
              <w:spacing w:after="0"/>
              <w:rPr>
                <w:sz w:val="24"/>
                <w:szCs w:val="24"/>
                <w:color w:val="auto"/>
              </w:rPr>
            </w:pPr>
          </w:p>
        </w:tc>
        <w:tc>
          <w:tcPr>
            <w:tcW w:w="1120" w:type="dxa"/>
            <w:vAlign w:val="bottom"/>
            <w:tcBorders>
              <w:bottom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7,832</w:t>
            </w:r>
          </w:p>
        </w:tc>
      </w:tr>
      <w:tr>
        <w:trPr>
          <w:trHeight w:val="275"/>
        </w:trPr>
        <w:tc>
          <w:tcPr>
            <w:tcW w:w="40" w:type="dxa"/>
            <w:vAlign w:val="bottom"/>
          </w:tcPr>
          <w:p>
            <w:pPr>
              <w:spacing w:after="0"/>
              <w:rPr>
                <w:sz w:val="23"/>
                <w:szCs w:val="23"/>
                <w:color w:val="auto"/>
              </w:rPr>
            </w:pPr>
          </w:p>
        </w:tc>
        <w:tc>
          <w:tcPr>
            <w:tcW w:w="67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Interest expense</w:t>
            </w:r>
          </w:p>
        </w:tc>
        <w:tc>
          <w:tcPr>
            <w:tcW w:w="400" w:type="dxa"/>
            <w:vAlign w:val="bottom"/>
          </w:tcPr>
          <w:p>
            <w:pPr>
              <w:spacing w:after="0"/>
              <w:rPr>
                <w:sz w:val="23"/>
                <w:szCs w:val="23"/>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15,580</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12,658</w:t>
            </w:r>
          </w:p>
        </w:tc>
      </w:tr>
      <w:tr>
        <w:trPr>
          <w:trHeight w:val="25"/>
        </w:trPr>
        <w:tc>
          <w:tcPr>
            <w:tcW w:w="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300"/>
        </w:trPr>
        <w:tc>
          <w:tcPr>
            <w:tcW w:w="40" w:type="dxa"/>
            <w:vAlign w:val="bottom"/>
            <w:tcBorders>
              <w:bottom w:val="single" w:sz="8" w:color="D2EEF5"/>
            </w:tcBorders>
            <w:shd w:val="clear" w:color="auto" w:fill="D2EEF5"/>
          </w:tcPr>
          <w:p>
            <w:pPr>
              <w:spacing w:after="0"/>
              <w:rPr>
                <w:sz w:val="24"/>
                <w:szCs w:val="24"/>
                <w:color w:val="auto"/>
              </w:rPr>
            </w:pPr>
          </w:p>
        </w:tc>
        <w:tc>
          <w:tcPr>
            <w:tcW w:w="6720" w:type="dxa"/>
            <w:vAlign w:val="bottom"/>
            <w:tcBorders>
              <w:bottom w:val="single" w:sz="8" w:color="D2EEF5"/>
            </w:tcBorders>
            <w:gridSpan w:val="2"/>
            <w:shd w:val="clear" w:color="auto" w:fill="D2EEF5"/>
          </w:tcPr>
          <w:p>
            <w:pPr>
              <w:ind w:left="240"/>
              <w:spacing w:after="0"/>
              <w:rPr>
                <w:sz w:val="20"/>
                <w:szCs w:val="20"/>
                <w:color w:val="auto"/>
              </w:rPr>
            </w:pPr>
            <w:r>
              <w:rPr>
                <w:rFonts w:ascii="Times New Roman" w:cs="Times New Roman" w:eastAsia="Times New Roman" w:hAnsi="Times New Roman"/>
                <w:sz w:val="20"/>
                <w:szCs w:val="20"/>
                <w:color w:val="auto"/>
              </w:rPr>
              <w:t>Other</w:t>
            </w:r>
          </w:p>
        </w:tc>
        <w:tc>
          <w:tcPr>
            <w:tcW w:w="400" w:type="dxa"/>
            <w:vAlign w:val="bottom"/>
            <w:tcBorders>
              <w:bottom w:val="single" w:sz="8" w:color="D2EEF5"/>
            </w:tcBorders>
            <w:shd w:val="clear" w:color="auto" w:fill="D2EEF5"/>
          </w:tcPr>
          <w:p>
            <w:pPr>
              <w:spacing w:after="0"/>
              <w:rPr>
                <w:sz w:val="24"/>
                <w:szCs w:val="24"/>
                <w:color w:val="auto"/>
              </w:rPr>
            </w:pPr>
          </w:p>
        </w:tc>
        <w:tc>
          <w:tcPr>
            <w:tcW w:w="1280" w:type="dxa"/>
            <w:vAlign w:val="bottom"/>
            <w:tcBorders>
              <w:bottom w:val="single" w:sz="8" w:color="D2EEF5"/>
            </w:tcBorders>
            <w:gridSpan w:val="3"/>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2,076</w:t>
            </w:r>
          </w:p>
        </w:tc>
        <w:tc>
          <w:tcPr>
            <w:tcW w:w="120" w:type="dxa"/>
            <w:vAlign w:val="bottom"/>
            <w:tcBorders>
              <w:bottom w:val="single" w:sz="8" w:color="D2EEF5"/>
            </w:tcBorders>
            <w:shd w:val="clear" w:color="auto" w:fill="D2EEF5"/>
          </w:tcPr>
          <w:p>
            <w:pPr>
              <w:spacing w:after="0"/>
              <w:rPr>
                <w:sz w:val="24"/>
                <w:szCs w:val="24"/>
                <w:color w:val="auto"/>
              </w:rPr>
            </w:pPr>
          </w:p>
        </w:tc>
        <w:tc>
          <w:tcPr>
            <w:tcW w:w="20" w:type="dxa"/>
            <w:vAlign w:val="bottom"/>
            <w:tcBorders>
              <w:bottom w:val="single" w:sz="8" w:color="D2EEF5"/>
            </w:tcBorders>
            <w:shd w:val="clear" w:color="auto" w:fill="D2EEF5"/>
          </w:tcPr>
          <w:p>
            <w:pPr>
              <w:spacing w:after="0"/>
              <w:rPr>
                <w:sz w:val="24"/>
                <w:szCs w:val="24"/>
                <w:color w:val="auto"/>
              </w:rPr>
            </w:pPr>
          </w:p>
        </w:tc>
        <w:tc>
          <w:tcPr>
            <w:tcW w:w="560" w:type="dxa"/>
            <w:vAlign w:val="bottom"/>
            <w:tcBorders>
              <w:bottom w:val="single" w:sz="8" w:color="D2EEF5"/>
            </w:tcBorders>
            <w:shd w:val="clear" w:color="auto" w:fill="D2EEF5"/>
          </w:tcPr>
          <w:p>
            <w:pPr>
              <w:spacing w:after="0"/>
              <w:rPr>
                <w:sz w:val="24"/>
                <w:szCs w:val="24"/>
                <w:color w:val="auto"/>
              </w:rPr>
            </w:pPr>
          </w:p>
        </w:tc>
        <w:tc>
          <w:tcPr>
            <w:tcW w:w="1120" w:type="dxa"/>
            <w:vAlign w:val="bottom"/>
            <w:tcBorders>
              <w:bottom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1,540</w:t>
            </w:r>
          </w:p>
        </w:tc>
      </w:tr>
      <w:tr>
        <w:trPr>
          <w:trHeight w:val="277"/>
        </w:trPr>
        <w:tc>
          <w:tcPr>
            <w:tcW w:w="40" w:type="dxa"/>
            <w:vAlign w:val="bottom"/>
          </w:tcPr>
          <w:p>
            <w:pPr>
              <w:spacing w:after="0"/>
              <w:rPr>
                <w:sz w:val="24"/>
                <w:szCs w:val="24"/>
                <w:color w:val="auto"/>
              </w:rPr>
            </w:pPr>
          </w:p>
        </w:tc>
        <w:tc>
          <w:tcPr>
            <w:tcW w:w="6720" w:type="dxa"/>
            <w:vAlign w:val="bottom"/>
            <w:gridSpan w:val="2"/>
          </w:tcPr>
          <w:p>
            <w:pPr>
              <w:ind w:left="360"/>
              <w:spacing w:after="0"/>
              <w:rPr>
                <w:sz w:val="20"/>
                <w:szCs w:val="20"/>
                <w:color w:val="auto"/>
              </w:rPr>
            </w:pPr>
            <w:r>
              <w:rPr>
                <w:rFonts w:ascii="Times New Roman" w:cs="Times New Roman" w:eastAsia="Times New Roman" w:hAnsi="Times New Roman"/>
                <w:sz w:val="20"/>
                <w:szCs w:val="20"/>
                <w:b w:val="1"/>
                <w:bCs w:val="1"/>
                <w:color w:val="auto"/>
              </w:rPr>
              <w:t>Deferred tax assets</w:t>
            </w:r>
          </w:p>
        </w:tc>
        <w:tc>
          <w:tcPr>
            <w:tcW w:w="4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161,105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88,473</w:t>
            </w:r>
          </w:p>
        </w:tc>
      </w:tr>
      <w:tr>
        <w:trPr>
          <w:trHeight w:val="303"/>
        </w:trPr>
        <w:tc>
          <w:tcPr>
            <w:tcW w:w="40" w:type="dxa"/>
            <w:vAlign w:val="bottom"/>
            <w:tcBorders>
              <w:bottom w:val="single" w:sz="8" w:color="D2EEF5"/>
            </w:tcBorders>
            <w:shd w:val="clear" w:color="auto" w:fill="D2EEF5"/>
          </w:tcPr>
          <w:p>
            <w:pPr>
              <w:spacing w:after="0"/>
              <w:rPr>
                <w:sz w:val="24"/>
                <w:szCs w:val="24"/>
                <w:color w:val="auto"/>
              </w:rPr>
            </w:pPr>
          </w:p>
        </w:tc>
        <w:tc>
          <w:tcPr>
            <w:tcW w:w="6720" w:type="dxa"/>
            <w:vAlign w:val="bottom"/>
            <w:tcBorders>
              <w:bottom w:val="single" w:sz="8" w:color="D2EEF5"/>
            </w:tcBorders>
            <w:gridSpan w:val="2"/>
            <w:shd w:val="clear" w:color="auto" w:fill="D2EEF5"/>
          </w:tcPr>
          <w:p>
            <w:pPr>
              <w:ind w:left="240"/>
              <w:spacing w:after="0"/>
              <w:rPr>
                <w:sz w:val="20"/>
                <w:szCs w:val="20"/>
                <w:color w:val="auto"/>
              </w:rPr>
            </w:pPr>
            <w:r>
              <w:rPr>
                <w:rFonts w:ascii="Times New Roman" w:cs="Times New Roman" w:eastAsia="Times New Roman" w:hAnsi="Times New Roman"/>
                <w:sz w:val="20"/>
                <w:szCs w:val="20"/>
                <w:color w:val="auto"/>
              </w:rPr>
              <w:t>Valuation allowance</w:t>
            </w:r>
          </w:p>
        </w:tc>
        <w:tc>
          <w:tcPr>
            <w:tcW w:w="400" w:type="dxa"/>
            <w:vAlign w:val="bottom"/>
            <w:tcBorders>
              <w:bottom w:val="single" w:sz="8" w:color="D2EEF5"/>
            </w:tcBorders>
            <w:shd w:val="clear" w:color="auto" w:fill="D2EEF5"/>
          </w:tcPr>
          <w:p>
            <w:pPr>
              <w:spacing w:after="0"/>
              <w:rPr>
                <w:sz w:val="24"/>
                <w:szCs w:val="24"/>
                <w:color w:val="auto"/>
              </w:rPr>
            </w:pPr>
          </w:p>
        </w:tc>
        <w:tc>
          <w:tcPr>
            <w:tcW w:w="1280" w:type="dxa"/>
            <w:vAlign w:val="bottom"/>
            <w:tcBorders>
              <w:bottom w:val="single" w:sz="8" w:color="D2EEF5"/>
            </w:tcBorders>
            <w:gridSpan w:val="3"/>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(149,124)</w:t>
            </w:r>
          </w:p>
        </w:tc>
        <w:tc>
          <w:tcPr>
            <w:tcW w:w="120" w:type="dxa"/>
            <w:vAlign w:val="bottom"/>
            <w:tcBorders>
              <w:bottom w:val="single" w:sz="8" w:color="D2EEF5"/>
            </w:tcBorders>
            <w:shd w:val="clear" w:color="auto" w:fill="D2EEF5"/>
          </w:tcPr>
          <w:p>
            <w:pPr>
              <w:spacing w:after="0"/>
              <w:rPr>
                <w:sz w:val="24"/>
                <w:szCs w:val="24"/>
                <w:color w:val="auto"/>
              </w:rPr>
            </w:pPr>
          </w:p>
        </w:tc>
        <w:tc>
          <w:tcPr>
            <w:tcW w:w="20" w:type="dxa"/>
            <w:vAlign w:val="bottom"/>
            <w:tcBorders>
              <w:bottom w:val="single" w:sz="8" w:color="D2EEF5"/>
            </w:tcBorders>
            <w:shd w:val="clear" w:color="auto" w:fill="D2EEF5"/>
          </w:tcPr>
          <w:p>
            <w:pPr>
              <w:spacing w:after="0"/>
              <w:rPr>
                <w:sz w:val="24"/>
                <w:szCs w:val="24"/>
                <w:color w:val="auto"/>
              </w:rPr>
            </w:pPr>
          </w:p>
        </w:tc>
        <w:tc>
          <w:tcPr>
            <w:tcW w:w="560" w:type="dxa"/>
            <w:vAlign w:val="bottom"/>
            <w:tcBorders>
              <w:bottom w:val="single" w:sz="8" w:color="D2EEF5"/>
            </w:tcBorders>
            <w:shd w:val="clear" w:color="auto" w:fill="D2EEF5"/>
          </w:tcPr>
          <w:p>
            <w:pPr>
              <w:spacing w:after="0"/>
              <w:rPr>
                <w:sz w:val="24"/>
                <w:szCs w:val="24"/>
                <w:color w:val="auto"/>
              </w:rPr>
            </w:pPr>
          </w:p>
        </w:tc>
        <w:tc>
          <w:tcPr>
            <w:tcW w:w="1120" w:type="dxa"/>
            <w:vAlign w:val="bottom"/>
            <w:tcBorders>
              <w:bottom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(75,336)</w:t>
            </w:r>
          </w:p>
        </w:tc>
      </w:tr>
      <w:tr>
        <w:trPr>
          <w:trHeight w:val="279"/>
        </w:trPr>
        <w:tc>
          <w:tcPr>
            <w:tcW w:w="40" w:type="dxa"/>
            <w:vAlign w:val="bottom"/>
            <w:tcBorders>
              <w:bottom w:val="single" w:sz="8" w:color="D2EEF5"/>
            </w:tcBorders>
          </w:tcPr>
          <w:p>
            <w:pPr>
              <w:spacing w:after="0"/>
              <w:rPr>
                <w:sz w:val="24"/>
                <w:szCs w:val="24"/>
                <w:color w:val="auto"/>
              </w:rPr>
            </w:pPr>
          </w:p>
        </w:tc>
        <w:tc>
          <w:tcPr>
            <w:tcW w:w="6720" w:type="dxa"/>
            <w:vAlign w:val="bottom"/>
            <w:tcBorders>
              <w:bottom w:val="single" w:sz="8" w:color="D2EEF5"/>
            </w:tcBorders>
            <w:gridSpan w:val="2"/>
          </w:tcPr>
          <w:p>
            <w:pPr>
              <w:ind w:left="360"/>
              <w:spacing w:after="0"/>
              <w:rPr>
                <w:sz w:val="20"/>
                <w:szCs w:val="20"/>
                <w:color w:val="auto"/>
              </w:rPr>
            </w:pPr>
            <w:r>
              <w:rPr>
                <w:rFonts w:ascii="Times New Roman" w:cs="Times New Roman" w:eastAsia="Times New Roman" w:hAnsi="Times New Roman"/>
                <w:sz w:val="20"/>
                <w:szCs w:val="20"/>
                <w:b w:val="1"/>
                <w:bCs w:val="1"/>
                <w:color w:val="auto"/>
              </w:rPr>
              <w:t>Total deferred tax assets</w:t>
            </w:r>
          </w:p>
        </w:tc>
        <w:tc>
          <w:tcPr>
            <w:tcW w:w="400" w:type="dxa"/>
            <w:vAlign w:val="bottom"/>
            <w:tcBorders>
              <w:top w:val="single" w:sz="8" w:color="auto"/>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11,981</w:t>
            </w:r>
          </w:p>
        </w:tc>
        <w:tc>
          <w:tcPr>
            <w:tcW w:w="120" w:type="dxa"/>
            <w:vAlign w:val="bottom"/>
            <w:tcBorders>
              <w:bottom w:val="single" w:sz="8" w:color="D2EEF5"/>
            </w:tcBorders>
          </w:tcPr>
          <w:p>
            <w:pPr>
              <w:spacing w:after="0"/>
              <w:rPr>
                <w:sz w:val="24"/>
                <w:szCs w:val="24"/>
                <w:color w:val="auto"/>
              </w:rPr>
            </w:pPr>
          </w:p>
        </w:tc>
        <w:tc>
          <w:tcPr>
            <w:tcW w:w="20" w:type="dxa"/>
            <w:vAlign w:val="bottom"/>
            <w:tcBorders>
              <w:bottom w:val="single" w:sz="8" w:color="D2EEF5"/>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13,137</w:t>
            </w:r>
          </w:p>
        </w:tc>
      </w:tr>
      <w:tr>
        <w:trPr>
          <w:trHeight w:val="281"/>
        </w:trPr>
        <w:tc>
          <w:tcPr>
            <w:tcW w:w="40" w:type="dxa"/>
            <w:vAlign w:val="bottom"/>
            <w:shd w:val="clear" w:color="auto" w:fill="D2EEF5"/>
          </w:tcPr>
          <w:p>
            <w:pPr>
              <w:spacing w:after="0"/>
              <w:rPr>
                <w:sz w:val="24"/>
                <w:szCs w:val="24"/>
                <w:color w:val="auto"/>
              </w:rPr>
            </w:pPr>
          </w:p>
        </w:tc>
        <w:tc>
          <w:tcPr>
            <w:tcW w:w="670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400" w:type="dxa"/>
            <w:vAlign w:val="bottom"/>
            <w:shd w:val="clear" w:color="auto" w:fill="D2EEF5"/>
          </w:tcPr>
          <w:p>
            <w:pPr>
              <w:spacing w:after="0"/>
              <w:rPr>
                <w:sz w:val="24"/>
                <w:szCs w:val="24"/>
                <w:color w:val="auto"/>
              </w:rPr>
            </w:pPr>
          </w:p>
        </w:tc>
        <w:tc>
          <w:tcPr>
            <w:tcW w:w="34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920" w:type="dxa"/>
            <w:vAlign w:val="bottom"/>
            <w:shd w:val="clear" w:color="auto" w:fill="D2EEF5"/>
          </w:tcPr>
          <w:p>
            <w:pPr>
              <w:spacing w:after="0"/>
              <w:rPr>
                <w:sz w:val="24"/>
                <w:szCs w:val="24"/>
                <w:color w:val="auto"/>
              </w:rPr>
            </w:pPr>
          </w:p>
        </w:tc>
        <w:tc>
          <w:tcPr>
            <w:tcW w:w="12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560" w:type="dxa"/>
            <w:vAlign w:val="bottom"/>
            <w:shd w:val="clear" w:color="auto" w:fill="D2EEF5"/>
          </w:tcPr>
          <w:p>
            <w:pPr>
              <w:spacing w:after="0"/>
              <w:rPr>
                <w:sz w:val="24"/>
                <w:szCs w:val="24"/>
                <w:color w:val="auto"/>
              </w:rPr>
            </w:pPr>
          </w:p>
        </w:tc>
        <w:tc>
          <w:tcPr>
            <w:tcW w:w="1120" w:type="dxa"/>
            <w:vAlign w:val="bottom"/>
            <w:shd w:val="clear" w:color="auto" w:fill="D2EEF5"/>
          </w:tcPr>
          <w:p>
            <w:pPr>
              <w:spacing w:after="0"/>
              <w:rPr>
                <w:sz w:val="24"/>
                <w:szCs w:val="24"/>
                <w:color w:val="auto"/>
              </w:rPr>
            </w:pPr>
          </w:p>
        </w:tc>
      </w:tr>
      <w:tr>
        <w:trPr>
          <w:trHeight w:val="275"/>
        </w:trPr>
        <w:tc>
          <w:tcPr>
            <w:tcW w:w="40" w:type="dxa"/>
            <w:vAlign w:val="bottom"/>
          </w:tcPr>
          <w:p>
            <w:pPr>
              <w:spacing w:after="0"/>
              <w:rPr>
                <w:sz w:val="23"/>
                <w:szCs w:val="23"/>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Deferred tax liabilities</w:t>
            </w: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
        </w:trPr>
        <w:tc>
          <w:tcPr>
            <w:tcW w:w="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0"/>
        </w:trPr>
        <w:tc>
          <w:tcPr>
            <w:tcW w:w="40" w:type="dxa"/>
            <w:vAlign w:val="bottom"/>
            <w:tcBorders>
              <w:bottom w:val="single" w:sz="8" w:color="D2EEF5"/>
            </w:tcBorders>
            <w:shd w:val="clear" w:color="auto" w:fill="D2EEF5"/>
          </w:tcPr>
          <w:p>
            <w:pPr>
              <w:spacing w:after="0"/>
              <w:rPr>
                <w:sz w:val="24"/>
                <w:szCs w:val="24"/>
                <w:color w:val="auto"/>
              </w:rPr>
            </w:pPr>
          </w:p>
        </w:tc>
        <w:tc>
          <w:tcPr>
            <w:tcW w:w="6720" w:type="dxa"/>
            <w:vAlign w:val="bottom"/>
            <w:tcBorders>
              <w:bottom w:val="single" w:sz="8" w:color="D2EEF5"/>
            </w:tcBorders>
            <w:gridSpan w:val="2"/>
            <w:shd w:val="clear" w:color="auto" w:fill="D2EEF5"/>
          </w:tcPr>
          <w:p>
            <w:pPr>
              <w:ind w:left="240"/>
              <w:spacing w:after="0"/>
              <w:rPr>
                <w:sz w:val="20"/>
                <w:szCs w:val="20"/>
                <w:color w:val="auto"/>
              </w:rPr>
            </w:pPr>
            <w:r>
              <w:rPr>
                <w:rFonts w:ascii="Times New Roman" w:cs="Times New Roman" w:eastAsia="Times New Roman" w:hAnsi="Times New Roman"/>
                <w:sz w:val="20"/>
                <w:szCs w:val="20"/>
                <w:color w:val="auto"/>
              </w:rPr>
              <w:t>Property, plant and equipment</w:t>
            </w:r>
          </w:p>
        </w:tc>
        <w:tc>
          <w:tcPr>
            <w:tcW w:w="400" w:type="dxa"/>
            <w:vAlign w:val="bottom"/>
            <w:tcBorders>
              <w:bottom w:val="single" w:sz="8" w:color="D2EEF5"/>
            </w:tcBorders>
            <w:shd w:val="clear" w:color="auto" w:fill="D2EEF5"/>
          </w:tcPr>
          <w:p>
            <w:pPr>
              <w:spacing w:after="0"/>
              <w:rPr>
                <w:sz w:val="24"/>
                <w:szCs w:val="24"/>
                <w:color w:val="auto"/>
              </w:rPr>
            </w:pPr>
          </w:p>
        </w:tc>
        <w:tc>
          <w:tcPr>
            <w:tcW w:w="1280" w:type="dxa"/>
            <w:vAlign w:val="bottom"/>
            <w:tcBorders>
              <w:bottom w:val="single" w:sz="8" w:color="D2EEF5"/>
            </w:tcBorders>
            <w:gridSpan w:val="3"/>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(3,626)</w:t>
            </w:r>
          </w:p>
        </w:tc>
        <w:tc>
          <w:tcPr>
            <w:tcW w:w="120" w:type="dxa"/>
            <w:vAlign w:val="bottom"/>
            <w:tcBorders>
              <w:bottom w:val="single" w:sz="8" w:color="D2EEF5"/>
            </w:tcBorders>
            <w:shd w:val="clear" w:color="auto" w:fill="D2EEF5"/>
          </w:tcPr>
          <w:p>
            <w:pPr>
              <w:spacing w:after="0"/>
              <w:rPr>
                <w:sz w:val="24"/>
                <w:szCs w:val="24"/>
                <w:color w:val="auto"/>
              </w:rPr>
            </w:pPr>
          </w:p>
        </w:tc>
        <w:tc>
          <w:tcPr>
            <w:tcW w:w="20" w:type="dxa"/>
            <w:vAlign w:val="bottom"/>
            <w:tcBorders>
              <w:bottom w:val="single" w:sz="8" w:color="D2EEF5"/>
            </w:tcBorders>
            <w:shd w:val="clear" w:color="auto" w:fill="D2EEF5"/>
          </w:tcPr>
          <w:p>
            <w:pPr>
              <w:spacing w:after="0"/>
              <w:rPr>
                <w:sz w:val="24"/>
                <w:szCs w:val="24"/>
                <w:color w:val="auto"/>
              </w:rPr>
            </w:pPr>
          </w:p>
        </w:tc>
        <w:tc>
          <w:tcPr>
            <w:tcW w:w="560" w:type="dxa"/>
            <w:vAlign w:val="bottom"/>
            <w:tcBorders>
              <w:bottom w:val="single" w:sz="8" w:color="D2EEF5"/>
            </w:tcBorders>
            <w:shd w:val="clear" w:color="auto" w:fill="D2EEF5"/>
          </w:tcPr>
          <w:p>
            <w:pPr>
              <w:spacing w:after="0"/>
              <w:rPr>
                <w:sz w:val="24"/>
                <w:szCs w:val="24"/>
                <w:color w:val="auto"/>
              </w:rPr>
            </w:pPr>
          </w:p>
        </w:tc>
        <w:tc>
          <w:tcPr>
            <w:tcW w:w="1120" w:type="dxa"/>
            <w:vAlign w:val="bottom"/>
            <w:tcBorders>
              <w:bottom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(5,479)</w:t>
            </w:r>
          </w:p>
        </w:tc>
      </w:tr>
      <w:tr>
        <w:trPr>
          <w:trHeight w:val="275"/>
        </w:trPr>
        <w:tc>
          <w:tcPr>
            <w:tcW w:w="40" w:type="dxa"/>
            <w:vAlign w:val="bottom"/>
          </w:tcPr>
          <w:p>
            <w:pPr>
              <w:spacing w:after="0"/>
              <w:rPr>
                <w:sz w:val="23"/>
                <w:szCs w:val="23"/>
                <w:color w:val="auto"/>
              </w:rPr>
            </w:pPr>
          </w:p>
        </w:tc>
        <w:tc>
          <w:tcPr>
            <w:tcW w:w="67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400" w:type="dxa"/>
            <w:vAlign w:val="bottom"/>
          </w:tcPr>
          <w:p>
            <w:pPr>
              <w:spacing w:after="0"/>
              <w:rPr>
                <w:sz w:val="23"/>
                <w:szCs w:val="23"/>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(10,302)</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(10,624)</w:t>
            </w:r>
          </w:p>
        </w:tc>
      </w:tr>
      <w:tr>
        <w:trPr>
          <w:trHeight w:val="25"/>
        </w:trPr>
        <w:tc>
          <w:tcPr>
            <w:tcW w:w="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300"/>
        </w:trPr>
        <w:tc>
          <w:tcPr>
            <w:tcW w:w="40" w:type="dxa"/>
            <w:vAlign w:val="bottom"/>
            <w:tcBorders>
              <w:bottom w:val="single" w:sz="8" w:color="D2EEF5"/>
            </w:tcBorders>
            <w:shd w:val="clear" w:color="auto" w:fill="D2EEF5"/>
          </w:tcPr>
          <w:p>
            <w:pPr>
              <w:spacing w:after="0"/>
              <w:rPr>
                <w:sz w:val="24"/>
                <w:szCs w:val="24"/>
                <w:color w:val="auto"/>
              </w:rPr>
            </w:pPr>
          </w:p>
        </w:tc>
        <w:tc>
          <w:tcPr>
            <w:tcW w:w="6720" w:type="dxa"/>
            <w:vAlign w:val="bottom"/>
            <w:tcBorders>
              <w:bottom w:val="single" w:sz="8" w:color="D2EEF5"/>
            </w:tcBorders>
            <w:gridSpan w:val="2"/>
            <w:shd w:val="clear" w:color="auto" w:fill="D2EEF5"/>
          </w:tcPr>
          <w:p>
            <w:pPr>
              <w:ind w:left="240"/>
              <w:spacing w:after="0"/>
              <w:rPr>
                <w:sz w:val="20"/>
                <w:szCs w:val="20"/>
                <w:color w:val="auto"/>
              </w:rPr>
            </w:pPr>
            <w:r>
              <w:rPr>
                <w:rFonts w:ascii="Times New Roman" w:cs="Times New Roman" w:eastAsia="Times New Roman" w:hAnsi="Times New Roman"/>
                <w:sz w:val="20"/>
                <w:szCs w:val="20"/>
                <w:color w:val="auto"/>
              </w:rPr>
              <w:t>Other</w:t>
            </w:r>
          </w:p>
        </w:tc>
        <w:tc>
          <w:tcPr>
            <w:tcW w:w="400" w:type="dxa"/>
            <w:vAlign w:val="bottom"/>
            <w:tcBorders>
              <w:bottom w:val="single" w:sz="8" w:color="D2EEF5"/>
            </w:tcBorders>
            <w:shd w:val="clear" w:color="auto" w:fill="D2EEF5"/>
          </w:tcPr>
          <w:p>
            <w:pPr>
              <w:spacing w:after="0"/>
              <w:rPr>
                <w:sz w:val="24"/>
                <w:szCs w:val="24"/>
                <w:color w:val="auto"/>
              </w:rPr>
            </w:pPr>
          </w:p>
        </w:tc>
        <w:tc>
          <w:tcPr>
            <w:tcW w:w="1280" w:type="dxa"/>
            <w:vAlign w:val="bottom"/>
            <w:tcBorders>
              <w:bottom w:val="single" w:sz="8" w:color="D2EEF5"/>
            </w:tcBorders>
            <w:gridSpan w:val="3"/>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(183)</w:t>
            </w:r>
          </w:p>
        </w:tc>
        <w:tc>
          <w:tcPr>
            <w:tcW w:w="120" w:type="dxa"/>
            <w:vAlign w:val="bottom"/>
            <w:tcBorders>
              <w:bottom w:val="single" w:sz="8" w:color="D2EEF5"/>
            </w:tcBorders>
            <w:shd w:val="clear" w:color="auto" w:fill="D2EEF5"/>
          </w:tcPr>
          <w:p>
            <w:pPr>
              <w:spacing w:after="0"/>
              <w:rPr>
                <w:sz w:val="24"/>
                <w:szCs w:val="24"/>
                <w:color w:val="auto"/>
              </w:rPr>
            </w:pPr>
          </w:p>
        </w:tc>
        <w:tc>
          <w:tcPr>
            <w:tcW w:w="20" w:type="dxa"/>
            <w:vAlign w:val="bottom"/>
            <w:tcBorders>
              <w:bottom w:val="single" w:sz="8" w:color="D2EEF5"/>
            </w:tcBorders>
            <w:shd w:val="clear" w:color="auto" w:fill="D2EEF5"/>
          </w:tcPr>
          <w:p>
            <w:pPr>
              <w:spacing w:after="0"/>
              <w:rPr>
                <w:sz w:val="24"/>
                <w:szCs w:val="24"/>
                <w:color w:val="auto"/>
              </w:rPr>
            </w:pPr>
          </w:p>
        </w:tc>
        <w:tc>
          <w:tcPr>
            <w:tcW w:w="560" w:type="dxa"/>
            <w:vAlign w:val="bottom"/>
            <w:tcBorders>
              <w:bottom w:val="single" w:sz="8" w:color="D2EEF5"/>
            </w:tcBorders>
            <w:shd w:val="clear" w:color="auto" w:fill="D2EEF5"/>
          </w:tcPr>
          <w:p>
            <w:pPr>
              <w:spacing w:after="0"/>
              <w:rPr>
                <w:sz w:val="24"/>
                <w:szCs w:val="24"/>
                <w:color w:val="auto"/>
              </w:rPr>
            </w:pPr>
          </w:p>
        </w:tc>
        <w:tc>
          <w:tcPr>
            <w:tcW w:w="1120" w:type="dxa"/>
            <w:vAlign w:val="bottom"/>
            <w:tcBorders>
              <w:bottom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(81)</w:t>
            </w:r>
          </w:p>
        </w:tc>
      </w:tr>
      <w:tr>
        <w:trPr>
          <w:trHeight w:val="279"/>
        </w:trPr>
        <w:tc>
          <w:tcPr>
            <w:tcW w:w="40" w:type="dxa"/>
            <w:vAlign w:val="bottom"/>
            <w:tcBorders>
              <w:bottom w:val="single" w:sz="8" w:color="D2EEF5"/>
            </w:tcBorders>
          </w:tcPr>
          <w:p>
            <w:pPr>
              <w:spacing w:after="0"/>
              <w:rPr>
                <w:sz w:val="24"/>
                <w:szCs w:val="24"/>
                <w:color w:val="auto"/>
              </w:rPr>
            </w:pPr>
          </w:p>
        </w:tc>
        <w:tc>
          <w:tcPr>
            <w:tcW w:w="6720" w:type="dxa"/>
            <w:vAlign w:val="bottom"/>
            <w:tcBorders>
              <w:bottom w:val="single" w:sz="8" w:color="D2EEF5"/>
            </w:tcBorders>
            <w:gridSpan w:val="2"/>
          </w:tcPr>
          <w:p>
            <w:pPr>
              <w:ind w:left="360"/>
              <w:spacing w:after="0"/>
              <w:rPr>
                <w:sz w:val="20"/>
                <w:szCs w:val="20"/>
                <w:color w:val="auto"/>
              </w:rPr>
            </w:pPr>
            <w:r>
              <w:rPr>
                <w:rFonts w:ascii="Times New Roman" w:cs="Times New Roman" w:eastAsia="Times New Roman" w:hAnsi="Times New Roman"/>
                <w:sz w:val="20"/>
                <w:szCs w:val="20"/>
                <w:b w:val="1"/>
                <w:bCs w:val="1"/>
                <w:color w:val="auto"/>
              </w:rPr>
              <w:t>Total deferred tax liabilities</w:t>
            </w:r>
          </w:p>
        </w:tc>
        <w:tc>
          <w:tcPr>
            <w:tcW w:w="400" w:type="dxa"/>
            <w:vAlign w:val="bottom"/>
            <w:tcBorders>
              <w:top w:val="single" w:sz="8" w:color="auto"/>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(14,111)</w:t>
            </w:r>
          </w:p>
        </w:tc>
        <w:tc>
          <w:tcPr>
            <w:tcW w:w="120" w:type="dxa"/>
            <w:vAlign w:val="bottom"/>
            <w:tcBorders>
              <w:top w:val="single" w:sz="8" w:color="D2EEF5"/>
              <w:bottom w:val="single" w:sz="8" w:color="D2EEF5"/>
            </w:tcBorders>
          </w:tcPr>
          <w:p>
            <w:pPr>
              <w:spacing w:after="0"/>
              <w:rPr>
                <w:sz w:val="24"/>
                <w:szCs w:val="24"/>
                <w:color w:val="auto"/>
              </w:rPr>
            </w:pPr>
          </w:p>
        </w:tc>
        <w:tc>
          <w:tcPr>
            <w:tcW w:w="20" w:type="dxa"/>
            <w:vAlign w:val="bottom"/>
            <w:tcBorders>
              <w:top w:val="single" w:sz="8" w:color="D2EEF5"/>
              <w:bottom w:val="single" w:sz="8" w:color="D2EEF5"/>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(16,184)</w:t>
            </w:r>
          </w:p>
        </w:tc>
      </w:tr>
      <w:tr>
        <w:trPr>
          <w:trHeight w:val="281"/>
        </w:trPr>
        <w:tc>
          <w:tcPr>
            <w:tcW w:w="40" w:type="dxa"/>
            <w:vAlign w:val="bottom"/>
            <w:shd w:val="clear" w:color="auto" w:fill="D2EEF5"/>
          </w:tcPr>
          <w:p>
            <w:pPr>
              <w:spacing w:after="0"/>
              <w:rPr>
                <w:sz w:val="24"/>
                <w:szCs w:val="24"/>
                <w:color w:val="auto"/>
              </w:rPr>
            </w:pPr>
          </w:p>
        </w:tc>
        <w:tc>
          <w:tcPr>
            <w:tcW w:w="6720" w:type="dxa"/>
            <w:vAlign w:val="bottom"/>
            <w:gridSpan w:val="2"/>
            <w:shd w:val="clear" w:color="auto" w:fill="D2EEF5"/>
          </w:tcPr>
          <w:p>
            <w:pPr>
              <w:spacing w:after="0"/>
              <w:rPr>
                <w:sz w:val="20"/>
                <w:szCs w:val="20"/>
                <w:color w:val="auto"/>
              </w:rPr>
            </w:pPr>
            <w:r>
              <w:rPr>
                <w:rFonts w:ascii="Times New Roman" w:cs="Times New Roman" w:eastAsia="Times New Roman" w:hAnsi="Times New Roman"/>
                <w:sz w:val="20"/>
                <w:szCs w:val="20"/>
                <w:b w:val="1"/>
                <w:bCs w:val="1"/>
                <w:color w:val="auto"/>
              </w:rPr>
              <w:t>Net deferred tax liability</w:t>
            </w:r>
          </w:p>
        </w:tc>
        <w:tc>
          <w:tcPr>
            <w:tcW w:w="400" w:type="dxa"/>
            <w:vAlign w:val="bottom"/>
            <w:shd w:val="clear" w:color="auto" w:fill="D2EEF5"/>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w:t>
            </w:r>
          </w:p>
        </w:tc>
        <w:tc>
          <w:tcPr>
            <w:tcW w:w="1280" w:type="dxa"/>
            <w:vAlign w:val="bottom"/>
            <w:gridSpan w:val="3"/>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(2,130)</w:t>
            </w:r>
          </w:p>
        </w:tc>
        <w:tc>
          <w:tcPr>
            <w:tcW w:w="12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560" w:type="dxa"/>
            <w:vAlign w:val="bottom"/>
            <w:shd w:val="clear" w:color="auto" w:fill="D2EEF5"/>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(3,047)</w:t>
            </w:r>
          </w:p>
        </w:tc>
      </w:tr>
      <w:tr>
        <w:trPr>
          <w:trHeight w:val="300"/>
        </w:trPr>
        <w:tc>
          <w:tcPr>
            <w:tcW w:w="4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2"/>
          </w:tcPr>
          <w:p>
            <w:pPr>
              <w:spacing w:after="0"/>
              <w:rPr>
                <w:sz w:val="24"/>
                <w:szCs w:val="24"/>
                <w:color w:val="auto"/>
              </w:rPr>
            </w:pPr>
          </w:p>
        </w:tc>
        <w:tc>
          <w:tcPr>
            <w:tcW w:w="1120" w:type="dxa"/>
            <w:vAlign w:val="bottom"/>
          </w:tcPr>
          <w:p>
            <w:pPr>
              <w:spacing w:after="0"/>
              <w:rPr>
                <w:sz w:val="24"/>
                <w:szCs w:val="24"/>
                <w:color w:val="auto"/>
              </w:rPr>
            </w:pPr>
          </w:p>
        </w:tc>
      </w:tr>
      <w:tr>
        <w:trPr>
          <w:trHeight w:val="280"/>
        </w:trPr>
        <w:tc>
          <w:tcPr>
            <w:tcW w:w="40" w:type="dxa"/>
            <w:vAlign w:val="bottom"/>
            <w:tcBorders>
              <w:bottom w:val="single" w:sz="8" w:color="D2EEF5"/>
            </w:tcBorders>
            <w:shd w:val="clear" w:color="auto" w:fill="D2EEF5"/>
          </w:tcPr>
          <w:p>
            <w:pPr>
              <w:spacing w:after="0"/>
              <w:rPr>
                <w:sz w:val="24"/>
                <w:szCs w:val="24"/>
                <w:color w:val="auto"/>
              </w:rPr>
            </w:pPr>
          </w:p>
        </w:tc>
        <w:tc>
          <w:tcPr>
            <w:tcW w:w="6720" w:type="dxa"/>
            <w:vAlign w:val="bottom"/>
            <w:tcBorders>
              <w:bottom w:val="single" w:sz="8" w:color="D2EEF5"/>
            </w:tcBorders>
            <w:gridSpan w:val="2"/>
            <w:shd w:val="clear" w:color="auto" w:fill="D2EEF5"/>
          </w:tcPr>
          <w:p>
            <w:pPr>
              <w:spacing w:after="0"/>
              <w:rPr>
                <w:sz w:val="20"/>
                <w:szCs w:val="20"/>
                <w:color w:val="auto"/>
              </w:rPr>
            </w:pPr>
            <w:r>
              <w:rPr>
                <w:rFonts w:ascii="Times New Roman" w:cs="Times New Roman" w:eastAsia="Times New Roman" w:hAnsi="Times New Roman"/>
                <w:sz w:val="20"/>
                <w:szCs w:val="20"/>
                <w:color w:val="auto"/>
              </w:rPr>
              <w:t>Other long-term assets - deferred tax assets</w:t>
            </w:r>
          </w:p>
        </w:tc>
        <w:tc>
          <w:tcPr>
            <w:tcW w:w="400" w:type="dxa"/>
            <w:vAlign w:val="bottom"/>
            <w:tcBorders>
              <w:bottom w:val="single" w:sz="8" w:color="D2EEF5"/>
            </w:tcBorders>
            <w:shd w:val="clear" w:color="auto" w:fill="D2EEF5"/>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w:t>
            </w:r>
          </w:p>
        </w:tc>
        <w:tc>
          <w:tcPr>
            <w:tcW w:w="340" w:type="dxa"/>
            <w:vAlign w:val="bottom"/>
            <w:tcBorders>
              <w:bottom w:val="single" w:sz="8" w:color="D2EEF5"/>
            </w:tcBorders>
            <w:shd w:val="clear" w:color="auto" w:fill="D2EEF5"/>
          </w:tcPr>
          <w:p>
            <w:pPr>
              <w:spacing w:after="0"/>
              <w:rPr>
                <w:sz w:val="24"/>
                <w:szCs w:val="24"/>
                <w:color w:val="auto"/>
              </w:rPr>
            </w:pPr>
          </w:p>
        </w:tc>
        <w:tc>
          <w:tcPr>
            <w:tcW w:w="20" w:type="dxa"/>
            <w:vAlign w:val="bottom"/>
            <w:tcBorders>
              <w:bottom w:val="single" w:sz="8" w:color="D2EEF5"/>
            </w:tcBorders>
            <w:shd w:val="clear" w:color="auto" w:fill="D2EEF5"/>
          </w:tcPr>
          <w:p>
            <w:pPr>
              <w:spacing w:after="0"/>
              <w:rPr>
                <w:sz w:val="24"/>
                <w:szCs w:val="24"/>
                <w:color w:val="auto"/>
              </w:rPr>
            </w:pPr>
          </w:p>
        </w:tc>
        <w:tc>
          <w:tcPr>
            <w:tcW w:w="920" w:type="dxa"/>
            <w:vAlign w:val="bottom"/>
            <w:tcBorders>
              <w:bottom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20" w:type="dxa"/>
            <w:vAlign w:val="bottom"/>
            <w:tcBorders>
              <w:bottom w:val="single" w:sz="8" w:color="D2EEF5"/>
            </w:tcBorders>
            <w:shd w:val="clear" w:color="auto" w:fill="D2EEF5"/>
          </w:tcPr>
          <w:p>
            <w:pPr>
              <w:spacing w:after="0"/>
              <w:rPr>
                <w:sz w:val="24"/>
                <w:szCs w:val="24"/>
                <w:color w:val="auto"/>
              </w:rPr>
            </w:pPr>
          </w:p>
        </w:tc>
        <w:tc>
          <w:tcPr>
            <w:tcW w:w="20" w:type="dxa"/>
            <w:vAlign w:val="bottom"/>
            <w:tcBorders>
              <w:bottom w:val="single" w:sz="8" w:color="D2EEF5"/>
            </w:tcBorders>
            <w:shd w:val="clear" w:color="auto" w:fill="D2EEF5"/>
          </w:tcPr>
          <w:p>
            <w:pPr>
              <w:spacing w:after="0"/>
              <w:rPr>
                <w:sz w:val="24"/>
                <w:szCs w:val="24"/>
                <w:color w:val="auto"/>
              </w:rPr>
            </w:pPr>
          </w:p>
        </w:tc>
        <w:tc>
          <w:tcPr>
            <w:tcW w:w="560" w:type="dxa"/>
            <w:vAlign w:val="bottom"/>
            <w:tcBorders>
              <w:bottom w:val="single" w:sz="8" w:color="D2EEF5"/>
            </w:tcBorders>
            <w:shd w:val="clear" w:color="auto" w:fill="D2EEF5"/>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tcBorders>
              <w:bottom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275"/>
        </w:trPr>
        <w:tc>
          <w:tcPr>
            <w:tcW w:w="40" w:type="dxa"/>
            <w:vAlign w:val="bottom"/>
          </w:tcPr>
          <w:p>
            <w:pPr>
              <w:spacing w:after="0"/>
              <w:rPr>
                <w:sz w:val="23"/>
                <w:szCs w:val="23"/>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Long-term deferred tax liabilities</w:t>
            </w:r>
          </w:p>
        </w:tc>
        <w:tc>
          <w:tcPr>
            <w:tcW w:w="400" w:type="dxa"/>
            <w:vAlign w:val="bottom"/>
          </w:tcPr>
          <w:p>
            <w:pPr>
              <w:spacing w:after="0"/>
              <w:rPr>
                <w:sz w:val="23"/>
                <w:szCs w:val="23"/>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(2,130)</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(3,047)</w:t>
            </w:r>
          </w:p>
        </w:tc>
      </w:tr>
      <w:tr>
        <w:trPr>
          <w:trHeight w:val="25"/>
        </w:trPr>
        <w:tc>
          <w:tcPr>
            <w:tcW w:w="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r>
      <w:tr>
        <w:trPr>
          <w:trHeight w:val="279"/>
        </w:trPr>
        <w:tc>
          <w:tcPr>
            <w:tcW w:w="40" w:type="dxa"/>
            <w:vAlign w:val="bottom"/>
            <w:tcBorders>
              <w:top w:val="single" w:sz="8" w:color="D2EEF5"/>
              <w:bottom w:val="single" w:sz="8" w:color="D2EEF5"/>
            </w:tcBorders>
            <w:shd w:val="clear" w:color="auto" w:fill="D2EEF5"/>
          </w:tcPr>
          <w:p>
            <w:pPr>
              <w:spacing w:after="0"/>
              <w:rPr>
                <w:sz w:val="24"/>
                <w:szCs w:val="24"/>
                <w:color w:val="auto"/>
              </w:rPr>
            </w:pPr>
          </w:p>
        </w:tc>
        <w:tc>
          <w:tcPr>
            <w:tcW w:w="6700" w:type="dxa"/>
            <w:vAlign w:val="bottom"/>
            <w:tcBorders>
              <w:top w:val="single" w:sz="8" w:color="D2EEF5"/>
              <w:bottom w:val="single" w:sz="8" w:color="D2EEF5"/>
            </w:tcBorders>
            <w:shd w:val="clear" w:color="auto" w:fill="D2EEF5"/>
          </w:tcPr>
          <w:p>
            <w:pPr>
              <w:spacing w:after="0"/>
              <w:rPr>
                <w:sz w:val="20"/>
                <w:szCs w:val="20"/>
                <w:color w:val="auto"/>
              </w:rPr>
            </w:pPr>
            <w:r>
              <w:rPr>
                <w:rFonts w:ascii="Times New Roman" w:cs="Times New Roman" w:eastAsia="Times New Roman" w:hAnsi="Times New Roman"/>
                <w:sz w:val="20"/>
                <w:szCs w:val="20"/>
                <w:b w:val="1"/>
                <w:bCs w:val="1"/>
                <w:color w:val="auto"/>
              </w:rPr>
              <w:t>Net deferred tax liability</w:t>
            </w:r>
          </w:p>
        </w:tc>
        <w:tc>
          <w:tcPr>
            <w:tcW w:w="20" w:type="dxa"/>
            <w:vAlign w:val="bottom"/>
            <w:tcBorders>
              <w:top w:val="single" w:sz="8" w:color="D2EEF5"/>
              <w:bottom w:val="single" w:sz="8" w:color="auto"/>
            </w:tcBorders>
            <w:shd w:val="clear" w:color="auto" w:fill="D2EEF5"/>
          </w:tcPr>
          <w:p>
            <w:pPr>
              <w:spacing w:after="0"/>
              <w:rPr>
                <w:sz w:val="24"/>
                <w:szCs w:val="24"/>
                <w:color w:val="auto"/>
              </w:rPr>
            </w:pPr>
          </w:p>
        </w:tc>
        <w:tc>
          <w:tcPr>
            <w:tcW w:w="400" w:type="dxa"/>
            <w:vAlign w:val="bottom"/>
            <w:tcBorders>
              <w:top w:val="single" w:sz="8" w:color="auto"/>
              <w:bottom w:val="single" w:sz="8" w:color="auto"/>
            </w:tcBorders>
            <w:shd w:val="clear" w:color="auto" w:fill="D2EEF5"/>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w:t>
            </w:r>
          </w:p>
        </w:tc>
        <w:tc>
          <w:tcPr>
            <w:tcW w:w="1280" w:type="dxa"/>
            <w:vAlign w:val="bottom"/>
            <w:tcBorders>
              <w:top w:val="single" w:sz="8" w:color="auto"/>
              <w:bottom w:val="single" w:sz="8" w:color="auto"/>
            </w:tcBorders>
            <w:gridSpan w:val="3"/>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(2,130)</w:t>
            </w:r>
          </w:p>
        </w:tc>
        <w:tc>
          <w:tcPr>
            <w:tcW w:w="120" w:type="dxa"/>
            <w:vAlign w:val="bottom"/>
            <w:tcBorders>
              <w:top w:val="single" w:sz="8" w:color="D2EEF5"/>
              <w:bottom w:val="single" w:sz="8" w:color="D2EEF5"/>
            </w:tcBorders>
            <w:shd w:val="clear" w:color="auto" w:fill="D2EEF5"/>
          </w:tcPr>
          <w:p>
            <w:pPr>
              <w:spacing w:after="0"/>
              <w:rPr>
                <w:sz w:val="24"/>
                <w:szCs w:val="24"/>
                <w:color w:val="auto"/>
              </w:rPr>
            </w:pPr>
          </w:p>
        </w:tc>
        <w:tc>
          <w:tcPr>
            <w:tcW w:w="20" w:type="dxa"/>
            <w:vAlign w:val="bottom"/>
            <w:tcBorders>
              <w:top w:val="single" w:sz="8" w:color="D2EEF5"/>
              <w:bottom w:val="single" w:sz="8" w:color="auto"/>
            </w:tcBorders>
            <w:shd w:val="clear" w:color="auto" w:fill="D2EEF5"/>
          </w:tcPr>
          <w:p>
            <w:pPr>
              <w:spacing w:after="0"/>
              <w:rPr>
                <w:sz w:val="24"/>
                <w:szCs w:val="24"/>
                <w:color w:val="auto"/>
              </w:rPr>
            </w:pPr>
          </w:p>
        </w:tc>
        <w:tc>
          <w:tcPr>
            <w:tcW w:w="560" w:type="dxa"/>
            <w:vAlign w:val="bottom"/>
            <w:tcBorders>
              <w:top w:val="single" w:sz="8" w:color="auto"/>
              <w:bottom w:val="single" w:sz="8" w:color="auto"/>
            </w:tcBorders>
            <w:shd w:val="clear" w:color="auto" w:fill="D2EEF5"/>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tcBorders>
              <w:top w:val="single" w:sz="8" w:color="auto"/>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(3,047)</w:t>
            </w:r>
          </w:p>
        </w:tc>
      </w:tr>
      <w:tr>
        <w:trPr>
          <w:trHeight w:val="391"/>
        </w:trPr>
        <w:tc>
          <w:tcPr>
            <w:tcW w:w="40" w:type="dxa"/>
            <w:vAlign w:val="bottom"/>
          </w:tcPr>
          <w:p>
            <w:pPr>
              <w:spacing w:after="0"/>
              <w:rPr>
                <w:sz w:val="24"/>
                <w:szCs w:val="24"/>
                <w:color w:val="auto"/>
              </w:rPr>
            </w:pPr>
          </w:p>
        </w:tc>
        <w:tc>
          <w:tcPr>
            <w:tcW w:w="10220" w:type="dxa"/>
            <w:vAlign w:val="bottom"/>
            <w:gridSpan w:val="10"/>
          </w:tcPr>
          <w:p>
            <w:pPr>
              <w:ind w:left="680"/>
              <w:spacing w:after="0"/>
              <w:rPr>
                <w:sz w:val="20"/>
                <w:szCs w:val="20"/>
                <w:color w:val="auto"/>
              </w:rPr>
            </w:pPr>
            <w:r>
              <w:rPr>
                <w:rFonts w:ascii="Times New Roman" w:cs="Times New Roman" w:eastAsia="Times New Roman" w:hAnsi="Times New Roman"/>
                <w:sz w:val="20"/>
                <w:szCs w:val="20"/>
                <w:color w:val="auto"/>
              </w:rPr>
              <w:t>Income taxes paid (refunded), net exceeding 5 percent of total income taxes paid in the following jurisdictions for</w:t>
            </w:r>
          </w:p>
        </w:tc>
      </w:tr>
      <w:tr>
        <w:trPr>
          <w:trHeight w:val="267"/>
        </w:trPr>
        <w:tc>
          <w:tcPr>
            <w:tcW w:w="67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2025 were as follows:</w:t>
            </w: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97"/>
        </w:trPr>
        <w:tc>
          <w:tcPr>
            <w:tcW w:w="4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gridSpan w:val="5"/>
          </w:tcPr>
          <w:p>
            <w:pPr>
              <w:jc w:val="right"/>
              <w:spacing w:after="0"/>
              <w:rPr>
                <w:sz w:val="20"/>
                <w:szCs w:val="20"/>
                <w:color w:val="auto"/>
              </w:rPr>
            </w:pPr>
            <w:r>
              <w:rPr>
                <w:rFonts w:ascii="Times New Roman" w:cs="Times New Roman" w:eastAsia="Times New Roman" w:hAnsi="Times New Roman"/>
                <w:sz w:val="20"/>
                <w:szCs w:val="20"/>
                <w:b w:val="1"/>
                <w:bCs w:val="1"/>
                <w:color w:val="auto"/>
              </w:rPr>
              <w:t>Year ended December 31, 2025</w:t>
            </w:r>
          </w:p>
        </w:tc>
      </w:tr>
      <w:tr>
        <w:trPr>
          <w:trHeight w:val="42"/>
        </w:trPr>
        <w:tc>
          <w:tcPr>
            <w:tcW w:w="40" w:type="dxa"/>
            <w:vAlign w:val="bottom"/>
            <w:tcBorders>
              <w:bottom w:val="single" w:sz="8" w:color="D2EEF5"/>
            </w:tcBorders>
          </w:tcPr>
          <w:p>
            <w:pPr>
              <w:spacing w:after="0"/>
              <w:rPr>
                <w:sz w:val="3"/>
                <w:szCs w:val="3"/>
                <w:color w:val="auto"/>
              </w:rPr>
            </w:pPr>
          </w:p>
        </w:tc>
        <w:tc>
          <w:tcPr>
            <w:tcW w:w="6720" w:type="dxa"/>
            <w:vAlign w:val="bottom"/>
            <w:tcBorders>
              <w:bottom w:val="single" w:sz="8" w:color="D2EEF5"/>
            </w:tcBorders>
            <w:gridSpan w:val="2"/>
          </w:tcPr>
          <w:p>
            <w:pPr>
              <w:spacing w:after="0"/>
              <w:rPr>
                <w:sz w:val="3"/>
                <w:szCs w:val="3"/>
                <w:color w:val="auto"/>
              </w:rPr>
            </w:pPr>
          </w:p>
        </w:tc>
        <w:tc>
          <w:tcPr>
            <w:tcW w:w="400" w:type="dxa"/>
            <w:vAlign w:val="bottom"/>
            <w:tcBorders>
              <w:bottom w:val="single" w:sz="8" w:color="D2EEF5"/>
            </w:tcBorders>
          </w:tcPr>
          <w:p>
            <w:pPr>
              <w:spacing w:after="0"/>
              <w:rPr>
                <w:sz w:val="3"/>
                <w:szCs w:val="3"/>
                <w:color w:val="auto"/>
              </w:rPr>
            </w:pPr>
          </w:p>
        </w:tc>
        <w:tc>
          <w:tcPr>
            <w:tcW w:w="340" w:type="dxa"/>
            <w:vAlign w:val="bottom"/>
            <w:tcBorders>
              <w:bottom w:val="single" w:sz="8" w:color="D2EEF5"/>
            </w:tcBorders>
          </w:tcPr>
          <w:p>
            <w:pPr>
              <w:spacing w:after="0"/>
              <w:rPr>
                <w:sz w:val="3"/>
                <w:szCs w:val="3"/>
                <w:color w:val="auto"/>
              </w:rPr>
            </w:pPr>
          </w:p>
        </w:tc>
        <w:tc>
          <w:tcPr>
            <w:tcW w:w="20" w:type="dxa"/>
            <w:vAlign w:val="bottom"/>
            <w:tcBorders>
              <w:bottom w:val="single" w:sz="8" w:color="D2EEF5"/>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74"/>
        </w:trPr>
        <w:tc>
          <w:tcPr>
            <w:tcW w:w="40" w:type="dxa"/>
            <w:vAlign w:val="bottom"/>
            <w:tcBorders>
              <w:bottom w:val="single" w:sz="8" w:color="D2EEF5"/>
            </w:tcBorders>
            <w:shd w:val="clear" w:color="auto" w:fill="D2EEF5"/>
          </w:tcPr>
          <w:p>
            <w:pPr>
              <w:spacing w:after="0"/>
              <w:rPr>
                <w:sz w:val="23"/>
                <w:szCs w:val="23"/>
                <w:color w:val="auto"/>
              </w:rPr>
            </w:pPr>
          </w:p>
        </w:tc>
        <w:tc>
          <w:tcPr>
            <w:tcW w:w="6720" w:type="dxa"/>
            <w:vAlign w:val="bottom"/>
            <w:tcBorders>
              <w:bottom w:val="single" w:sz="8" w:color="D2EEF5"/>
            </w:tcBorders>
            <w:gridSpan w:val="2"/>
            <w:shd w:val="clear" w:color="auto" w:fill="D2EEF5"/>
          </w:tcPr>
          <w:p>
            <w:pPr>
              <w:ind w:left="240"/>
              <w:spacing w:after="0"/>
              <w:rPr>
                <w:sz w:val="20"/>
                <w:szCs w:val="20"/>
                <w:color w:val="auto"/>
              </w:rPr>
            </w:pPr>
            <w:r>
              <w:rPr>
                <w:rFonts w:ascii="Times New Roman" w:cs="Times New Roman" w:eastAsia="Times New Roman" w:hAnsi="Times New Roman"/>
                <w:sz w:val="20"/>
                <w:szCs w:val="20"/>
                <w:color w:val="auto"/>
              </w:rPr>
              <w:t>States</w:t>
            </w:r>
          </w:p>
        </w:tc>
        <w:tc>
          <w:tcPr>
            <w:tcW w:w="400" w:type="dxa"/>
            <w:vAlign w:val="bottom"/>
            <w:tcBorders>
              <w:bottom w:val="single" w:sz="8" w:color="D2EEF5"/>
            </w:tcBorders>
            <w:shd w:val="clear" w:color="auto" w:fill="D2EEF5"/>
          </w:tcPr>
          <w:p>
            <w:pPr>
              <w:spacing w:after="0"/>
              <w:rPr>
                <w:sz w:val="23"/>
                <w:szCs w:val="23"/>
                <w:color w:val="auto"/>
              </w:rPr>
            </w:pPr>
          </w:p>
        </w:tc>
        <w:tc>
          <w:tcPr>
            <w:tcW w:w="340" w:type="dxa"/>
            <w:vAlign w:val="bottom"/>
            <w:tcBorders>
              <w:bottom w:val="single" w:sz="8" w:color="D2EEF5"/>
            </w:tcBorders>
            <w:shd w:val="clear" w:color="auto" w:fill="D2EEF5"/>
          </w:tcPr>
          <w:p>
            <w:pPr>
              <w:spacing w:after="0"/>
              <w:rPr>
                <w:sz w:val="23"/>
                <w:szCs w:val="23"/>
                <w:color w:val="auto"/>
              </w:rPr>
            </w:pPr>
          </w:p>
        </w:tc>
        <w:tc>
          <w:tcPr>
            <w:tcW w:w="20" w:type="dxa"/>
            <w:vAlign w:val="bottom"/>
            <w:tcBorders>
              <w:bottom w:val="single" w:sz="8" w:color="D2EEF5"/>
            </w:tcBorders>
            <w:shd w:val="clear" w:color="auto" w:fill="D2EEF5"/>
          </w:tcPr>
          <w:p>
            <w:pPr>
              <w:spacing w:after="0"/>
              <w:rPr>
                <w:sz w:val="23"/>
                <w:szCs w:val="23"/>
                <w:color w:val="auto"/>
              </w:rPr>
            </w:pPr>
          </w:p>
        </w:tc>
        <w:tc>
          <w:tcPr>
            <w:tcW w:w="920" w:type="dxa"/>
            <w:vAlign w:val="bottom"/>
            <w:tcBorders>
              <w:bottom w:val="single" w:sz="8" w:color="D2EEF5"/>
            </w:tcBorders>
            <w:shd w:val="clear" w:color="auto" w:fill="D2EEF5"/>
          </w:tcPr>
          <w:p>
            <w:pPr>
              <w:jc w:val="right"/>
              <w:ind w:right="680"/>
              <w:spacing w:after="0"/>
              <w:rPr>
                <w:sz w:val="20"/>
                <w:szCs w:val="20"/>
                <w:color w:val="auto"/>
              </w:rPr>
            </w:pPr>
            <w:r>
              <w:rPr>
                <w:rFonts w:ascii="Times New Roman" w:cs="Times New Roman" w:eastAsia="Times New Roman" w:hAnsi="Times New Roman"/>
                <w:sz w:val="20"/>
                <w:szCs w:val="20"/>
                <w:b w:val="1"/>
                <w:bCs w:val="1"/>
                <w:color w:val="auto"/>
              </w:rPr>
              <w:t>$</w:t>
            </w:r>
          </w:p>
        </w:tc>
        <w:tc>
          <w:tcPr>
            <w:tcW w:w="120" w:type="dxa"/>
            <w:vAlign w:val="bottom"/>
            <w:tcBorders>
              <w:bottom w:val="single" w:sz="8" w:color="D2EEF5"/>
            </w:tcBorders>
            <w:shd w:val="clear" w:color="auto" w:fill="D2EEF5"/>
          </w:tcPr>
          <w:p>
            <w:pPr>
              <w:spacing w:after="0"/>
              <w:rPr>
                <w:sz w:val="23"/>
                <w:szCs w:val="23"/>
                <w:color w:val="auto"/>
              </w:rPr>
            </w:pPr>
          </w:p>
        </w:tc>
        <w:tc>
          <w:tcPr>
            <w:tcW w:w="20" w:type="dxa"/>
            <w:vAlign w:val="bottom"/>
            <w:tcBorders>
              <w:bottom w:val="single" w:sz="8" w:color="D2EEF5"/>
            </w:tcBorders>
            <w:shd w:val="clear" w:color="auto" w:fill="D2EEF5"/>
          </w:tcPr>
          <w:p>
            <w:pPr>
              <w:spacing w:after="0"/>
              <w:rPr>
                <w:sz w:val="23"/>
                <w:szCs w:val="23"/>
                <w:color w:val="auto"/>
              </w:rPr>
            </w:pPr>
          </w:p>
        </w:tc>
        <w:tc>
          <w:tcPr>
            <w:tcW w:w="560" w:type="dxa"/>
            <w:vAlign w:val="bottom"/>
            <w:tcBorders>
              <w:bottom w:val="single" w:sz="8" w:color="D2EEF5"/>
            </w:tcBorders>
            <w:shd w:val="clear" w:color="auto" w:fill="D2EEF5"/>
          </w:tcPr>
          <w:p>
            <w:pPr>
              <w:spacing w:after="0"/>
              <w:rPr>
                <w:sz w:val="23"/>
                <w:szCs w:val="23"/>
                <w:color w:val="auto"/>
              </w:rPr>
            </w:pPr>
          </w:p>
        </w:tc>
        <w:tc>
          <w:tcPr>
            <w:tcW w:w="1120" w:type="dxa"/>
            <w:vAlign w:val="bottom"/>
            <w:tcBorders>
              <w:bottom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20</w:t>
            </w:r>
          </w:p>
        </w:tc>
      </w:tr>
      <w:tr>
        <w:trPr>
          <w:trHeight w:val="275"/>
        </w:trPr>
        <w:tc>
          <w:tcPr>
            <w:tcW w:w="40" w:type="dxa"/>
            <w:vAlign w:val="bottom"/>
          </w:tcPr>
          <w:p>
            <w:pPr>
              <w:spacing w:after="0"/>
              <w:rPr>
                <w:sz w:val="23"/>
                <w:szCs w:val="23"/>
                <w:color w:val="auto"/>
              </w:rPr>
            </w:pPr>
          </w:p>
        </w:tc>
        <w:tc>
          <w:tcPr>
            <w:tcW w:w="67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Canada</w:t>
            </w: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(171)</w:t>
            </w:r>
          </w:p>
        </w:tc>
      </w:tr>
      <w:tr>
        <w:trPr>
          <w:trHeight w:val="41"/>
        </w:trPr>
        <w:tc>
          <w:tcPr>
            <w:tcW w:w="40" w:type="dxa"/>
            <w:vAlign w:val="bottom"/>
          </w:tcPr>
          <w:p>
            <w:pPr>
              <w:spacing w:after="0"/>
              <w:rPr>
                <w:sz w:val="3"/>
                <w:szCs w:val="3"/>
                <w:color w:val="auto"/>
              </w:rPr>
            </w:pPr>
          </w:p>
        </w:tc>
        <w:tc>
          <w:tcPr>
            <w:tcW w:w="6720" w:type="dxa"/>
            <w:vAlign w:val="bottom"/>
            <w:gridSpan w:val="2"/>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339"/>
        </w:trPr>
        <w:tc>
          <w:tcPr>
            <w:tcW w:w="40" w:type="dxa"/>
            <w:vAlign w:val="bottom"/>
            <w:tcBorders>
              <w:bottom w:val="single" w:sz="8" w:color="D2EEF5"/>
            </w:tcBorders>
            <w:shd w:val="clear" w:color="auto" w:fill="D2EEF5"/>
          </w:tcPr>
          <w:p>
            <w:pPr>
              <w:spacing w:after="0"/>
              <w:rPr>
                <w:sz w:val="24"/>
                <w:szCs w:val="24"/>
                <w:color w:val="auto"/>
              </w:rPr>
            </w:pPr>
          </w:p>
        </w:tc>
        <w:tc>
          <w:tcPr>
            <w:tcW w:w="6720" w:type="dxa"/>
            <w:vAlign w:val="bottom"/>
            <w:tcBorders>
              <w:bottom w:val="single" w:sz="8" w:color="D2EEF5"/>
            </w:tcBorders>
            <w:gridSpan w:val="2"/>
            <w:shd w:val="clear" w:color="auto" w:fill="D2EEF5"/>
          </w:tcPr>
          <w:p>
            <w:pPr>
              <w:ind w:left="240"/>
              <w:spacing w:after="0"/>
              <w:rPr>
                <w:sz w:val="20"/>
                <w:szCs w:val="20"/>
                <w:color w:val="auto"/>
              </w:rPr>
            </w:pPr>
            <w:r>
              <w:rPr>
                <w:rFonts w:ascii="Times New Roman" w:cs="Times New Roman" w:eastAsia="Times New Roman" w:hAnsi="Times New Roman"/>
                <w:sz w:val="20"/>
                <w:szCs w:val="20"/>
                <w:color w:val="auto"/>
              </w:rPr>
              <w:t>Spain</w:t>
            </w:r>
          </w:p>
        </w:tc>
        <w:tc>
          <w:tcPr>
            <w:tcW w:w="400" w:type="dxa"/>
            <w:vAlign w:val="bottom"/>
            <w:tcBorders>
              <w:bottom w:val="single" w:sz="8" w:color="D2EEF5"/>
            </w:tcBorders>
            <w:shd w:val="clear" w:color="auto" w:fill="D2EEF5"/>
          </w:tcPr>
          <w:p>
            <w:pPr>
              <w:spacing w:after="0"/>
              <w:rPr>
                <w:sz w:val="24"/>
                <w:szCs w:val="24"/>
                <w:color w:val="auto"/>
              </w:rPr>
            </w:pPr>
          </w:p>
        </w:tc>
        <w:tc>
          <w:tcPr>
            <w:tcW w:w="340" w:type="dxa"/>
            <w:vAlign w:val="bottom"/>
            <w:tcBorders>
              <w:bottom w:val="single" w:sz="8" w:color="D2EEF5"/>
            </w:tcBorders>
            <w:shd w:val="clear" w:color="auto" w:fill="D2EEF5"/>
          </w:tcPr>
          <w:p>
            <w:pPr>
              <w:spacing w:after="0"/>
              <w:rPr>
                <w:sz w:val="24"/>
                <w:szCs w:val="24"/>
                <w:color w:val="auto"/>
              </w:rPr>
            </w:pPr>
          </w:p>
        </w:tc>
        <w:tc>
          <w:tcPr>
            <w:tcW w:w="20" w:type="dxa"/>
            <w:vAlign w:val="bottom"/>
            <w:tcBorders>
              <w:bottom w:val="single" w:sz="8" w:color="D2EEF5"/>
            </w:tcBorders>
            <w:shd w:val="clear" w:color="auto" w:fill="D2EEF5"/>
          </w:tcPr>
          <w:p>
            <w:pPr>
              <w:spacing w:after="0"/>
              <w:rPr>
                <w:sz w:val="24"/>
                <w:szCs w:val="24"/>
                <w:color w:val="auto"/>
              </w:rPr>
            </w:pPr>
          </w:p>
        </w:tc>
        <w:tc>
          <w:tcPr>
            <w:tcW w:w="920" w:type="dxa"/>
            <w:vAlign w:val="bottom"/>
            <w:tcBorders>
              <w:bottom w:val="single" w:sz="8" w:color="D2EEF5"/>
            </w:tcBorders>
            <w:shd w:val="clear" w:color="auto" w:fill="D2EEF5"/>
          </w:tcPr>
          <w:p>
            <w:pPr>
              <w:spacing w:after="0"/>
              <w:rPr>
                <w:sz w:val="24"/>
                <w:szCs w:val="24"/>
                <w:color w:val="auto"/>
              </w:rPr>
            </w:pPr>
          </w:p>
        </w:tc>
        <w:tc>
          <w:tcPr>
            <w:tcW w:w="120" w:type="dxa"/>
            <w:vAlign w:val="bottom"/>
            <w:tcBorders>
              <w:bottom w:val="single" w:sz="8" w:color="D2EEF5"/>
            </w:tcBorders>
            <w:shd w:val="clear" w:color="auto" w:fill="D2EEF5"/>
          </w:tcPr>
          <w:p>
            <w:pPr>
              <w:spacing w:after="0"/>
              <w:rPr>
                <w:sz w:val="24"/>
                <w:szCs w:val="24"/>
                <w:color w:val="auto"/>
              </w:rPr>
            </w:pPr>
          </w:p>
        </w:tc>
        <w:tc>
          <w:tcPr>
            <w:tcW w:w="20" w:type="dxa"/>
            <w:vAlign w:val="bottom"/>
            <w:tcBorders>
              <w:bottom w:val="single" w:sz="8" w:color="D2EEF5"/>
            </w:tcBorders>
            <w:shd w:val="clear" w:color="auto" w:fill="D2EEF5"/>
          </w:tcPr>
          <w:p>
            <w:pPr>
              <w:spacing w:after="0"/>
              <w:rPr>
                <w:sz w:val="24"/>
                <w:szCs w:val="24"/>
                <w:color w:val="auto"/>
              </w:rPr>
            </w:pPr>
          </w:p>
        </w:tc>
        <w:tc>
          <w:tcPr>
            <w:tcW w:w="560" w:type="dxa"/>
            <w:vAlign w:val="bottom"/>
            <w:tcBorders>
              <w:bottom w:val="single" w:sz="8" w:color="D2EEF5"/>
            </w:tcBorders>
            <w:shd w:val="clear" w:color="auto" w:fill="D2EEF5"/>
          </w:tcPr>
          <w:p>
            <w:pPr>
              <w:spacing w:after="0"/>
              <w:rPr>
                <w:sz w:val="24"/>
                <w:szCs w:val="24"/>
                <w:color w:val="auto"/>
              </w:rPr>
            </w:pPr>
          </w:p>
        </w:tc>
        <w:tc>
          <w:tcPr>
            <w:tcW w:w="1120" w:type="dxa"/>
            <w:vAlign w:val="bottom"/>
            <w:tcBorders>
              <w:bottom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20"/>
                <w:szCs w:val="20"/>
                <w:b w:val="1"/>
                <w:bCs w:val="1"/>
                <w:color w:val="auto"/>
              </w:rPr>
              <w:t>195</w:t>
            </w:r>
          </w:p>
        </w:tc>
      </w:tr>
      <w:tr>
        <w:trPr>
          <w:trHeight w:val="254"/>
        </w:trPr>
        <w:tc>
          <w:tcPr>
            <w:tcW w:w="40" w:type="dxa"/>
            <w:vAlign w:val="bottom"/>
            <w:tcBorders>
              <w:top w:val="single" w:sz="8" w:color="D2EEF5"/>
            </w:tcBorders>
          </w:tcPr>
          <w:p>
            <w:pPr>
              <w:spacing w:after="0"/>
              <w:rPr>
                <w:sz w:val="22"/>
                <w:szCs w:val="22"/>
                <w:color w:val="auto"/>
              </w:rPr>
            </w:pPr>
          </w:p>
        </w:tc>
        <w:tc>
          <w:tcPr>
            <w:tcW w:w="6720" w:type="dxa"/>
            <w:vAlign w:val="bottom"/>
            <w:tcBorders>
              <w:top w:val="single" w:sz="8" w:color="D2EEF5"/>
            </w:tcBorders>
            <w:gridSpan w:val="2"/>
          </w:tcPr>
          <w:p>
            <w:pPr>
              <w:spacing w:after="0"/>
              <w:rPr>
                <w:sz w:val="20"/>
                <w:szCs w:val="20"/>
                <w:color w:val="auto"/>
              </w:rPr>
            </w:pPr>
            <w:r>
              <w:rPr>
                <w:rFonts w:ascii="Times New Roman" w:cs="Times New Roman" w:eastAsia="Times New Roman" w:hAnsi="Times New Roman"/>
                <w:sz w:val="20"/>
                <w:szCs w:val="20"/>
                <w:b w:val="1"/>
                <w:bCs w:val="1"/>
                <w:color w:val="auto"/>
              </w:rPr>
              <w:t>Total taxes paid</w:t>
            </w:r>
          </w:p>
        </w:tc>
        <w:tc>
          <w:tcPr>
            <w:tcW w:w="400" w:type="dxa"/>
            <w:vAlign w:val="bottom"/>
            <w:tcBorders>
              <w:top w:val="single" w:sz="8" w:color="D2EEF5"/>
            </w:tcBorders>
          </w:tcPr>
          <w:p>
            <w:pPr>
              <w:spacing w:after="0"/>
              <w:rPr>
                <w:sz w:val="22"/>
                <w:szCs w:val="22"/>
                <w:color w:val="auto"/>
              </w:rPr>
            </w:pPr>
          </w:p>
        </w:tc>
        <w:tc>
          <w:tcPr>
            <w:tcW w:w="340" w:type="dxa"/>
            <w:vAlign w:val="bottom"/>
            <w:tcBorders>
              <w:top w:val="single" w:sz="8" w:color="D2EEF5"/>
            </w:tcBorders>
          </w:tcPr>
          <w:p>
            <w:pPr>
              <w:spacing w:after="0"/>
              <w:rPr>
                <w:sz w:val="22"/>
                <w:szCs w:val="22"/>
                <w:color w:val="auto"/>
              </w:rPr>
            </w:pPr>
          </w:p>
        </w:tc>
        <w:tc>
          <w:tcPr>
            <w:tcW w:w="20" w:type="dxa"/>
            <w:vAlign w:val="bottom"/>
            <w:tcBorders>
              <w:top w:val="single" w:sz="8" w:color="D2EEF5"/>
            </w:tcBorders>
          </w:tcPr>
          <w:p>
            <w:pPr>
              <w:spacing w:after="0"/>
              <w:rPr>
                <w:sz w:val="22"/>
                <w:szCs w:val="22"/>
                <w:color w:val="auto"/>
              </w:rPr>
            </w:pPr>
          </w:p>
        </w:tc>
        <w:tc>
          <w:tcPr>
            <w:tcW w:w="920" w:type="dxa"/>
            <w:vAlign w:val="bottom"/>
            <w:tcBorders>
              <w:top w:val="single" w:sz="8" w:color="auto"/>
            </w:tcBorders>
          </w:tcPr>
          <w:p>
            <w:pPr>
              <w:jc w:val="right"/>
              <w:ind w:right="680"/>
              <w:spacing w:after="0"/>
              <w:rPr>
                <w:sz w:val="20"/>
                <w:szCs w:val="20"/>
                <w:color w:val="auto"/>
              </w:rPr>
            </w:pPr>
            <w:r>
              <w:rPr>
                <w:rFonts w:ascii="Times New Roman" w:cs="Times New Roman" w:eastAsia="Times New Roman" w:hAnsi="Times New Roman"/>
                <w:sz w:val="20"/>
                <w:szCs w:val="20"/>
                <w:b w:val="1"/>
                <w:bCs w:val="1"/>
                <w:color w:val="auto"/>
              </w:rPr>
              <w:t>$</w:t>
            </w:r>
          </w:p>
        </w:tc>
        <w:tc>
          <w:tcPr>
            <w:tcW w:w="1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44</w:t>
            </w:r>
          </w:p>
        </w:tc>
      </w:tr>
      <w:tr>
        <w:trPr>
          <w:trHeight w:val="24"/>
        </w:trPr>
        <w:tc>
          <w:tcPr>
            <w:tcW w:w="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5356225</wp:posOffset>
                </wp:positionH>
                <wp:positionV relativeFrom="paragraph">
                  <wp:posOffset>-2619375</wp:posOffset>
                </wp:positionV>
                <wp:extent cx="85725"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725" cy="4763"/>
                        </a:xfrm>
                        <a:prstGeom prst="line">
                          <a:avLst/>
                        </a:prstGeom>
                        <a:solidFill>
                          <a:srgbClr val="FFFFFF"/>
                        </a:solidFill>
                        <a:ln w="12955">
                          <a:solidFill>
                            <a:srgbClr val="FFFFFF"/>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1.75pt,-206.2499pt" to="428.5pt,-206.2499pt" o:allowincell="f" strokecolor="#FFFFFF" strokeweight="1.0201pt"/>
            </w:pict>
          </mc:Fallback>
        </mc:AlternateContent>
      </w:r>
    </w:p>
    <w:p>
      <w:pPr>
        <w:spacing w:after="0" w:line="131"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As of December 31, 2025, the Company had federal and state NOL carryforwards of approximately $238,106 and $208,702, respectively. The federal and state NOL carryforwards, if not utilized, will begin to expire in 2037 and 2027, respectively, and $224,463 of the federal losses are indefinite. As of December 31, 2024, the Company had federal and state NOL carryforwards of approximately $183,800 and $136,400, respectively. Foreign NOL carryforwards were approximately $17,154 at December 31, 2025. The foreign NOLs, if not utilized, will begin to expire in 2041.</w:t>
      </w:r>
    </w:p>
    <w:p>
      <w:pPr>
        <w:spacing w:after="0" w:line="158"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The Company determined the amount of its valuation allowance based on estimates regarding the timing and amount of the reversal of taxable temporary differences, expected future taxable income by jurisdiction, and the impact of tax planning strategies. As of December 31, 2025, and 2024, the Company believes it is more-likely-than-not that it will not be able to realize its U.S. deferred tax assets and therefore has maintained a full valuation allowance against its U.S. deferred tax assets. The Company has also provided valuation allowances against certain foreign deferred tax assets.</w:t>
      </w:r>
    </w:p>
    <w:p>
      <w:pPr>
        <w:sectPr>
          <w:pgSz w:w="12240" w:h="15840" w:orient="portrait"/>
          <w:cols w:equalWidth="0" w:num="1">
            <w:col w:w="10260"/>
          </w:cols>
          <w:pgMar w:left="1000" w:top="420" w:right="980" w:bottom="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89</w:t>
      </w:r>
    </w:p>
    <w:p>
      <w:pPr>
        <w:sectPr>
          <w:pgSz w:w="12240" w:h="15840" w:orient="portrait"/>
          <w:cols w:equalWidth="0" w:num="1">
            <w:col w:w="10260"/>
          </w:cols>
          <w:pgMar w:left="1000" w:top="420" w:right="980" w:bottom="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Hydrofarm Holdings Group, Inc.</w:t>
      </w:r>
    </w:p>
    <w:p>
      <w:pPr>
        <w:spacing w:after="0" w:line="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pacing w:after="0" w:line="343"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Carryforwards of NOLs are subject to possible limitation should a change in ownership occur, as defined by Internal Revenue Code Section 382. An ownership change is generally defined as a greater than 50% increase in equity ownership by 5% stockholders in any three-year period. The Company experienced an aggregate ownership change which exceeded the 50% threshold in connection with the Company's initial public offering ("IPO"), and future changes in stock ownership may occur. To the extent that the Company earns net taxable income, the Company's ability to use NOLs to offset such taxable income may be subject to limitations. The annual limitation resulting from the IPO ownership change is not expected to result in the expiration of the NOL carry forwards before utilization.</w:t>
      </w:r>
    </w:p>
    <w:p>
      <w:pPr>
        <w:spacing w:after="0" w:line="163"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In 2025 and 2024, the Company did not record any liabilities related to uncertain tax positions. The Company does not have any tax positions for which it is reasonably possible that the total amount of gross unrecognized tax benefits will significantly change within 12 months of December 31, 2025. The Company recognizes interest and penalties relating to unrecognized tax benefits as part of its income tax expense. The Company’s major filing jurisdictions are the United States and Canada. Due to the Company’s NOL carryforwards, the Company’s income tax returns remain subject to examination by federal, foreign and most state taxing authorities for all tax years.</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15. COMMITMENTS AND CONTINGENCIES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Purchase commitments</w:t>
      </w:r>
    </w:p>
    <w:p>
      <w:pPr>
        <w:spacing w:after="0" w:line="210" w:lineRule="exact"/>
        <w:rPr>
          <w:sz w:val="20"/>
          <w:szCs w:val="20"/>
          <w:color w:val="auto"/>
        </w:rPr>
      </w:pPr>
    </w:p>
    <w:p>
      <w:pPr>
        <w:jc w:val="both"/>
        <w:ind w:right="20" w:firstLine="720"/>
        <w:spacing w:after="0" w:line="287" w:lineRule="auto"/>
        <w:rPr>
          <w:sz w:val="20"/>
          <w:szCs w:val="20"/>
          <w:color w:val="auto"/>
        </w:rPr>
      </w:pPr>
      <w:r>
        <w:rPr>
          <w:rFonts w:ascii="Times New Roman" w:cs="Times New Roman" w:eastAsia="Times New Roman" w:hAnsi="Times New Roman"/>
          <w:sz w:val="20"/>
          <w:szCs w:val="20"/>
          <w:color w:val="auto"/>
        </w:rPr>
        <w:t>From time to time in the normal course of business, the Company will enter into agreements with suppliers which provide favorable pricing in return for a commitment to purchase minimum amounts of inventory over a defined time period.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Contingencies</w:t>
      </w:r>
    </w:p>
    <w:p>
      <w:pPr>
        <w:spacing w:after="0" w:line="210"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In the normal course of business, certain claims have been brought against the Company and, where applicable, its suppliers. While there is inherent difficulty in predicting the outcome of such matters, management has vigorously contested the validity of these claims. Based on available information, management does not expect that the outcome of any matters, individually or in the aggregate, would have a material adverse effect on the consolidated financial position, results of operations, cash flows or future earnings of the Company.</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 FAIR VALUE MEASUREMENTS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Recurring and Nonrecurring</w:t>
      </w:r>
    </w:p>
    <w:p>
      <w:pPr>
        <w:spacing w:after="0" w:line="208"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0"/>
          <w:szCs w:val="20"/>
          <w:color w:val="auto"/>
        </w:rPr>
        <w:t xml:space="preserve">As described in Note 4 – </w:t>
      </w:r>
      <w:r>
        <w:rPr>
          <w:rFonts w:ascii="Times New Roman" w:cs="Times New Roman" w:eastAsia="Times New Roman" w:hAnsi="Times New Roman"/>
          <w:sz w:val="20"/>
          <w:szCs w:val="20"/>
          <w:i w:val="1"/>
          <w:iCs w:val="1"/>
          <w:color w:val="auto"/>
        </w:rPr>
        <w:t>Restructuring and Asset Sales,</w:t>
      </w:r>
      <w:r>
        <w:rPr>
          <w:rFonts w:ascii="Times New Roman" w:cs="Times New Roman" w:eastAsia="Times New Roman" w:hAnsi="Times New Roman"/>
          <w:sz w:val="20"/>
          <w:szCs w:val="20"/>
          <w:color w:val="auto"/>
        </w:rPr>
        <w:t xml:space="preserve"> during 2024, the Company sold approximately 20 acres of the 140 acres of excess owned land at its Goshen, New York location. The Company measured the held-for-sale land asset at estimated fair value based on the agreement, which was considered a Level 2 fair value measurement. The land had a carrying value of $470, which was consistent with the estimated sale price less costs to sell, and therefore no estimated gain or loss was recorded during 2024. The transaction closed in the fourth quarter of 2024, and the Company had no assets held for sale as of December 31, 2024 or 2025.</w:t>
      </w:r>
    </w:p>
    <w:p>
      <w:pPr>
        <w:spacing w:after="0" w:line="162"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 xml:space="preserve">As described in Note 5 – </w:t>
      </w:r>
      <w:r>
        <w:rPr>
          <w:rFonts w:ascii="Times New Roman" w:cs="Times New Roman" w:eastAsia="Times New Roman" w:hAnsi="Times New Roman"/>
          <w:sz w:val="20"/>
          <w:szCs w:val="20"/>
          <w:i w:val="1"/>
          <w:iCs w:val="1"/>
          <w:color w:val="auto"/>
        </w:rPr>
        <w:t>Intangible Assets</w:t>
      </w:r>
      <w:r>
        <w:rPr>
          <w:rFonts w:ascii="Times New Roman" w:cs="Times New Roman" w:eastAsia="Times New Roman" w:hAnsi="Times New Roman"/>
          <w:sz w:val="20"/>
          <w:szCs w:val="20"/>
          <w:color w:val="auto"/>
        </w:rPr>
        <w:t>, during the fourth quarter of fiscal 2025, as a result of industry conditions, primarily attributable to an agricultural oversupply impacting our market and resulting in a decrease in indoor and outdoor cultivation, as well as continued declines in operating cash flows and profitability, the Company assessed long-lived assets for impairment and recorded an impairment charge of $232,179. Of the impairment charge, $228,395 was related to finite-lived intangible assets and $3,784 was related to property, plant, and equipment. The Company estimated fair value based on the income approach and market approach. Under the income approach, the Company estimated the fair value of the asset group on the present value of estimated future cash flows, which the Company considered to be a level 3 unobservable input in the fair value hierarchy.</w:t>
      </w:r>
    </w:p>
    <w:p>
      <w:pPr>
        <w:sectPr>
          <w:pgSz w:w="12240" w:h="15840" w:orient="portrait"/>
          <w:cols w:equalWidth="0" w:num="1">
            <w:col w:w="10260"/>
          </w:cols>
          <w:pgMar w:left="1000" w:top="4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90</w:t>
      </w:r>
    </w:p>
    <w:p>
      <w:pPr>
        <w:sectPr>
          <w:pgSz w:w="12240" w:h="15840" w:orient="portrait"/>
          <w:cols w:equalWidth="0" w:num="1">
            <w:col w:w="10260"/>
          </w:cols>
          <w:pgMar w:left="1000" w:top="420" w:right="980" w:bottom="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Hydrofarm Holdings Group, Inc.</w:t>
      </w:r>
    </w:p>
    <w:p>
      <w:pPr>
        <w:spacing w:after="0" w:line="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Fair Value Measurements</w:t>
      </w:r>
    </w:p>
    <w:p>
      <w:pPr>
        <w:spacing w:after="0" w:line="208"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color w:val="auto"/>
        </w:rPr>
        <w:t>The following table summarizes the fair value of the Company’s assets and liabilities which are provided for disclosure purposes: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3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20"/>
                <w:szCs w:val="20"/>
                <w:b w:val="1"/>
                <w:bCs w:val="1"/>
                <w:color w:val="auto"/>
              </w:rPr>
              <w:t>December 31, 2024</w:t>
            </w:r>
          </w:p>
        </w:tc>
      </w:tr>
      <w:tr>
        <w:trPr>
          <w:trHeight w:val="188"/>
        </w:trPr>
        <w:tc>
          <w:tcPr>
            <w:tcW w:w="3660" w:type="dxa"/>
            <w:vAlign w:val="bottom"/>
          </w:tcPr>
          <w:p>
            <w:pPr>
              <w:spacing w:after="0"/>
              <w:rPr>
                <w:sz w:val="16"/>
                <w:szCs w:val="16"/>
                <w:color w:val="auto"/>
              </w:rPr>
            </w:pPr>
          </w:p>
        </w:tc>
        <w:tc>
          <w:tcPr>
            <w:tcW w:w="156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w w:val="96"/>
              </w:rPr>
              <w:t>Fair Value</w:t>
            </w:r>
          </w:p>
        </w:tc>
        <w:tc>
          <w:tcPr>
            <w:tcW w:w="180" w:type="dxa"/>
            <w:vAlign w:val="bottom"/>
          </w:tcPr>
          <w:p>
            <w:pPr>
              <w:spacing w:after="0"/>
              <w:rPr>
                <w:sz w:val="16"/>
                <w:szCs w:val="16"/>
                <w:color w:val="auto"/>
              </w:rPr>
            </w:pPr>
          </w:p>
        </w:tc>
        <w:tc>
          <w:tcPr>
            <w:tcW w:w="1020" w:type="dxa"/>
            <w:vAlign w:val="bottom"/>
          </w:tcPr>
          <w:p>
            <w:pPr>
              <w:jc w:val="right"/>
              <w:ind w:right="148"/>
              <w:spacing w:after="0" w:line="189"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130"/>
              <w:spacing w:after="0" w:line="189"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168"/>
              <w:spacing w:after="0" w:line="189"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130"/>
              <w:spacing w:after="0" w:line="189" w:lineRule="exact"/>
              <w:rPr>
                <w:sz w:val="20"/>
                <w:szCs w:val="20"/>
                <w:color w:val="auto"/>
              </w:rPr>
            </w:pPr>
            <w:r>
              <w:rPr>
                <w:rFonts w:ascii="Times New Roman" w:cs="Times New Roman" w:eastAsia="Times New Roman" w:hAnsi="Times New Roman"/>
                <w:sz w:val="18"/>
                <w:szCs w:val="18"/>
                <w:b w:val="1"/>
                <w:bCs w:val="1"/>
                <w:color w:val="auto"/>
              </w:rPr>
              <w:t>Estimated</w:t>
            </w:r>
          </w:p>
        </w:tc>
      </w:tr>
      <w:tr>
        <w:trPr>
          <w:trHeight w:val="256"/>
        </w:trPr>
        <w:tc>
          <w:tcPr>
            <w:tcW w:w="3660" w:type="dxa"/>
            <w:vAlign w:val="bottom"/>
          </w:tcPr>
          <w:p>
            <w:pPr>
              <w:spacing w:after="0"/>
              <w:rPr>
                <w:sz w:val="22"/>
                <w:szCs w:val="22"/>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Hierarchy Level</w:t>
            </w:r>
          </w:p>
        </w:tc>
        <w:tc>
          <w:tcPr>
            <w:tcW w:w="180" w:type="dxa"/>
            <w:vAlign w:val="bottom"/>
          </w:tcPr>
          <w:p>
            <w:pPr>
              <w:spacing w:after="0"/>
              <w:rPr>
                <w:sz w:val="22"/>
                <w:szCs w:val="22"/>
                <w:color w:val="auto"/>
              </w:rPr>
            </w:pPr>
          </w:p>
        </w:tc>
        <w:tc>
          <w:tcPr>
            <w:tcW w:w="1020" w:type="dxa"/>
            <w:vAlign w:val="bottom"/>
          </w:tcPr>
          <w:p>
            <w:pPr>
              <w:jc w:val="right"/>
              <w:ind w:right="188"/>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208"/>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66"/>
        </w:trPr>
        <w:tc>
          <w:tcPr>
            <w:tcW w:w="3660" w:type="dxa"/>
            <w:vAlign w:val="bottom"/>
            <w:tcBorders>
              <w:top w:val="single" w:sz="8" w:color="D2EEF5"/>
            </w:tcBorders>
            <w:shd w:val="clear" w:color="auto" w:fill="D2EEF5"/>
          </w:tcPr>
          <w:p>
            <w:pPr>
              <w:ind w:left="4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1500" w:type="dxa"/>
            <w:vAlign w:val="bottom"/>
            <w:tcBorders>
              <w:top w:val="single" w:sz="8" w:color="auto"/>
            </w:tcBorders>
            <w:shd w:val="clear" w:color="auto" w:fill="D2EEF5"/>
          </w:tcPr>
          <w:p>
            <w:pPr>
              <w:spacing w:after="0"/>
              <w:rPr>
                <w:sz w:val="23"/>
                <w:szCs w:val="23"/>
                <w:color w:val="auto"/>
              </w:rPr>
            </w:pPr>
          </w:p>
        </w:tc>
        <w:tc>
          <w:tcPr>
            <w:tcW w:w="60" w:type="dxa"/>
            <w:vAlign w:val="bottom"/>
            <w:tcBorders>
              <w:top w:val="single" w:sz="8" w:color="D2EEF5"/>
            </w:tcBorders>
            <w:shd w:val="clear" w:color="auto" w:fill="D2EEF5"/>
          </w:tcPr>
          <w:p>
            <w:pPr>
              <w:spacing w:after="0"/>
              <w:rPr>
                <w:sz w:val="23"/>
                <w:szCs w:val="23"/>
                <w:color w:val="auto"/>
              </w:rPr>
            </w:pPr>
          </w:p>
        </w:tc>
        <w:tc>
          <w:tcPr>
            <w:tcW w:w="180" w:type="dxa"/>
            <w:vAlign w:val="bottom"/>
            <w:tcBorders>
              <w:top w:val="single" w:sz="8" w:color="auto"/>
            </w:tcBorders>
            <w:shd w:val="clear" w:color="auto" w:fill="D2EEF5"/>
          </w:tcPr>
          <w:p>
            <w:pPr>
              <w:spacing w:after="0"/>
              <w:rPr>
                <w:sz w:val="23"/>
                <w:szCs w:val="23"/>
                <w:color w:val="auto"/>
              </w:rPr>
            </w:pPr>
          </w:p>
        </w:tc>
        <w:tc>
          <w:tcPr>
            <w:tcW w:w="1020" w:type="dxa"/>
            <w:vAlign w:val="bottom"/>
            <w:tcBorders>
              <w:top w:val="single" w:sz="8" w:color="auto"/>
            </w:tcBorders>
            <w:shd w:val="clear" w:color="auto" w:fill="D2EEF5"/>
          </w:tcPr>
          <w:p>
            <w:pPr>
              <w:spacing w:after="0"/>
              <w:rPr>
                <w:sz w:val="23"/>
                <w:szCs w:val="23"/>
                <w:color w:val="auto"/>
              </w:rPr>
            </w:pPr>
          </w:p>
        </w:tc>
        <w:tc>
          <w:tcPr>
            <w:tcW w:w="60" w:type="dxa"/>
            <w:vAlign w:val="bottom"/>
            <w:tcBorders>
              <w:top w:val="single" w:sz="8" w:color="D2EEF5"/>
            </w:tcBorders>
            <w:shd w:val="clear" w:color="auto" w:fill="D2EEF5"/>
          </w:tcPr>
          <w:p>
            <w:pPr>
              <w:spacing w:after="0"/>
              <w:rPr>
                <w:sz w:val="23"/>
                <w:szCs w:val="23"/>
                <w:color w:val="auto"/>
              </w:rPr>
            </w:pPr>
          </w:p>
        </w:tc>
        <w:tc>
          <w:tcPr>
            <w:tcW w:w="180" w:type="dxa"/>
            <w:vAlign w:val="bottom"/>
            <w:tcBorders>
              <w:top w:val="single" w:sz="8" w:color="auto"/>
            </w:tcBorders>
            <w:shd w:val="clear" w:color="auto" w:fill="D2EEF5"/>
          </w:tcPr>
          <w:p>
            <w:pPr>
              <w:spacing w:after="0"/>
              <w:rPr>
                <w:sz w:val="23"/>
                <w:szCs w:val="23"/>
                <w:color w:val="auto"/>
              </w:rPr>
            </w:pPr>
          </w:p>
        </w:tc>
        <w:tc>
          <w:tcPr>
            <w:tcW w:w="1040" w:type="dxa"/>
            <w:vAlign w:val="bottom"/>
            <w:tcBorders>
              <w:top w:val="single" w:sz="8" w:color="auto"/>
            </w:tcBorders>
            <w:shd w:val="clear" w:color="auto" w:fill="D2EEF5"/>
          </w:tcPr>
          <w:p>
            <w:pPr>
              <w:spacing w:after="0"/>
              <w:rPr>
                <w:sz w:val="23"/>
                <w:szCs w:val="23"/>
                <w:color w:val="auto"/>
              </w:rPr>
            </w:pPr>
          </w:p>
        </w:tc>
        <w:tc>
          <w:tcPr>
            <w:tcW w:w="60" w:type="dxa"/>
            <w:vAlign w:val="bottom"/>
            <w:tcBorders>
              <w:top w:val="single" w:sz="8" w:color="D2EEF5"/>
            </w:tcBorders>
            <w:shd w:val="clear" w:color="auto" w:fill="D2EEF5"/>
          </w:tcPr>
          <w:p>
            <w:pPr>
              <w:spacing w:after="0"/>
              <w:rPr>
                <w:sz w:val="23"/>
                <w:szCs w:val="23"/>
                <w:color w:val="auto"/>
              </w:rPr>
            </w:pPr>
          </w:p>
        </w:tc>
        <w:tc>
          <w:tcPr>
            <w:tcW w:w="200" w:type="dxa"/>
            <w:vAlign w:val="bottom"/>
            <w:tcBorders>
              <w:top w:val="single" w:sz="8" w:color="auto"/>
            </w:tcBorders>
            <w:shd w:val="clear" w:color="auto" w:fill="D2EEF5"/>
          </w:tcPr>
          <w:p>
            <w:pPr>
              <w:spacing w:after="0"/>
              <w:rPr>
                <w:sz w:val="23"/>
                <w:szCs w:val="23"/>
                <w:color w:val="auto"/>
              </w:rPr>
            </w:pPr>
          </w:p>
        </w:tc>
        <w:tc>
          <w:tcPr>
            <w:tcW w:w="1020" w:type="dxa"/>
            <w:vAlign w:val="bottom"/>
            <w:tcBorders>
              <w:top w:val="single" w:sz="8" w:color="auto"/>
            </w:tcBorders>
            <w:shd w:val="clear" w:color="auto" w:fill="D2EEF5"/>
          </w:tcPr>
          <w:p>
            <w:pPr>
              <w:spacing w:after="0"/>
              <w:rPr>
                <w:sz w:val="23"/>
                <w:szCs w:val="23"/>
                <w:color w:val="auto"/>
              </w:rPr>
            </w:pPr>
          </w:p>
        </w:tc>
        <w:tc>
          <w:tcPr>
            <w:tcW w:w="60" w:type="dxa"/>
            <w:vAlign w:val="bottom"/>
            <w:tcBorders>
              <w:top w:val="single" w:sz="8" w:color="D2EEF5"/>
            </w:tcBorders>
            <w:shd w:val="clear" w:color="auto" w:fill="D2EEF5"/>
          </w:tcPr>
          <w:p>
            <w:pPr>
              <w:spacing w:after="0"/>
              <w:rPr>
                <w:sz w:val="23"/>
                <w:szCs w:val="23"/>
                <w:color w:val="auto"/>
              </w:rPr>
            </w:pPr>
          </w:p>
        </w:tc>
        <w:tc>
          <w:tcPr>
            <w:tcW w:w="180" w:type="dxa"/>
            <w:vAlign w:val="bottom"/>
            <w:tcBorders>
              <w:top w:val="single" w:sz="8" w:color="auto"/>
            </w:tcBorders>
            <w:shd w:val="clear" w:color="auto" w:fill="D2EEF5"/>
          </w:tcPr>
          <w:p>
            <w:pPr>
              <w:spacing w:after="0"/>
              <w:rPr>
                <w:sz w:val="23"/>
                <w:szCs w:val="23"/>
                <w:color w:val="auto"/>
              </w:rPr>
            </w:pPr>
          </w:p>
        </w:tc>
        <w:tc>
          <w:tcPr>
            <w:tcW w:w="1040" w:type="dxa"/>
            <w:vAlign w:val="bottom"/>
            <w:tcBorders>
              <w:top w:val="single" w:sz="8" w:color="auto"/>
            </w:tcBorders>
            <w:shd w:val="clear" w:color="auto" w:fill="D2EEF5"/>
          </w:tcPr>
          <w:p>
            <w:pPr>
              <w:spacing w:after="0"/>
              <w:rPr>
                <w:sz w:val="23"/>
                <w:szCs w:val="23"/>
                <w:color w:val="auto"/>
              </w:rPr>
            </w:pPr>
          </w:p>
        </w:tc>
      </w:tr>
      <w:tr>
        <w:trPr>
          <w:trHeight w:val="277"/>
        </w:trPr>
        <w:tc>
          <w:tcPr>
            <w:tcW w:w="3660" w:type="dxa"/>
            <w:vAlign w:val="bottom"/>
          </w:tcPr>
          <w:p>
            <w:pPr>
              <w:ind w:left="160"/>
              <w:spacing w:after="0"/>
              <w:rPr>
                <w:sz w:val="20"/>
                <w:szCs w:val="20"/>
                <w:color w:val="auto"/>
              </w:rPr>
            </w:pPr>
            <w:r>
              <w:rPr>
                <w:rFonts w:ascii="Times New Roman" w:cs="Times New Roman" w:eastAsia="Times New Roman" w:hAnsi="Times New Roman"/>
                <w:sz w:val="20"/>
                <w:szCs w:val="20"/>
                <w:i w:val="1"/>
                <w:iCs w:val="1"/>
                <w:color w:val="auto"/>
              </w:rPr>
              <w:t>Cash and cash equivalents</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6,309</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6,309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26,111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26,111</w:t>
            </w:r>
          </w:p>
        </w:tc>
      </w:tr>
      <w:tr>
        <w:trPr>
          <w:trHeight w:val="187"/>
        </w:trPr>
        <w:tc>
          <w:tcPr>
            <w:tcW w:w="3660" w:type="dxa"/>
            <w:vAlign w:val="bottom"/>
            <w:shd w:val="clear" w:color="auto" w:fill="D2EEF5"/>
          </w:tcPr>
          <w:p>
            <w:pPr>
              <w:spacing w:after="0"/>
              <w:rPr>
                <w:sz w:val="16"/>
                <w:szCs w:val="16"/>
                <w:color w:val="auto"/>
              </w:rPr>
            </w:pPr>
          </w:p>
        </w:tc>
        <w:tc>
          <w:tcPr>
            <w:tcW w:w="1500" w:type="dxa"/>
            <w:vAlign w:val="bottom"/>
            <w:shd w:val="clear" w:color="auto" w:fill="D2EEF5"/>
          </w:tcPr>
          <w:p>
            <w:pPr>
              <w:spacing w:after="0"/>
              <w:rPr>
                <w:sz w:val="16"/>
                <w:szCs w:val="16"/>
                <w:color w:val="auto"/>
              </w:rPr>
            </w:pPr>
          </w:p>
        </w:tc>
        <w:tc>
          <w:tcPr>
            <w:tcW w:w="60" w:type="dxa"/>
            <w:vAlign w:val="bottom"/>
            <w:shd w:val="clear" w:color="auto" w:fill="D2EEF5"/>
          </w:tcPr>
          <w:p>
            <w:pPr>
              <w:spacing w:after="0"/>
              <w:rPr>
                <w:sz w:val="16"/>
                <w:szCs w:val="16"/>
                <w:color w:val="auto"/>
              </w:rPr>
            </w:pPr>
          </w:p>
        </w:tc>
        <w:tc>
          <w:tcPr>
            <w:tcW w:w="180" w:type="dxa"/>
            <w:vAlign w:val="bottom"/>
            <w:shd w:val="clear" w:color="auto" w:fill="D2EEF5"/>
          </w:tcPr>
          <w:p>
            <w:pPr>
              <w:spacing w:after="0"/>
              <w:rPr>
                <w:sz w:val="16"/>
                <w:szCs w:val="16"/>
                <w:color w:val="auto"/>
              </w:rPr>
            </w:pPr>
          </w:p>
        </w:tc>
        <w:tc>
          <w:tcPr>
            <w:tcW w:w="1020" w:type="dxa"/>
            <w:vAlign w:val="bottom"/>
            <w:shd w:val="clear" w:color="auto" w:fill="D2EEF5"/>
          </w:tcPr>
          <w:p>
            <w:pPr>
              <w:spacing w:after="0"/>
              <w:rPr>
                <w:sz w:val="16"/>
                <w:szCs w:val="16"/>
                <w:color w:val="auto"/>
              </w:rPr>
            </w:pPr>
          </w:p>
        </w:tc>
        <w:tc>
          <w:tcPr>
            <w:tcW w:w="60" w:type="dxa"/>
            <w:vAlign w:val="bottom"/>
            <w:shd w:val="clear" w:color="auto" w:fill="D2EEF5"/>
          </w:tcPr>
          <w:p>
            <w:pPr>
              <w:spacing w:after="0"/>
              <w:rPr>
                <w:sz w:val="16"/>
                <w:szCs w:val="16"/>
                <w:color w:val="auto"/>
              </w:rPr>
            </w:pPr>
          </w:p>
        </w:tc>
        <w:tc>
          <w:tcPr>
            <w:tcW w:w="180" w:type="dxa"/>
            <w:vAlign w:val="bottom"/>
            <w:shd w:val="clear" w:color="auto" w:fill="D2EEF5"/>
          </w:tcPr>
          <w:p>
            <w:pPr>
              <w:spacing w:after="0"/>
              <w:rPr>
                <w:sz w:val="16"/>
                <w:szCs w:val="16"/>
                <w:color w:val="auto"/>
              </w:rPr>
            </w:pPr>
          </w:p>
        </w:tc>
        <w:tc>
          <w:tcPr>
            <w:tcW w:w="1040" w:type="dxa"/>
            <w:vAlign w:val="bottom"/>
            <w:shd w:val="clear" w:color="auto" w:fill="D2EEF5"/>
          </w:tcPr>
          <w:p>
            <w:pPr>
              <w:spacing w:after="0"/>
              <w:rPr>
                <w:sz w:val="16"/>
                <w:szCs w:val="16"/>
                <w:color w:val="auto"/>
              </w:rPr>
            </w:pPr>
          </w:p>
        </w:tc>
        <w:tc>
          <w:tcPr>
            <w:tcW w:w="60" w:type="dxa"/>
            <w:vAlign w:val="bottom"/>
            <w:shd w:val="clear" w:color="auto" w:fill="D2EEF5"/>
          </w:tcPr>
          <w:p>
            <w:pPr>
              <w:spacing w:after="0"/>
              <w:rPr>
                <w:sz w:val="16"/>
                <w:szCs w:val="16"/>
                <w:color w:val="auto"/>
              </w:rPr>
            </w:pPr>
          </w:p>
        </w:tc>
        <w:tc>
          <w:tcPr>
            <w:tcW w:w="200" w:type="dxa"/>
            <w:vAlign w:val="bottom"/>
            <w:shd w:val="clear" w:color="auto" w:fill="D2EEF5"/>
          </w:tcPr>
          <w:p>
            <w:pPr>
              <w:spacing w:after="0"/>
              <w:rPr>
                <w:sz w:val="16"/>
                <w:szCs w:val="16"/>
                <w:color w:val="auto"/>
              </w:rPr>
            </w:pPr>
          </w:p>
        </w:tc>
        <w:tc>
          <w:tcPr>
            <w:tcW w:w="1020" w:type="dxa"/>
            <w:vAlign w:val="bottom"/>
            <w:shd w:val="clear" w:color="auto" w:fill="D2EEF5"/>
          </w:tcPr>
          <w:p>
            <w:pPr>
              <w:spacing w:after="0"/>
              <w:rPr>
                <w:sz w:val="16"/>
                <w:szCs w:val="16"/>
                <w:color w:val="auto"/>
              </w:rPr>
            </w:pPr>
          </w:p>
        </w:tc>
        <w:tc>
          <w:tcPr>
            <w:tcW w:w="60" w:type="dxa"/>
            <w:vAlign w:val="bottom"/>
            <w:shd w:val="clear" w:color="auto" w:fill="D2EEF5"/>
          </w:tcPr>
          <w:p>
            <w:pPr>
              <w:spacing w:after="0"/>
              <w:rPr>
                <w:sz w:val="16"/>
                <w:szCs w:val="16"/>
                <w:color w:val="auto"/>
              </w:rPr>
            </w:pPr>
          </w:p>
        </w:tc>
        <w:tc>
          <w:tcPr>
            <w:tcW w:w="180" w:type="dxa"/>
            <w:vAlign w:val="bottom"/>
            <w:shd w:val="clear" w:color="auto" w:fill="D2EEF5"/>
          </w:tcPr>
          <w:p>
            <w:pPr>
              <w:spacing w:after="0"/>
              <w:rPr>
                <w:sz w:val="16"/>
                <w:szCs w:val="16"/>
                <w:color w:val="auto"/>
              </w:rPr>
            </w:pPr>
          </w:p>
        </w:tc>
        <w:tc>
          <w:tcPr>
            <w:tcW w:w="1040" w:type="dxa"/>
            <w:vAlign w:val="bottom"/>
            <w:shd w:val="clear" w:color="auto" w:fill="D2EEF5"/>
          </w:tcPr>
          <w:p>
            <w:pPr>
              <w:spacing w:after="0"/>
              <w:rPr>
                <w:sz w:val="16"/>
                <w:szCs w:val="16"/>
                <w:color w:val="auto"/>
              </w:rPr>
            </w:pPr>
          </w:p>
        </w:tc>
      </w:tr>
      <w:tr>
        <w:trPr>
          <w:trHeight w:val="280"/>
        </w:trPr>
        <w:tc>
          <w:tcPr>
            <w:tcW w:w="36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90"/>
        </w:trPr>
        <w:tc>
          <w:tcPr>
            <w:tcW w:w="3660" w:type="dxa"/>
            <w:vAlign w:val="bottom"/>
            <w:shd w:val="clear" w:color="auto" w:fill="D2EEF5"/>
          </w:tcPr>
          <w:p>
            <w:pPr>
              <w:ind w:left="160"/>
              <w:spacing w:after="0"/>
              <w:rPr>
                <w:sz w:val="20"/>
                <w:szCs w:val="20"/>
                <w:color w:val="auto"/>
              </w:rPr>
            </w:pPr>
            <w:r>
              <w:rPr>
                <w:rFonts w:ascii="Times New Roman" w:cs="Times New Roman" w:eastAsia="Times New Roman" w:hAnsi="Times New Roman"/>
                <w:sz w:val="20"/>
                <w:szCs w:val="20"/>
                <w:i w:val="1"/>
                <w:iCs w:val="1"/>
                <w:color w:val="auto"/>
              </w:rPr>
              <w:t>Finance leases</w:t>
            </w:r>
          </w:p>
        </w:tc>
        <w:tc>
          <w:tcPr>
            <w:tcW w:w="1500" w:type="dxa"/>
            <w:vAlign w:val="bottom"/>
            <w:shd w:val="clear" w:color="auto" w:fill="D2EEF5"/>
          </w:tcPr>
          <w:p>
            <w:pPr>
              <w:jc w:val="center"/>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60" w:type="dxa"/>
            <w:vAlign w:val="bottom"/>
            <w:shd w:val="clear" w:color="auto" w:fill="D2EEF5"/>
          </w:tcPr>
          <w:p>
            <w:pPr>
              <w:spacing w:after="0"/>
              <w:rPr>
                <w:sz w:val="24"/>
                <w:szCs w:val="24"/>
                <w:color w:val="auto"/>
              </w:rPr>
            </w:pPr>
          </w:p>
        </w:tc>
        <w:tc>
          <w:tcPr>
            <w:tcW w:w="180" w:type="dxa"/>
            <w:vAlign w:val="bottom"/>
            <w:shd w:val="clear" w:color="auto" w:fill="D2EEF5"/>
          </w:tcPr>
          <w:p>
            <w:pPr>
              <w:spacing w:after="0"/>
              <w:rPr>
                <w:sz w:val="24"/>
                <w:szCs w:val="24"/>
                <w:color w:val="auto"/>
              </w:rPr>
            </w:pPr>
          </w:p>
        </w:tc>
        <w:tc>
          <w:tcPr>
            <w:tcW w:w="10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7,836</w:t>
            </w:r>
          </w:p>
        </w:tc>
        <w:tc>
          <w:tcPr>
            <w:tcW w:w="60" w:type="dxa"/>
            <w:vAlign w:val="bottom"/>
            <w:shd w:val="clear" w:color="auto" w:fill="D2EEF5"/>
          </w:tcPr>
          <w:p>
            <w:pPr>
              <w:spacing w:after="0"/>
              <w:rPr>
                <w:sz w:val="24"/>
                <w:szCs w:val="24"/>
                <w:color w:val="auto"/>
              </w:rPr>
            </w:pPr>
          </w:p>
        </w:tc>
        <w:tc>
          <w:tcPr>
            <w:tcW w:w="180" w:type="dxa"/>
            <w:vAlign w:val="bottom"/>
            <w:shd w:val="clear" w:color="auto" w:fill="D2EEF5"/>
          </w:tcPr>
          <w:p>
            <w:pPr>
              <w:spacing w:after="0"/>
              <w:rPr>
                <w:sz w:val="24"/>
                <w:szCs w:val="24"/>
                <w:color w:val="auto"/>
              </w:rPr>
            </w:pPr>
          </w:p>
        </w:tc>
        <w:tc>
          <w:tcPr>
            <w:tcW w:w="10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8,237</w:t>
            </w:r>
          </w:p>
        </w:tc>
        <w:tc>
          <w:tcPr>
            <w:tcW w:w="60" w:type="dxa"/>
            <w:vAlign w:val="bottom"/>
            <w:shd w:val="clear" w:color="auto" w:fill="D2EEF5"/>
          </w:tcPr>
          <w:p>
            <w:pPr>
              <w:spacing w:after="0"/>
              <w:rPr>
                <w:sz w:val="24"/>
                <w:szCs w:val="24"/>
                <w:color w:val="auto"/>
              </w:rPr>
            </w:pPr>
          </w:p>
        </w:tc>
        <w:tc>
          <w:tcPr>
            <w:tcW w:w="200" w:type="dxa"/>
            <w:vAlign w:val="bottom"/>
            <w:shd w:val="clear" w:color="auto" w:fill="D2EEF5"/>
          </w:tcPr>
          <w:p>
            <w:pPr>
              <w:spacing w:after="0"/>
              <w:rPr>
                <w:sz w:val="24"/>
                <w:szCs w:val="24"/>
                <w:color w:val="auto"/>
              </w:rPr>
            </w:pPr>
          </w:p>
        </w:tc>
        <w:tc>
          <w:tcPr>
            <w:tcW w:w="10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8,289</w:t>
            </w:r>
          </w:p>
        </w:tc>
        <w:tc>
          <w:tcPr>
            <w:tcW w:w="60" w:type="dxa"/>
            <w:vAlign w:val="bottom"/>
            <w:shd w:val="clear" w:color="auto" w:fill="D2EEF5"/>
          </w:tcPr>
          <w:p>
            <w:pPr>
              <w:spacing w:after="0"/>
              <w:rPr>
                <w:sz w:val="24"/>
                <w:szCs w:val="24"/>
                <w:color w:val="auto"/>
              </w:rPr>
            </w:pPr>
          </w:p>
        </w:tc>
        <w:tc>
          <w:tcPr>
            <w:tcW w:w="180" w:type="dxa"/>
            <w:vAlign w:val="bottom"/>
            <w:shd w:val="clear" w:color="auto" w:fill="D2EEF5"/>
          </w:tcPr>
          <w:p>
            <w:pPr>
              <w:spacing w:after="0"/>
              <w:rPr>
                <w:sz w:val="24"/>
                <w:szCs w:val="24"/>
                <w:color w:val="auto"/>
              </w:rPr>
            </w:pPr>
          </w:p>
        </w:tc>
        <w:tc>
          <w:tcPr>
            <w:tcW w:w="10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8,437</w:t>
            </w:r>
          </w:p>
        </w:tc>
      </w:tr>
      <w:tr>
        <w:trPr>
          <w:trHeight w:val="275"/>
        </w:trPr>
        <w:tc>
          <w:tcPr>
            <w:tcW w:w="3660" w:type="dxa"/>
            <w:vAlign w:val="bottom"/>
          </w:tcPr>
          <w:p>
            <w:pPr>
              <w:ind w:left="160"/>
              <w:spacing w:after="0"/>
              <w:rPr>
                <w:sz w:val="20"/>
                <w:szCs w:val="20"/>
                <w:color w:val="auto"/>
              </w:rPr>
            </w:pPr>
            <w:r>
              <w:rPr>
                <w:rFonts w:ascii="Times New Roman" w:cs="Times New Roman" w:eastAsia="Times New Roman" w:hAnsi="Times New Roman"/>
                <w:sz w:val="20"/>
                <w:szCs w:val="20"/>
                <w:i w:val="1"/>
                <w:iCs w:val="1"/>
                <w:color w:val="auto"/>
              </w:rPr>
              <w:t>Term Loan</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114,394</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93,803</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119,303</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95,442</w:t>
            </w:r>
          </w:p>
        </w:tc>
      </w:tr>
    </w:tbl>
    <w:p>
      <w:pPr>
        <w:spacing w:after="0" w:line="161" w:lineRule="exact"/>
        <w:rPr>
          <w:sz w:val="20"/>
          <w:szCs w:val="20"/>
          <w:color w:val="auto"/>
        </w:rPr>
      </w:pPr>
    </w:p>
    <w:p>
      <w:pPr>
        <w:jc w:val="both"/>
        <w:ind w:firstLine="720"/>
        <w:spacing w:after="0" w:line="269" w:lineRule="auto"/>
        <w:rPr>
          <w:sz w:val="20"/>
          <w:szCs w:val="20"/>
          <w:color w:val="auto"/>
        </w:rPr>
      </w:pPr>
      <w:r>
        <w:rPr>
          <w:rFonts w:ascii="Times New Roman" w:cs="Times New Roman" w:eastAsia="Times New Roman" w:hAnsi="Times New Roman"/>
          <w:sz w:val="20"/>
          <w:szCs w:val="20"/>
          <w:color w:val="auto"/>
        </w:rPr>
        <w:t>Cash and cash equivalents included funds deposited in banks, and the fair values approximated carrying values due to their short-term maturities. The fair values of other current assets and liabilities including accounts receivable, accounts payable, accrued expenses and other current liabilities approximated their carrying value due to their short-term maturities.</w:t>
      </w:r>
    </w:p>
    <w:p>
      <w:pPr>
        <w:spacing w:after="0" w:line="147"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 xml:space="preserve">The estimated fair value of finance leases, which were considered Level 3 fair value measurements, were calculated as the present value of the required future cash outflows discounted at an estimated borrowing rate. The fair value of the Term Loan was estimated based on Level 2 fair value measurements and was based on bank quotes. The carrying amount of the Term Loan reported above excludes unamortized debt discount and deferred financing costs. Refer to Note 8 – </w:t>
      </w:r>
      <w:r>
        <w:rPr>
          <w:rFonts w:ascii="Times New Roman" w:cs="Times New Roman" w:eastAsia="Times New Roman" w:hAnsi="Times New Roman"/>
          <w:sz w:val="20"/>
          <w:szCs w:val="20"/>
          <w:i w:val="1"/>
          <w:iCs w:val="1"/>
          <w:color w:val="auto"/>
        </w:rPr>
        <w:t>Leases</w:t>
      </w:r>
      <w:r>
        <w:rPr>
          <w:rFonts w:ascii="Times New Roman" w:cs="Times New Roman" w:eastAsia="Times New Roman" w:hAnsi="Times New Roman"/>
          <w:sz w:val="20"/>
          <w:szCs w:val="20"/>
          <w:color w:val="auto"/>
        </w:rPr>
        <w:t xml:space="preserve"> and Note 11 – </w:t>
      </w:r>
      <w:r>
        <w:rPr>
          <w:rFonts w:ascii="Times New Roman" w:cs="Times New Roman" w:eastAsia="Times New Roman" w:hAnsi="Times New Roman"/>
          <w:sz w:val="20"/>
          <w:szCs w:val="20"/>
          <w:i w:val="1"/>
          <w:iCs w:val="1"/>
          <w:color w:val="auto"/>
        </w:rPr>
        <w:t>Debt</w:t>
      </w:r>
      <w:r>
        <w:rPr>
          <w:rFonts w:ascii="Times New Roman" w:cs="Times New Roman" w:eastAsia="Times New Roman" w:hAnsi="Times New Roman"/>
          <w:sz w:val="20"/>
          <w:szCs w:val="20"/>
          <w:color w:val="auto"/>
        </w:rPr>
        <w:t>, for further details of the Company's finance leases and Term Loan, respectively.</w:t>
      </w:r>
    </w:p>
    <w:p>
      <w:pPr>
        <w:spacing w:after="0" w:line="15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Company did not have any transfers between Levels within the fair value hierarchy during the periods presented.</w:t>
      </w:r>
    </w:p>
    <w:p>
      <w:pPr>
        <w:sectPr>
          <w:pgSz w:w="12240" w:h="15840" w:orient="portrait"/>
          <w:cols w:equalWidth="0" w:num="1">
            <w:col w:w="10260"/>
          </w:cols>
          <w:pgMar w:left="1000" w:top="4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91</w:t>
      </w:r>
    </w:p>
    <w:p>
      <w:pPr>
        <w:sectPr>
          <w:pgSz w:w="12240" w:h="15840" w:orient="portrait"/>
          <w:cols w:equalWidth="0" w:num="1">
            <w:col w:w="10260"/>
          </w:cols>
          <w:pgMar w:left="1000" w:top="420" w:right="980" w:bottom="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87"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11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245"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20"/>
          <w:szCs w:val="20"/>
          <w:b w:val="1"/>
          <w:bCs w:val="1"/>
          <w:color w:val="auto"/>
        </w:rPr>
        <w:t>Item 9A.</w:t>
      </w:r>
      <w:r>
        <w:rPr>
          <w:sz w:val="20"/>
          <w:szCs w:val="20"/>
          <w:color w:val="auto"/>
        </w:rPr>
        <w:tab/>
      </w:r>
      <w:r>
        <w:rPr>
          <w:rFonts w:ascii="Times New Roman" w:cs="Times New Roman" w:eastAsia="Times New Roman" w:hAnsi="Times New Roman"/>
          <w:sz w:val="20"/>
          <w:szCs w:val="20"/>
          <w:b w:val="1"/>
          <w:bCs w:val="1"/>
          <w:color w:val="auto"/>
        </w:rPr>
        <w:t>CONTROLS AND PROCEDURES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214"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Our management, with the participation and supervision of our Chief Executive Officer and our Chief Financial Officer, have evaluated the effectiveness of our disclosure controls and procedures (as defined in Rules 13a-15(e) and 15d-15(e) under the Exchange Act) as of the end of the period covered by this Annual Report on Form 10-K. Based upon that evaluation, the Company's management, including the Chief Executive Officer and the Chief Financial Officer, concluded that the Company’s disclosure controls and procedures were effective for the period covered by this Annual Report on Form 10-K.</w:t>
      </w:r>
    </w:p>
    <w:p>
      <w:pPr>
        <w:spacing w:after="0" w:line="155"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 benefit relationship of possible controls and procedures.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Annual Report on Internal Control Over Financial Reporting</w:t>
      </w:r>
    </w:p>
    <w:p>
      <w:pPr>
        <w:spacing w:after="0" w:line="214" w:lineRule="exact"/>
        <w:rPr>
          <w:sz w:val="20"/>
          <w:szCs w:val="20"/>
          <w:color w:val="auto"/>
        </w:rPr>
      </w:pPr>
    </w:p>
    <w:p>
      <w:pPr>
        <w:jc w:val="both"/>
        <w:ind w:firstLine="720"/>
        <w:spacing w:after="0" w:line="263" w:lineRule="auto"/>
        <w:rPr>
          <w:sz w:val="20"/>
          <w:szCs w:val="20"/>
          <w:color w:val="auto"/>
        </w:rPr>
      </w:pPr>
      <w:r>
        <w:rPr>
          <w:rFonts w:ascii="Times New Roman" w:cs="Times New Roman" w:eastAsia="Times New Roman" w:hAnsi="Times New Roman"/>
          <w:sz w:val="20"/>
          <w:szCs w:val="20"/>
          <w:color w:val="auto"/>
        </w:rPr>
        <w:t xml:space="preserve">Management is responsible for establishing and maintaining adequate internal control over financial reporting (as defined in Rule 13a-15(f) and Rule 15d-15(f) of the Exchange Act). Management has assessed the effectiveness of our internal control over financial reporting as of December 31, 2025 based on criteria established in </w:t>
      </w:r>
      <w:r>
        <w:rPr>
          <w:rFonts w:ascii="Times New Roman" w:cs="Times New Roman" w:eastAsia="Times New Roman" w:hAnsi="Times New Roman"/>
          <w:sz w:val="20"/>
          <w:szCs w:val="20"/>
          <w:i w:val="1"/>
          <w:iCs w:val="1"/>
          <w:color w:val="auto"/>
        </w:rPr>
        <w:t>Internal Control — Integrated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Framework (2013) </w:t>
      </w:r>
      <w:r>
        <w:rPr>
          <w:rFonts w:ascii="Times New Roman" w:cs="Times New Roman" w:eastAsia="Times New Roman" w:hAnsi="Times New Roman"/>
          <w:sz w:val="20"/>
          <w:szCs w:val="20"/>
          <w:color w:val="auto"/>
        </w:rPr>
        <w:t>issued by the Committee of Sponsoring Organizations of the Treadway Commission.</w:t>
      </w:r>
    </w:p>
    <w:p>
      <w:pPr>
        <w:spacing w:after="0" w:line="152"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As a result of this assessment, management concluded that, as of December 31, 2025, our internal control over financial reporting was effective in providing reasonable assurance regarding the reliability of financial reporting and the preparation of financial statements for external purposes in accordance with generally accepted accounting principles. This Annual Report on Form 10-K does not include an attestation report of our independent registered public accounting firm as it is not required.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Controls over Financial Reporting</w:t>
      </w:r>
    </w:p>
    <w:p>
      <w:pPr>
        <w:spacing w:after="0" w:line="214" w:lineRule="exact"/>
        <w:rPr>
          <w:sz w:val="20"/>
          <w:szCs w:val="20"/>
          <w:color w:val="auto"/>
        </w:rPr>
      </w:pPr>
    </w:p>
    <w:p>
      <w:pPr>
        <w:jc w:val="both"/>
        <w:ind w:firstLine="720"/>
        <w:spacing w:after="0" w:line="269" w:lineRule="auto"/>
        <w:rPr>
          <w:sz w:val="20"/>
          <w:szCs w:val="20"/>
          <w:color w:val="auto"/>
        </w:rPr>
      </w:pPr>
      <w:r>
        <w:rPr>
          <w:rFonts w:ascii="Times New Roman" w:cs="Times New Roman" w:eastAsia="Times New Roman" w:hAnsi="Times New Roman"/>
          <w:sz w:val="20"/>
          <w:szCs w:val="20"/>
          <w:color w:val="auto"/>
        </w:rPr>
        <w:t>There were no changes in our internal control over financial reporting (as defined in Rule 13a-15(f) and Rule 15d-15(f) of the Exchange Act) that occurred during the period covered by this Annual Report on Form 10-K that have materially affected, or are reasonably likely to materially affect, our internal control over financial reporting.</w:t>
      </w:r>
    </w:p>
    <w:p>
      <w:pPr>
        <w:spacing w:after="0" w:line="183"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20"/>
          <w:szCs w:val="20"/>
          <w:b w:val="1"/>
          <w:bCs w:val="1"/>
          <w:color w:val="auto"/>
        </w:rPr>
        <w:t>Item 9B.</w:t>
      </w:r>
      <w:r>
        <w:rPr>
          <w:sz w:val="20"/>
          <w:szCs w:val="20"/>
          <w:color w:val="auto"/>
        </w:rPr>
        <w:tab/>
      </w:r>
      <w:r>
        <w:rPr>
          <w:rFonts w:ascii="Times New Roman" w:cs="Times New Roman" w:eastAsia="Times New Roman" w:hAnsi="Times New Roman"/>
          <w:sz w:val="19"/>
          <w:szCs w:val="19"/>
          <w:b w:val="1"/>
          <w:bCs w:val="1"/>
          <w:color w:val="auto"/>
        </w:rPr>
        <w:t>OTHER INFORMATION</w:t>
      </w:r>
    </w:p>
    <w:p>
      <w:pPr>
        <w:spacing w:after="0" w:line="214" w:lineRule="exact"/>
        <w:rPr>
          <w:sz w:val="20"/>
          <w:szCs w:val="20"/>
          <w:color w:val="auto"/>
        </w:rPr>
      </w:pPr>
    </w:p>
    <w:p>
      <w:pPr>
        <w:ind w:left="980" w:hanging="270"/>
        <w:spacing w:after="0"/>
        <w:tabs>
          <w:tab w:leader="none" w:pos="9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applicable.</w:t>
      </w:r>
    </w:p>
    <w:p>
      <w:pPr>
        <w:spacing w:after="0" w:line="209" w:lineRule="exact"/>
        <w:rPr>
          <w:rFonts w:ascii="Times New Roman" w:cs="Times New Roman" w:eastAsia="Times New Roman" w:hAnsi="Times New Roman"/>
          <w:sz w:val="20"/>
          <w:szCs w:val="20"/>
          <w:color w:val="auto"/>
        </w:rPr>
      </w:pPr>
    </w:p>
    <w:p>
      <w:pPr>
        <w:jc w:val="both"/>
        <w:ind w:firstLine="710"/>
        <w:spacing w:after="0" w:line="269" w:lineRule="auto"/>
        <w:tabs>
          <w:tab w:leader="none" w:pos="101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year ended December 31, 2025, no director or officer of the Company adopted, modified or terminated a “Rule 10b5-1 trading arrangement” or “non-Rule 10b5-1 trading arrangement,” as each term is defined in Item 408(a) of Regulation S-K.</w:t>
      </w:r>
    </w:p>
    <w:p>
      <w:pPr>
        <w:spacing w:after="0" w:line="183"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20"/>
          <w:szCs w:val="20"/>
          <w:b w:val="1"/>
          <w:bCs w:val="1"/>
          <w:color w:val="auto"/>
        </w:rPr>
        <w:t>Item 9C.</w:t>
      </w:r>
      <w:r>
        <w:rPr>
          <w:sz w:val="20"/>
          <w:szCs w:val="20"/>
          <w:color w:val="auto"/>
        </w:rPr>
        <w:tab/>
      </w:r>
      <w:r>
        <w:rPr>
          <w:rFonts w:ascii="Times New Roman" w:cs="Times New Roman" w:eastAsia="Times New Roman" w:hAnsi="Times New Roman"/>
          <w:sz w:val="19"/>
          <w:szCs w:val="19"/>
          <w:b w:val="1"/>
          <w:bCs w:val="1"/>
          <w:color w:val="auto"/>
        </w:rPr>
        <w:t>DISCLOSURE REGARDING FOREIGN JURISDICTIONS THAT PREVENT INSPECTIONS</w:t>
      </w:r>
    </w:p>
    <w:p>
      <w:pPr>
        <w:spacing w:after="0" w:line="21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10260"/>
          </w:cols>
          <w:pgMar w:left="1000" w:top="43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92</w:t>
      </w:r>
    </w:p>
    <w:p>
      <w:pPr>
        <w:sectPr>
          <w:pgSz w:w="12240" w:h="15840" w:orient="portrait"/>
          <w:cols w:equalWidth="0" w:num="1">
            <w:col w:w="10260"/>
          </w:cols>
          <w:pgMar w:left="1000" w:top="430" w:right="980" w:bottom="0" w:gutter="0" w:footer="0" w:header="0"/>
          <w:type w:val="continuous"/>
        </w:sectPr>
      </w:pPr>
    </w:p>
    <w:bookmarkStart w:id="94" w:name="page95"/>
    <w:bookmarkEnd w:id="94"/>
    <w:p>
      <w:pPr>
        <w:ind w:left="160"/>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8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10" w:lineRule="exact"/>
        <w:rPr>
          <w:sz w:val="20"/>
          <w:szCs w:val="20"/>
          <w:color w:val="auto"/>
        </w:rPr>
      </w:pPr>
    </w:p>
    <w:p>
      <w:pPr>
        <w:ind w:left="160"/>
        <w:spacing w:after="0"/>
        <w:tabs>
          <w:tab w:leader="none" w:pos="158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DIRECTORS, EXECUTIVE OFFICERS AND CORPORATE GOVERNANCE</w:t>
      </w:r>
    </w:p>
    <w:p>
      <w:pPr>
        <w:spacing w:after="0" w:line="213" w:lineRule="exact"/>
        <w:rPr>
          <w:sz w:val="20"/>
          <w:szCs w:val="20"/>
          <w:color w:val="auto"/>
        </w:rPr>
      </w:pPr>
    </w:p>
    <w:p>
      <w:pPr>
        <w:jc w:val="both"/>
        <w:ind w:left="160" w:firstLine="720"/>
        <w:spacing w:after="0" w:line="288" w:lineRule="auto"/>
        <w:rPr>
          <w:sz w:val="20"/>
          <w:szCs w:val="20"/>
          <w:color w:val="auto"/>
        </w:rPr>
      </w:pPr>
      <w:r>
        <w:rPr>
          <w:rFonts w:ascii="Times New Roman" w:cs="Times New Roman" w:eastAsia="Times New Roman" w:hAnsi="Times New Roman"/>
          <w:sz w:val="20"/>
          <w:szCs w:val="20"/>
          <w:color w:val="auto"/>
        </w:rPr>
        <w:t>Except as set forth below, the information required by this Item will be included in the 2026 Proxy Statement and is incorporated herein by reference.</w:t>
      </w:r>
    </w:p>
    <w:p>
      <w:pPr>
        <w:spacing w:after="0" w:line="128" w:lineRule="exact"/>
        <w:rPr>
          <w:sz w:val="20"/>
          <w:szCs w:val="20"/>
          <w:color w:val="auto"/>
        </w:rPr>
      </w:pPr>
    </w:p>
    <w:p>
      <w:pPr>
        <w:jc w:val="both"/>
        <w:ind w:left="160" w:firstLine="720"/>
        <w:spacing w:after="0" w:line="288" w:lineRule="auto"/>
        <w:rPr>
          <w:sz w:val="20"/>
          <w:szCs w:val="20"/>
          <w:color w:val="auto"/>
        </w:rPr>
      </w:pPr>
      <w:r>
        <w:rPr>
          <w:rFonts w:ascii="Times New Roman" w:cs="Times New Roman" w:eastAsia="Times New Roman" w:hAnsi="Times New Roman"/>
          <w:sz w:val="20"/>
          <w:szCs w:val="20"/>
          <w:color w:val="auto"/>
        </w:rPr>
        <w:t>The following table sets forth the name, age, and position of each of our executive officers and directors as of March 27, 2026.</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0" w:type="dxa"/>
            <w:vAlign w:val="bottom"/>
            <w:shd w:val="clear" w:color="auto" w:fill="D2EEF5"/>
          </w:tcPr>
          <w:p>
            <w:pPr>
              <w:spacing w:after="0"/>
              <w:rPr>
                <w:sz w:val="22"/>
                <w:szCs w:val="22"/>
                <w:color w:val="auto"/>
              </w:rPr>
            </w:pPr>
          </w:p>
        </w:tc>
        <w:tc>
          <w:tcPr>
            <w:tcW w:w="1760" w:type="dxa"/>
            <w:vAlign w:val="bottom"/>
            <w:gridSpan w:val="2"/>
            <w:shd w:val="clear" w:color="auto" w:fill="D2EEF5"/>
          </w:tcPr>
          <w:p>
            <w:pPr>
              <w:spacing w:after="0"/>
              <w:rPr>
                <w:sz w:val="20"/>
                <w:szCs w:val="20"/>
                <w:color w:val="auto"/>
              </w:rPr>
            </w:pPr>
            <w:r>
              <w:rPr>
                <w:rFonts w:ascii="Times New Roman" w:cs="Times New Roman" w:eastAsia="Times New Roman" w:hAnsi="Times New Roman"/>
                <w:sz w:val="20"/>
                <w:szCs w:val="20"/>
                <w:b w:val="1"/>
                <w:bCs w:val="1"/>
                <w:color w:val="auto"/>
              </w:rPr>
              <w:t>Name</w:t>
            </w:r>
          </w:p>
        </w:tc>
        <w:tc>
          <w:tcPr>
            <w:tcW w:w="120" w:type="dxa"/>
            <w:vAlign w:val="bottom"/>
            <w:shd w:val="clear" w:color="auto" w:fill="D2EEF5"/>
          </w:tcPr>
          <w:p>
            <w:pPr>
              <w:spacing w:after="0"/>
              <w:rPr>
                <w:sz w:val="22"/>
                <w:szCs w:val="22"/>
                <w:color w:val="auto"/>
              </w:rPr>
            </w:pPr>
          </w:p>
        </w:tc>
        <w:tc>
          <w:tcPr>
            <w:tcW w:w="1140" w:type="dxa"/>
            <w:vAlign w:val="bottom"/>
            <w:gridSpan w:val="2"/>
            <w:shd w:val="clear" w:color="auto" w:fill="D2EEF5"/>
          </w:tcPr>
          <w:p>
            <w:pPr>
              <w:spacing w:after="0"/>
              <w:rPr>
                <w:sz w:val="20"/>
                <w:szCs w:val="20"/>
                <w:color w:val="auto"/>
              </w:rPr>
            </w:pPr>
            <w:r>
              <w:rPr>
                <w:rFonts w:ascii="Times New Roman" w:cs="Times New Roman" w:eastAsia="Times New Roman" w:hAnsi="Times New Roman"/>
                <w:sz w:val="20"/>
                <w:szCs w:val="20"/>
                <w:b w:val="1"/>
                <w:bCs w:val="1"/>
                <w:color w:val="auto"/>
              </w:rPr>
              <w:t>Age</w:t>
            </w:r>
          </w:p>
        </w:tc>
        <w:tc>
          <w:tcPr>
            <w:tcW w:w="7280" w:type="dxa"/>
            <w:vAlign w:val="bottom"/>
            <w:gridSpan w:val="2"/>
            <w:shd w:val="clear" w:color="auto" w:fill="D2EEF5"/>
          </w:tcPr>
          <w:p>
            <w:pPr>
              <w:spacing w:after="0"/>
              <w:rPr>
                <w:sz w:val="20"/>
                <w:szCs w:val="20"/>
                <w:color w:val="auto"/>
              </w:rPr>
            </w:pPr>
            <w:r>
              <w:rPr>
                <w:rFonts w:ascii="Times New Roman" w:cs="Times New Roman" w:eastAsia="Times New Roman" w:hAnsi="Times New Roman"/>
                <w:sz w:val="20"/>
                <w:szCs w:val="20"/>
                <w:b w:val="1"/>
                <w:bCs w:val="1"/>
                <w:color w:val="auto"/>
              </w:rPr>
              <w:t>Position</w:t>
            </w:r>
          </w:p>
        </w:tc>
      </w:tr>
      <w:tr>
        <w:trPr>
          <w:trHeight w:val="32"/>
        </w:trPr>
        <w:tc>
          <w:tcPr>
            <w:tcW w:w="60" w:type="dxa"/>
            <w:vAlign w:val="bottom"/>
            <w:tcBorders>
              <w:top w:val="single" w:sz="8" w:color="D2EEF5"/>
            </w:tcBorders>
            <w:shd w:val="clear" w:color="auto" w:fill="D2EEF5"/>
          </w:tcPr>
          <w:p>
            <w:pPr>
              <w:spacing w:after="0"/>
              <w:rPr>
                <w:sz w:val="2"/>
                <w:szCs w:val="2"/>
                <w:color w:val="auto"/>
              </w:rPr>
            </w:pPr>
          </w:p>
        </w:tc>
        <w:tc>
          <w:tcPr>
            <w:tcW w:w="500" w:type="dxa"/>
            <w:vAlign w:val="bottom"/>
            <w:tcBorders>
              <w:top w:val="single" w:sz="8" w:color="auto"/>
            </w:tcBorders>
            <w:shd w:val="clear" w:color="auto" w:fill="D2EEF5"/>
          </w:tcPr>
          <w:p>
            <w:pPr>
              <w:spacing w:after="0"/>
              <w:rPr>
                <w:sz w:val="2"/>
                <w:szCs w:val="2"/>
                <w:color w:val="auto"/>
              </w:rPr>
            </w:pPr>
          </w:p>
        </w:tc>
        <w:tc>
          <w:tcPr>
            <w:tcW w:w="1260" w:type="dxa"/>
            <w:vAlign w:val="bottom"/>
            <w:tcBorders>
              <w:top w:val="single" w:sz="8" w:color="D2EEF5"/>
            </w:tcBorders>
            <w:shd w:val="clear" w:color="auto" w:fill="D2EEF5"/>
          </w:tcPr>
          <w:p>
            <w:pPr>
              <w:spacing w:after="0"/>
              <w:rPr>
                <w:sz w:val="2"/>
                <w:szCs w:val="2"/>
                <w:color w:val="auto"/>
              </w:rPr>
            </w:pPr>
          </w:p>
        </w:tc>
        <w:tc>
          <w:tcPr>
            <w:tcW w:w="120" w:type="dxa"/>
            <w:vAlign w:val="bottom"/>
            <w:tcBorders>
              <w:top w:val="single" w:sz="8" w:color="D2EEF5"/>
            </w:tcBorders>
            <w:shd w:val="clear" w:color="auto" w:fill="D2EEF5"/>
          </w:tcPr>
          <w:p>
            <w:pPr>
              <w:spacing w:after="0"/>
              <w:rPr>
                <w:sz w:val="2"/>
                <w:szCs w:val="2"/>
                <w:color w:val="auto"/>
              </w:rPr>
            </w:pPr>
          </w:p>
        </w:tc>
        <w:tc>
          <w:tcPr>
            <w:tcW w:w="320" w:type="dxa"/>
            <w:vAlign w:val="bottom"/>
            <w:tcBorders>
              <w:top w:val="single" w:sz="8" w:color="auto"/>
            </w:tcBorders>
            <w:shd w:val="clear" w:color="auto" w:fill="D2EEF5"/>
          </w:tcPr>
          <w:p>
            <w:pPr>
              <w:spacing w:after="0"/>
              <w:rPr>
                <w:sz w:val="2"/>
                <w:szCs w:val="2"/>
                <w:color w:val="auto"/>
              </w:rPr>
            </w:pPr>
          </w:p>
        </w:tc>
        <w:tc>
          <w:tcPr>
            <w:tcW w:w="820" w:type="dxa"/>
            <w:vAlign w:val="bottom"/>
            <w:tcBorders>
              <w:top w:val="single" w:sz="8" w:color="D2EEF5"/>
            </w:tcBorders>
            <w:shd w:val="clear" w:color="auto" w:fill="D2EEF5"/>
          </w:tcPr>
          <w:p>
            <w:pPr>
              <w:spacing w:after="0"/>
              <w:rPr>
                <w:sz w:val="2"/>
                <w:szCs w:val="2"/>
                <w:color w:val="auto"/>
              </w:rPr>
            </w:pPr>
          </w:p>
        </w:tc>
        <w:tc>
          <w:tcPr>
            <w:tcW w:w="680" w:type="dxa"/>
            <w:vAlign w:val="bottom"/>
            <w:tcBorders>
              <w:top w:val="single" w:sz="8" w:color="auto"/>
            </w:tcBorders>
            <w:shd w:val="clear" w:color="auto" w:fill="D2EEF5"/>
          </w:tcPr>
          <w:p>
            <w:pPr>
              <w:spacing w:after="0"/>
              <w:rPr>
                <w:sz w:val="2"/>
                <w:szCs w:val="2"/>
                <w:color w:val="auto"/>
              </w:rPr>
            </w:pPr>
          </w:p>
        </w:tc>
        <w:tc>
          <w:tcPr>
            <w:tcW w:w="6600" w:type="dxa"/>
            <w:vAlign w:val="bottom"/>
            <w:tcBorders>
              <w:top w:val="single" w:sz="8" w:color="D2EEF5"/>
            </w:tcBorders>
            <w:shd w:val="clear" w:color="auto" w:fill="D2EEF5"/>
          </w:tcPr>
          <w:p>
            <w:pPr>
              <w:spacing w:after="0"/>
              <w:rPr>
                <w:sz w:val="2"/>
                <w:szCs w:val="2"/>
                <w:color w:val="auto"/>
              </w:rPr>
            </w:pPr>
          </w:p>
        </w:tc>
      </w:tr>
      <w:tr>
        <w:trPr>
          <w:trHeight w:val="210"/>
        </w:trPr>
        <w:tc>
          <w:tcPr>
            <w:tcW w:w="60" w:type="dxa"/>
            <w:vAlign w:val="bottom"/>
          </w:tcPr>
          <w:p>
            <w:pPr>
              <w:spacing w:after="0"/>
              <w:rPr>
                <w:sz w:val="18"/>
                <w:szCs w:val="18"/>
                <w:color w:val="auto"/>
              </w:rPr>
            </w:pPr>
          </w:p>
        </w:tc>
        <w:tc>
          <w:tcPr>
            <w:tcW w:w="1760" w:type="dxa"/>
            <w:vAlign w:val="bottom"/>
            <w:gridSpan w:val="2"/>
          </w:tcPr>
          <w:p>
            <w:pPr>
              <w:spacing w:after="0" w:line="210" w:lineRule="exact"/>
              <w:rPr>
                <w:sz w:val="20"/>
                <w:szCs w:val="20"/>
                <w:color w:val="auto"/>
              </w:rPr>
            </w:pPr>
            <w:r>
              <w:rPr>
                <w:rFonts w:ascii="Times New Roman" w:cs="Times New Roman" w:eastAsia="Times New Roman" w:hAnsi="Times New Roman"/>
                <w:sz w:val="20"/>
                <w:szCs w:val="20"/>
                <w:color w:val="auto"/>
              </w:rPr>
              <w:t>William Toler</w:t>
            </w:r>
          </w:p>
        </w:tc>
        <w:tc>
          <w:tcPr>
            <w:tcW w:w="440" w:type="dxa"/>
            <w:vAlign w:val="bottom"/>
            <w:gridSpan w:val="2"/>
          </w:tcPr>
          <w:p>
            <w:pPr>
              <w:ind w:left="120"/>
              <w:spacing w:after="0" w:line="210" w:lineRule="exact"/>
              <w:rPr>
                <w:sz w:val="20"/>
                <w:szCs w:val="20"/>
                <w:color w:val="auto"/>
              </w:rPr>
            </w:pPr>
            <w:r>
              <w:rPr>
                <w:rFonts w:ascii="Times New Roman" w:cs="Times New Roman" w:eastAsia="Times New Roman" w:hAnsi="Times New Roman"/>
                <w:sz w:val="20"/>
                <w:szCs w:val="20"/>
                <w:color w:val="auto"/>
              </w:rPr>
              <w:t>66</w:t>
            </w:r>
          </w:p>
        </w:tc>
        <w:tc>
          <w:tcPr>
            <w:tcW w:w="820" w:type="dxa"/>
            <w:vAlign w:val="bottom"/>
          </w:tcPr>
          <w:p>
            <w:pPr>
              <w:spacing w:after="0"/>
              <w:rPr>
                <w:sz w:val="18"/>
                <w:szCs w:val="18"/>
                <w:color w:val="auto"/>
              </w:rPr>
            </w:pPr>
          </w:p>
        </w:tc>
        <w:tc>
          <w:tcPr>
            <w:tcW w:w="7280" w:type="dxa"/>
            <w:vAlign w:val="bottom"/>
            <w:gridSpan w:val="2"/>
          </w:tcPr>
          <w:p>
            <w:pPr>
              <w:spacing w:after="0" w:line="210" w:lineRule="exact"/>
              <w:rPr>
                <w:sz w:val="20"/>
                <w:szCs w:val="20"/>
                <w:color w:val="auto"/>
              </w:rPr>
            </w:pPr>
            <w:r>
              <w:rPr>
                <w:rFonts w:ascii="Times New Roman" w:cs="Times New Roman" w:eastAsia="Times New Roman" w:hAnsi="Times New Roman"/>
                <w:sz w:val="20"/>
                <w:szCs w:val="20"/>
                <w:color w:val="auto"/>
              </w:rPr>
              <w:t>Chief Executive Officer, Principal Executive Officer, and Executive Chairman of the</w:t>
            </w:r>
          </w:p>
        </w:tc>
      </w:tr>
      <w:tr>
        <w:trPr>
          <w:trHeight w:val="254"/>
        </w:trPr>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Board of Directors</w:t>
            </w:r>
          </w:p>
        </w:tc>
      </w:tr>
      <w:tr>
        <w:trPr>
          <w:trHeight w:val="316"/>
        </w:trPr>
        <w:tc>
          <w:tcPr>
            <w:tcW w:w="60" w:type="dxa"/>
            <w:vAlign w:val="bottom"/>
            <w:shd w:val="clear" w:color="auto" w:fill="D2EEF5"/>
          </w:tcPr>
          <w:p>
            <w:pPr>
              <w:spacing w:after="0"/>
              <w:rPr>
                <w:sz w:val="24"/>
                <w:szCs w:val="24"/>
                <w:color w:val="auto"/>
              </w:rPr>
            </w:pPr>
          </w:p>
        </w:tc>
        <w:tc>
          <w:tcPr>
            <w:tcW w:w="1760" w:type="dxa"/>
            <w:vAlign w:val="bottom"/>
            <w:gridSpan w:val="2"/>
            <w:shd w:val="clear" w:color="auto" w:fill="D2EEF5"/>
          </w:tcPr>
          <w:p>
            <w:pPr>
              <w:spacing w:after="0"/>
              <w:rPr>
                <w:sz w:val="20"/>
                <w:szCs w:val="20"/>
                <w:color w:val="auto"/>
              </w:rPr>
            </w:pPr>
            <w:r>
              <w:rPr>
                <w:rFonts w:ascii="Times New Roman" w:cs="Times New Roman" w:eastAsia="Times New Roman" w:hAnsi="Times New Roman"/>
                <w:sz w:val="20"/>
                <w:szCs w:val="20"/>
                <w:color w:val="auto"/>
              </w:rPr>
              <w:t>Mark Parker</w:t>
            </w:r>
          </w:p>
        </w:tc>
        <w:tc>
          <w:tcPr>
            <w:tcW w:w="120" w:type="dxa"/>
            <w:vAlign w:val="bottom"/>
            <w:shd w:val="clear" w:color="auto" w:fill="D2EEF5"/>
          </w:tcPr>
          <w:p>
            <w:pPr>
              <w:spacing w:after="0"/>
              <w:rPr>
                <w:sz w:val="24"/>
                <w:szCs w:val="24"/>
                <w:color w:val="auto"/>
              </w:rPr>
            </w:pPr>
          </w:p>
        </w:tc>
        <w:tc>
          <w:tcPr>
            <w:tcW w:w="320" w:type="dxa"/>
            <w:vAlign w:val="bottom"/>
            <w:shd w:val="clear" w:color="auto" w:fill="D2EEF5"/>
          </w:tcPr>
          <w:p>
            <w:pPr>
              <w:spacing w:after="0"/>
              <w:rPr>
                <w:sz w:val="20"/>
                <w:szCs w:val="20"/>
                <w:color w:val="auto"/>
              </w:rPr>
            </w:pPr>
            <w:r>
              <w:rPr>
                <w:rFonts w:ascii="Times New Roman" w:cs="Times New Roman" w:eastAsia="Times New Roman" w:hAnsi="Times New Roman"/>
                <w:sz w:val="20"/>
                <w:szCs w:val="20"/>
                <w:color w:val="auto"/>
              </w:rPr>
              <w:t>66</w:t>
            </w:r>
          </w:p>
        </w:tc>
        <w:tc>
          <w:tcPr>
            <w:tcW w:w="820" w:type="dxa"/>
            <w:vAlign w:val="bottom"/>
            <w:shd w:val="clear" w:color="auto" w:fill="D2EEF5"/>
          </w:tcPr>
          <w:p>
            <w:pPr>
              <w:spacing w:after="0"/>
              <w:rPr>
                <w:sz w:val="24"/>
                <w:szCs w:val="24"/>
                <w:color w:val="auto"/>
              </w:rPr>
            </w:pPr>
          </w:p>
        </w:tc>
        <w:tc>
          <w:tcPr>
            <w:tcW w:w="7280" w:type="dxa"/>
            <w:vAlign w:val="bottom"/>
            <w:gridSpan w:val="2"/>
            <w:shd w:val="clear" w:color="auto" w:fill="D2EEF5"/>
          </w:tcPr>
          <w:p>
            <w:pPr>
              <w:spacing w:after="0"/>
              <w:rPr>
                <w:sz w:val="20"/>
                <w:szCs w:val="20"/>
                <w:color w:val="auto"/>
              </w:rPr>
            </w:pPr>
            <w:r>
              <w:rPr>
                <w:rFonts w:ascii="Times New Roman" w:cs="Times New Roman" w:eastAsia="Times New Roman" w:hAnsi="Times New Roman"/>
                <w:sz w:val="20"/>
                <w:szCs w:val="20"/>
                <w:color w:val="auto"/>
              </w:rPr>
              <w:t>President</w:t>
            </w:r>
          </w:p>
        </w:tc>
      </w:tr>
      <w:tr>
        <w:trPr>
          <w:trHeight w:val="308"/>
        </w:trPr>
        <w:tc>
          <w:tcPr>
            <w:tcW w:w="60" w:type="dxa"/>
            <w:vAlign w:val="bottom"/>
          </w:tcPr>
          <w:p>
            <w:pPr>
              <w:spacing w:after="0"/>
              <w:rPr>
                <w:sz w:val="24"/>
                <w:szCs w:val="24"/>
                <w:color w:val="auto"/>
              </w:rPr>
            </w:pPr>
          </w:p>
        </w:tc>
        <w:tc>
          <w:tcPr>
            <w:tcW w:w="1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Kevin O'Brien</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46</w:t>
            </w:r>
          </w:p>
        </w:tc>
        <w:tc>
          <w:tcPr>
            <w:tcW w:w="820" w:type="dxa"/>
            <w:vAlign w:val="bottom"/>
          </w:tcPr>
          <w:p>
            <w:pPr>
              <w:spacing w:after="0"/>
              <w:rPr>
                <w:sz w:val="24"/>
                <w:szCs w:val="24"/>
                <w:color w:val="auto"/>
              </w:rPr>
            </w:pPr>
          </w:p>
        </w:tc>
        <w:tc>
          <w:tcPr>
            <w:tcW w:w="7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322"/>
        </w:trPr>
        <w:tc>
          <w:tcPr>
            <w:tcW w:w="60" w:type="dxa"/>
            <w:vAlign w:val="bottom"/>
            <w:shd w:val="clear" w:color="auto" w:fill="D2EEF5"/>
          </w:tcPr>
          <w:p>
            <w:pPr>
              <w:spacing w:after="0"/>
              <w:rPr>
                <w:sz w:val="24"/>
                <w:szCs w:val="24"/>
                <w:color w:val="auto"/>
              </w:rPr>
            </w:pPr>
          </w:p>
        </w:tc>
        <w:tc>
          <w:tcPr>
            <w:tcW w:w="1760" w:type="dxa"/>
            <w:vAlign w:val="bottom"/>
            <w:gridSpan w:val="2"/>
            <w:shd w:val="clear" w:color="auto" w:fill="D2EEF5"/>
          </w:tcPr>
          <w:p>
            <w:pPr>
              <w:spacing w:after="0"/>
              <w:rPr>
                <w:sz w:val="20"/>
                <w:szCs w:val="20"/>
                <w:color w:val="auto"/>
              </w:rPr>
            </w:pPr>
            <w:r>
              <w:rPr>
                <w:rFonts w:ascii="Times New Roman" w:cs="Times New Roman" w:eastAsia="Times New Roman" w:hAnsi="Times New Roman"/>
                <w:sz w:val="20"/>
                <w:szCs w:val="20"/>
                <w:color w:val="auto"/>
              </w:rPr>
              <w:t>Erica Ackerman</w:t>
            </w:r>
          </w:p>
        </w:tc>
        <w:tc>
          <w:tcPr>
            <w:tcW w:w="120" w:type="dxa"/>
            <w:vAlign w:val="bottom"/>
            <w:shd w:val="clear" w:color="auto" w:fill="D2EEF5"/>
          </w:tcPr>
          <w:p>
            <w:pPr>
              <w:spacing w:after="0"/>
              <w:rPr>
                <w:sz w:val="24"/>
                <w:szCs w:val="24"/>
                <w:color w:val="auto"/>
              </w:rPr>
            </w:pPr>
          </w:p>
        </w:tc>
        <w:tc>
          <w:tcPr>
            <w:tcW w:w="320" w:type="dxa"/>
            <w:vAlign w:val="bottom"/>
            <w:shd w:val="clear" w:color="auto" w:fill="D2EEF5"/>
          </w:tcPr>
          <w:p>
            <w:pPr>
              <w:spacing w:after="0"/>
              <w:rPr>
                <w:sz w:val="20"/>
                <w:szCs w:val="20"/>
                <w:color w:val="auto"/>
              </w:rPr>
            </w:pPr>
            <w:r>
              <w:rPr>
                <w:rFonts w:ascii="Times New Roman" w:cs="Times New Roman" w:eastAsia="Times New Roman" w:hAnsi="Times New Roman"/>
                <w:sz w:val="20"/>
                <w:szCs w:val="20"/>
                <w:color w:val="auto"/>
              </w:rPr>
              <w:t>51</w:t>
            </w:r>
          </w:p>
        </w:tc>
        <w:tc>
          <w:tcPr>
            <w:tcW w:w="820" w:type="dxa"/>
            <w:vAlign w:val="bottom"/>
            <w:shd w:val="clear" w:color="auto" w:fill="D2EEF5"/>
          </w:tcPr>
          <w:p>
            <w:pPr>
              <w:spacing w:after="0"/>
              <w:rPr>
                <w:sz w:val="24"/>
                <w:szCs w:val="24"/>
                <w:color w:val="auto"/>
              </w:rPr>
            </w:pPr>
          </w:p>
        </w:tc>
        <w:tc>
          <w:tcPr>
            <w:tcW w:w="7280" w:type="dxa"/>
            <w:vAlign w:val="bottom"/>
            <w:gridSpan w:val="2"/>
            <w:shd w:val="clear" w:color="auto" w:fill="D2EEF5"/>
          </w:tcPr>
          <w:p>
            <w:pPr>
              <w:spacing w:after="0"/>
              <w:rPr>
                <w:sz w:val="20"/>
                <w:szCs w:val="20"/>
                <w:color w:val="auto"/>
              </w:rPr>
            </w:pPr>
            <w:r>
              <w:rPr>
                <w:rFonts w:ascii="Times New Roman" w:cs="Times New Roman" w:eastAsia="Times New Roman" w:hAnsi="Times New Roman"/>
                <w:sz w:val="20"/>
                <w:szCs w:val="20"/>
                <w:color w:val="auto"/>
              </w:rPr>
              <w:t>Chief Accounting Officer and Corporate Controller</w:t>
            </w:r>
          </w:p>
        </w:tc>
      </w:tr>
      <w:tr>
        <w:trPr>
          <w:trHeight w:val="311"/>
        </w:trPr>
        <w:tc>
          <w:tcPr>
            <w:tcW w:w="60" w:type="dxa"/>
            <w:vAlign w:val="bottom"/>
          </w:tcPr>
          <w:p>
            <w:pPr>
              <w:spacing w:after="0"/>
              <w:rPr>
                <w:sz w:val="24"/>
                <w:szCs w:val="24"/>
                <w:color w:val="auto"/>
              </w:rPr>
            </w:pPr>
          </w:p>
        </w:tc>
        <w:tc>
          <w:tcPr>
            <w:tcW w:w="1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Patrick Chung</w:t>
            </w:r>
          </w:p>
        </w:tc>
        <w:tc>
          <w:tcPr>
            <w:tcW w:w="1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20"/>
                <w:szCs w:val="20"/>
                <w:color w:val="auto"/>
              </w:rPr>
              <w:t>36</w:t>
            </w:r>
          </w:p>
        </w:tc>
        <w:tc>
          <w:tcPr>
            <w:tcW w:w="820" w:type="dxa"/>
            <w:vAlign w:val="bottom"/>
          </w:tcPr>
          <w:p>
            <w:pPr>
              <w:spacing w:after="0"/>
              <w:rPr>
                <w:sz w:val="24"/>
                <w:szCs w:val="24"/>
                <w:color w:val="auto"/>
              </w:rPr>
            </w:pPr>
          </w:p>
        </w:tc>
        <w:tc>
          <w:tcPr>
            <w:tcW w:w="7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Director, Chairperson of Compensation Committee</w:t>
            </w:r>
          </w:p>
        </w:tc>
      </w:tr>
      <w:tr>
        <w:trPr>
          <w:trHeight w:val="319"/>
        </w:trPr>
        <w:tc>
          <w:tcPr>
            <w:tcW w:w="60" w:type="dxa"/>
            <w:vAlign w:val="bottom"/>
            <w:shd w:val="clear" w:color="auto" w:fill="D2EEF5"/>
          </w:tcPr>
          <w:p>
            <w:pPr>
              <w:spacing w:after="0"/>
              <w:rPr>
                <w:sz w:val="24"/>
                <w:szCs w:val="24"/>
                <w:color w:val="auto"/>
              </w:rPr>
            </w:pPr>
          </w:p>
        </w:tc>
        <w:tc>
          <w:tcPr>
            <w:tcW w:w="1760" w:type="dxa"/>
            <w:vAlign w:val="bottom"/>
            <w:gridSpan w:val="2"/>
            <w:shd w:val="clear" w:color="auto" w:fill="D2EEF5"/>
          </w:tcPr>
          <w:p>
            <w:pPr>
              <w:spacing w:after="0"/>
              <w:rPr>
                <w:sz w:val="20"/>
                <w:szCs w:val="20"/>
                <w:color w:val="auto"/>
              </w:rPr>
            </w:pPr>
            <w:r>
              <w:rPr>
                <w:rFonts w:ascii="Times New Roman" w:cs="Times New Roman" w:eastAsia="Times New Roman" w:hAnsi="Times New Roman"/>
                <w:sz w:val="20"/>
                <w:szCs w:val="20"/>
                <w:color w:val="auto"/>
              </w:rPr>
              <w:t>Renah Persofsky</w:t>
            </w:r>
          </w:p>
        </w:tc>
        <w:tc>
          <w:tcPr>
            <w:tcW w:w="120" w:type="dxa"/>
            <w:vAlign w:val="bottom"/>
            <w:shd w:val="clear" w:color="auto" w:fill="D2EEF5"/>
          </w:tcPr>
          <w:p>
            <w:pPr>
              <w:spacing w:after="0"/>
              <w:rPr>
                <w:sz w:val="24"/>
                <w:szCs w:val="24"/>
                <w:color w:val="auto"/>
              </w:rPr>
            </w:pPr>
          </w:p>
        </w:tc>
        <w:tc>
          <w:tcPr>
            <w:tcW w:w="320" w:type="dxa"/>
            <w:vAlign w:val="bottom"/>
            <w:shd w:val="clear" w:color="auto" w:fill="D2EEF5"/>
          </w:tcPr>
          <w:p>
            <w:pPr>
              <w:spacing w:after="0"/>
              <w:rPr>
                <w:sz w:val="20"/>
                <w:szCs w:val="20"/>
                <w:color w:val="auto"/>
              </w:rPr>
            </w:pPr>
            <w:r>
              <w:rPr>
                <w:rFonts w:ascii="Times New Roman" w:cs="Times New Roman" w:eastAsia="Times New Roman" w:hAnsi="Times New Roman"/>
                <w:sz w:val="20"/>
                <w:szCs w:val="20"/>
                <w:color w:val="auto"/>
              </w:rPr>
              <w:t>67</w:t>
            </w:r>
          </w:p>
        </w:tc>
        <w:tc>
          <w:tcPr>
            <w:tcW w:w="820" w:type="dxa"/>
            <w:vAlign w:val="bottom"/>
            <w:shd w:val="clear" w:color="auto" w:fill="D2EEF5"/>
          </w:tcPr>
          <w:p>
            <w:pPr>
              <w:spacing w:after="0"/>
              <w:rPr>
                <w:sz w:val="24"/>
                <w:szCs w:val="24"/>
                <w:color w:val="auto"/>
              </w:rPr>
            </w:pPr>
          </w:p>
        </w:tc>
        <w:tc>
          <w:tcPr>
            <w:tcW w:w="7280" w:type="dxa"/>
            <w:vAlign w:val="bottom"/>
            <w:gridSpan w:val="2"/>
            <w:shd w:val="clear" w:color="auto" w:fill="D2EEF5"/>
          </w:tcPr>
          <w:p>
            <w:pPr>
              <w:spacing w:after="0"/>
              <w:rPr>
                <w:sz w:val="20"/>
                <w:szCs w:val="20"/>
                <w:color w:val="auto"/>
              </w:rPr>
            </w:pPr>
            <w:r>
              <w:rPr>
                <w:rFonts w:ascii="Times New Roman" w:cs="Times New Roman" w:eastAsia="Times New Roman" w:hAnsi="Times New Roman"/>
                <w:sz w:val="20"/>
                <w:szCs w:val="20"/>
                <w:color w:val="auto"/>
              </w:rPr>
              <w:t>Director, Chairperson of Nominating and Corporate Governance Committee</w:t>
            </w:r>
          </w:p>
        </w:tc>
      </w:tr>
      <w:tr>
        <w:trPr>
          <w:trHeight w:val="308"/>
        </w:trPr>
        <w:tc>
          <w:tcPr>
            <w:tcW w:w="60" w:type="dxa"/>
            <w:vAlign w:val="bottom"/>
          </w:tcPr>
          <w:p>
            <w:pPr>
              <w:spacing w:after="0"/>
              <w:rPr>
                <w:sz w:val="24"/>
                <w:szCs w:val="24"/>
                <w:color w:val="auto"/>
              </w:rPr>
            </w:pPr>
          </w:p>
        </w:tc>
        <w:tc>
          <w:tcPr>
            <w:tcW w:w="1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Melisa Denis</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62</w:t>
            </w:r>
          </w:p>
        </w:tc>
        <w:tc>
          <w:tcPr>
            <w:tcW w:w="820" w:type="dxa"/>
            <w:vAlign w:val="bottom"/>
          </w:tcPr>
          <w:p>
            <w:pPr>
              <w:spacing w:after="0"/>
              <w:rPr>
                <w:sz w:val="24"/>
                <w:szCs w:val="24"/>
                <w:color w:val="auto"/>
              </w:rPr>
            </w:pPr>
          </w:p>
        </w:tc>
        <w:tc>
          <w:tcPr>
            <w:tcW w:w="7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Director, Chairperson of Audit Committee</w:t>
            </w:r>
          </w:p>
        </w:tc>
      </w:tr>
      <w:tr>
        <w:trPr>
          <w:trHeight w:val="322"/>
        </w:trPr>
        <w:tc>
          <w:tcPr>
            <w:tcW w:w="60" w:type="dxa"/>
            <w:vAlign w:val="bottom"/>
            <w:shd w:val="clear" w:color="auto" w:fill="D2EEF5"/>
          </w:tcPr>
          <w:p>
            <w:pPr>
              <w:spacing w:after="0"/>
              <w:rPr>
                <w:sz w:val="24"/>
                <w:szCs w:val="24"/>
                <w:color w:val="auto"/>
              </w:rPr>
            </w:pPr>
          </w:p>
        </w:tc>
        <w:tc>
          <w:tcPr>
            <w:tcW w:w="1760" w:type="dxa"/>
            <w:vAlign w:val="bottom"/>
            <w:gridSpan w:val="2"/>
            <w:shd w:val="clear" w:color="auto" w:fill="D2EEF5"/>
          </w:tcPr>
          <w:p>
            <w:pPr>
              <w:spacing w:after="0"/>
              <w:rPr>
                <w:sz w:val="20"/>
                <w:szCs w:val="20"/>
                <w:color w:val="auto"/>
              </w:rPr>
            </w:pPr>
            <w:r>
              <w:rPr>
                <w:rFonts w:ascii="Times New Roman" w:cs="Times New Roman" w:eastAsia="Times New Roman" w:hAnsi="Times New Roman"/>
                <w:sz w:val="20"/>
                <w:szCs w:val="20"/>
                <w:color w:val="auto"/>
              </w:rPr>
              <w:t>Chris Yetter</w:t>
            </w:r>
          </w:p>
        </w:tc>
        <w:tc>
          <w:tcPr>
            <w:tcW w:w="120" w:type="dxa"/>
            <w:vAlign w:val="bottom"/>
            <w:shd w:val="clear" w:color="auto" w:fill="D2EEF5"/>
          </w:tcPr>
          <w:p>
            <w:pPr>
              <w:spacing w:after="0"/>
              <w:rPr>
                <w:sz w:val="24"/>
                <w:szCs w:val="24"/>
                <w:color w:val="auto"/>
              </w:rPr>
            </w:pPr>
          </w:p>
        </w:tc>
        <w:tc>
          <w:tcPr>
            <w:tcW w:w="320" w:type="dxa"/>
            <w:vAlign w:val="bottom"/>
            <w:shd w:val="clear" w:color="auto" w:fill="D2EEF5"/>
          </w:tcPr>
          <w:p>
            <w:pPr>
              <w:spacing w:after="0"/>
              <w:rPr>
                <w:sz w:val="20"/>
                <w:szCs w:val="20"/>
                <w:color w:val="auto"/>
              </w:rPr>
            </w:pPr>
            <w:r>
              <w:rPr>
                <w:rFonts w:ascii="Times New Roman" w:cs="Times New Roman" w:eastAsia="Times New Roman" w:hAnsi="Times New Roman"/>
                <w:sz w:val="20"/>
                <w:szCs w:val="20"/>
                <w:color w:val="auto"/>
              </w:rPr>
              <w:t>41</w:t>
            </w:r>
          </w:p>
        </w:tc>
        <w:tc>
          <w:tcPr>
            <w:tcW w:w="820" w:type="dxa"/>
            <w:vAlign w:val="bottom"/>
            <w:shd w:val="clear" w:color="auto" w:fill="D2EEF5"/>
          </w:tcPr>
          <w:p>
            <w:pPr>
              <w:spacing w:after="0"/>
              <w:rPr>
                <w:sz w:val="24"/>
                <w:szCs w:val="24"/>
                <w:color w:val="auto"/>
              </w:rPr>
            </w:pPr>
          </w:p>
        </w:tc>
        <w:tc>
          <w:tcPr>
            <w:tcW w:w="7280" w:type="dxa"/>
            <w:vAlign w:val="bottom"/>
            <w:gridSpan w:val="2"/>
            <w:shd w:val="clear" w:color="auto" w:fill="D2EEF5"/>
          </w:tcPr>
          <w:p>
            <w:pPr>
              <w:spacing w:after="0"/>
              <w:rPr>
                <w:sz w:val="20"/>
                <w:szCs w:val="20"/>
                <w:color w:val="auto"/>
              </w:rPr>
            </w:pPr>
            <w:r>
              <w:rPr>
                <w:rFonts w:ascii="Times New Roman" w:cs="Times New Roman" w:eastAsia="Times New Roman" w:hAnsi="Times New Roman"/>
                <w:sz w:val="20"/>
                <w:szCs w:val="20"/>
                <w:color w:val="auto"/>
              </w:rPr>
              <w:t>Director</w:t>
            </w:r>
          </w:p>
        </w:tc>
      </w:tr>
    </w:tbl>
    <w:p>
      <w:pPr>
        <w:spacing w:after="0" w:line="1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William Toler, Chief Executive Officer and Executive Chairman of the Board of Directors</w:t>
      </w:r>
    </w:p>
    <w:p>
      <w:pPr>
        <w:spacing w:after="0" w:line="207" w:lineRule="exact"/>
        <w:rPr>
          <w:sz w:val="20"/>
          <w:szCs w:val="20"/>
          <w:color w:val="auto"/>
        </w:rPr>
      </w:pPr>
    </w:p>
    <w:p>
      <w:pPr>
        <w:jc w:val="both"/>
        <w:ind w:left="160" w:firstLine="720"/>
        <w:spacing w:after="0" w:line="253" w:lineRule="auto"/>
        <w:rPr>
          <w:sz w:val="20"/>
          <w:szCs w:val="20"/>
          <w:color w:val="auto"/>
        </w:rPr>
      </w:pPr>
      <w:r>
        <w:rPr>
          <w:rFonts w:ascii="Times New Roman" w:cs="Times New Roman" w:eastAsia="Times New Roman" w:hAnsi="Times New Roman"/>
          <w:sz w:val="20"/>
          <w:szCs w:val="20"/>
          <w:color w:val="auto"/>
        </w:rPr>
        <w:t>Mr. Toler assumed the role of Chief Executive Officer in December 2025, after previously serving in the role from January 2019 until his appointment to the office of Executive Chairman of the Board in January 2025. Prior to joining Hydrofarm in 2019, Mr. Toler was the Chief Executive Officer of Hostess Brands, Inc. (Nasdaq: TWNK) ("Hostess"), a food and beverage company, from April 2014 to March 2018. Under his leadership, Hostess successfully re-established the iconic Hostess brand as a leader within the sweet baked goods category, returned the company to profitability and transitioned Hostess from a private to public company. Mr. Toler has over 35 years of executive leadership experience in supply chain management and consumer packaged goods, including previously having served as Chief Executive Officer of AdvancePierre Foods, from September 2008 to August 2013, and President of Pinnacle Foods. He has also held executive roles at Campbell Soup Company (NYSE: CPB), Nabisco, and Procter &amp; Gamble (NYSE: PG). Mr. Toler served on the board of directors of Collier Creek Holdings from September 2018 to September 2020, Hostess Brands from May 2014 to March 2018, AdvancePierre Foods from 2008 to 2013 and Pinnacle Foods from 2007 to 2008. In addition, Mr. Toler has also served as a senior advisor at Oaktree Capital Management, an investment management firm, from September 2013 to April 2014. Mr. Toler holds a B.A. in Business Management and Economics from North Carolina State University.</w:t>
      </w:r>
    </w:p>
    <w:p>
      <w:pPr>
        <w:spacing w:after="0" w:line="1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Mark Parker, President</w:t>
      </w:r>
    </w:p>
    <w:p>
      <w:pPr>
        <w:spacing w:after="0" w:line="207" w:lineRule="exact"/>
        <w:rPr>
          <w:sz w:val="20"/>
          <w:szCs w:val="20"/>
          <w:color w:val="auto"/>
        </w:rPr>
      </w:pPr>
    </w:p>
    <w:p>
      <w:pPr>
        <w:jc w:val="both"/>
        <w:ind w:left="160" w:firstLine="720"/>
        <w:spacing w:after="0" w:line="254" w:lineRule="auto"/>
        <w:rPr>
          <w:sz w:val="20"/>
          <w:szCs w:val="20"/>
          <w:color w:val="auto"/>
        </w:rPr>
      </w:pPr>
      <w:r>
        <w:rPr>
          <w:rFonts w:ascii="Times New Roman" w:cs="Times New Roman" w:eastAsia="Times New Roman" w:hAnsi="Times New Roman"/>
          <w:sz w:val="20"/>
          <w:szCs w:val="20"/>
          <w:color w:val="auto"/>
        </w:rPr>
        <w:t>Mr. Parker has served as our President since January 2025. Mr. Parker served as the Company’s Executive Vice President of Sales and Business Development from February 2022 to January 2025. Mr. Parker has over 30 years of experience in sales and marketing, and leading complex integration projects in multiple industries, in particular with consumer packaging goods. From May 2019 until February 2022, Mr. Parker served as the Company’s Senior Vice President of Business Development. Prior to joining Hydrofarm, Mr. Parker was the founder and Chief Executive Officer of iQ Solutions, where he spent nine years assisting organizations in commercialization efforts focused on sales and marketing. Mr. Parker also previously served as Senior Vice President of Trade Marketing, U.S. Soup Division, for Campbell Soup Company (NYSE: CPB), where he introduced innovative initiatives as “Soup to Go” (convenience in a package) and iQ Shelf, an in-store approach to simplify consumer shopping experience and drive mutual share growth. Mr. Parker holds a Bachelor of Science in Economics from Wingate University.</w:t>
      </w:r>
    </w:p>
    <w:p>
      <w:pPr>
        <w:spacing w:after="0" w:line="1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Kevin O’Brien, Chief Financial Officer</w:t>
      </w:r>
    </w:p>
    <w:p>
      <w:pPr>
        <w:spacing w:after="0" w:line="208" w:lineRule="exact"/>
        <w:rPr>
          <w:sz w:val="20"/>
          <w:szCs w:val="20"/>
          <w:color w:val="auto"/>
        </w:rPr>
      </w:pPr>
    </w:p>
    <w:p>
      <w:pPr>
        <w:jc w:val="both"/>
        <w:ind w:left="160" w:firstLine="720"/>
        <w:spacing w:after="0" w:line="276" w:lineRule="auto"/>
        <w:rPr>
          <w:sz w:val="20"/>
          <w:szCs w:val="20"/>
          <w:color w:val="auto"/>
        </w:rPr>
      </w:pPr>
      <w:r>
        <w:rPr>
          <w:rFonts w:ascii="Times New Roman" w:cs="Times New Roman" w:eastAsia="Times New Roman" w:hAnsi="Times New Roman"/>
          <w:sz w:val="19"/>
          <w:szCs w:val="19"/>
          <w:color w:val="auto"/>
        </w:rPr>
        <w:t>Mr. O’Brien has served as our Chief Financial Officer since January 2025. Mr. O’Brien had served as the Company’s Chief Accounting Officer from March 2022 to January 2025. Prior to joining Hydrofarm, Mr. O’Brien served as the Chief Accounting Officer of CPI Card Group Inc. (Nasdaq: PMTS) from April 2018 to March 2022. Mr. O’Brien previously served as the Director of Corporate Accounting and SEC Reporting at the same company from March 2016 until April 2018. Mr. O’Brien has over 20 years of accounting experience, including serving as a Senior Audit Manager at Deloitte &amp; Touche LLP. Mr.</w:t>
      </w:r>
    </w:p>
    <w:p>
      <w:pPr>
        <w:sectPr>
          <w:pgSz w:w="12240" w:h="15840" w:orient="portrait"/>
          <w:cols w:equalWidth="0" w:num="1">
            <w:col w:w="10420"/>
          </w:cols>
          <w:pgMar w:left="840" w:top="430" w:right="980" w:bottom="0" w:gutter="0" w:footer="0" w:header="0"/>
        </w:sectPr>
      </w:pPr>
    </w:p>
    <w:p>
      <w:pPr>
        <w:spacing w:after="0" w:line="200" w:lineRule="exact"/>
        <w:rPr>
          <w:sz w:val="20"/>
          <w:szCs w:val="20"/>
          <w:color w:val="auto"/>
        </w:rPr>
      </w:pPr>
    </w:p>
    <w:p>
      <w:pPr>
        <w:spacing w:after="0" w:line="35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0"/>
          <w:szCs w:val="20"/>
          <w:color w:val="auto"/>
        </w:rPr>
        <w:t>93</w:t>
      </w:r>
    </w:p>
    <w:p>
      <w:pPr>
        <w:sectPr>
          <w:pgSz w:w="12240" w:h="15840" w:orient="portrait"/>
          <w:cols w:equalWidth="0" w:num="1">
            <w:col w:w="10420"/>
          </w:cols>
          <w:pgMar w:left="840" w:top="430" w:right="980" w:bottom="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9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color w:val="auto"/>
        </w:rPr>
        <w:t>O’Brien is a Colorado Certified Public Accountant and received a Bachelor of Science in Business with an emphasis in Accounting from University of Colorado and a Master of Science with an emphasis in Accounting from the same institution.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Erica Ackerman, Chief Accounting Officer and Corporate Controller</w:t>
      </w:r>
    </w:p>
    <w:p>
      <w:pPr>
        <w:spacing w:after="0" w:line="208"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Ms. Ackerman has served as our Chief Accounting Officer since January 2025 and Corporate Controller since March 2023. Ms. Ackerman served as the Company's Assistant Controller from March 2021 to March 2023. Prior to joining Hydrofarm, Ms. Ackerman spent over 14 years at McKesson Corporation, including as Director of Global Corporate Reporting from June 2018 to July 2020 and as Senior Manager of Technical Accounting from January 2013 to June 2018. Ms. Ackerman is a California Certified Public Accountant and earned her Bachelor of Business Administration from the University of Washington Foster School of Business.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Patrick Chung, Director</w:t>
      </w:r>
    </w:p>
    <w:p>
      <w:pPr>
        <w:spacing w:after="0" w:line="207"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Mr. Chung has served as our director since November 10, 2020. Mr. Chung has served as Vice President of Finance at Tricap Properties since October 2024. Previously, Mr. Chung served as the as Vice President of Investments at CentreCourt from October 2022 to October 2024. Previously, Mr. Chung served as Vice President of Finance at Serruya Private Equity Inc. from March 2018 to October 2022. In this role, Mr. Chung oversaw financial reporting and asset management for the fund, led the real estate investments team, and played a strategic role in the growth of investee companies. Previously, Mr. Chung was the Director of Finance for Inside Edge Properties Ltd. from March 2017 to March 2018. From January 2015 to March 2017, Mr. Chung served as the Assistant Manager of Finance Advisory for Deloitte. Prior to January 2015, Mr. Chung served as an Associate of Risk Assurance Services at PricewaterhouseCoopers Canada. In December 2015, Mr. Chung was designated as a Chartered Professional Accountant by the Chartered Professional Accountants of Ontario. Mr. Chung received his Bachelor of Accounting and Finance and Minor in Economics from the University of Waterloo in December 2011 and his Masters of Accounting from the University of Waterloo in August 2012. Mr. Chung was selected to serve on our board of directors because of his expertise in financial accounting and investment management.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Renah Persofsky, Director</w:t>
      </w:r>
    </w:p>
    <w:p>
      <w:pPr>
        <w:spacing w:after="0" w:line="208"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Ms. Persofsky has served as our director since November 10, 2020. Ms. Persofsky has over 40 years of business experience. Ms. Persofsky served as the Chief Executive Officer of Strajectory Corp. from 2010 to October 2024 and served as an executive consultant of Canadian Imperial Bank of Commerce (NYSE: CM) from 2011 to 2021. Ms. Persofsky has served as the Chairwoman of Hub Cyber Security (Nasdaq: HUBC) since March 2025; as the Chairwoman of BookJane Inc. from October 2016 to December 2021; a director of Tilray Brands, Inc. (Nasdaq: TLRY) (f/k/a Aphria Inc.) since October 2017 and the Vice Chairwoman and Lead Director since October 2019; the Chairwoman of Green Gruff Inc. since July 2019; a director of Greenlane Holdings (Nasdaq: GNLN) from April 2022 to October 2025; and a director at Oceansix Future Paths Ltd. (TSXV: OSIX) (f/k/a K.B. Recycling Industries Ltd.) from April 2021 to January 2025. Ms. Persofsky has also previously served as an executive consultant to many iconic brands including Tim Hortons, Canadian Tire (OTCMKTS: CDNAF), Canada Post and Interac, and was an executive officer of the Bank of Montreal (NYSE: BMO). Ms. Persofsky previously co-chaired the Canadian Minister’s Advisory Committee on Electronic Commerce, as well as served as a special advisor to the Minister of Foreign Affairs and Trade. Ms. Persofsky received her degree from the Rotman School of Management at the University of Toronto. Ms. Persofsky was selected to serve on our board of directors because of her global business and e-commerce expertise, and her experience with the cannabis industry.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Melisa Denis, Director</w:t>
      </w:r>
    </w:p>
    <w:p>
      <w:pPr>
        <w:spacing w:after="0" w:line="207"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Ms. Denis has served as our director since November 20, 2020. Ms. Denis is currently President of Miracle Pointe Development, a real estate development company. Ms. Denis has served as a director and Chair of the Audit Committee of Smartkem, Inc. (OTCMKTS: SMTK), an electronics and display technology organization, since November 2023. Ms. Denis previously served as a partner at KPMG from 1998 to October 2020, including as National Tax Leader for Consumer Goods and as the leader of the Consumer and Industrial Market for the Southwest. Ms. Denis has served as a member of the Board of Regents for the University of North Texas System since January 2020, where she was recently elected as the Vice Chair of the Board of Regents. Ms. Denis serves as Co-Chair for Women Corporate Directors in Dallas/Fort Worth. Ms. Denis is a Certified Public Accountant and received her degree in accounting and her Masters of accounting and tax from the University of North Texas. Ms. Denis was selected to serve on our board of directors because of her significant financial and tax experience, including experience with companies in the consumer goods industry.</w:t>
      </w:r>
    </w:p>
    <w:p>
      <w:pPr>
        <w:sectPr>
          <w:pgSz w:w="12240" w:h="15840" w:orient="portrait"/>
          <w:cols w:equalWidth="0" w:num="1">
            <w:col w:w="10260"/>
          </w:cols>
          <w:pgMar w:left="1000" w:top="43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94</w:t>
      </w:r>
    </w:p>
    <w:p>
      <w:pPr>
        <w:sectPr>
          <w:pgSz w:w="12240" w:h="15840" w:orient="portrait"/>
          <w:cols w:equalWidth="0" w:num="1">
            <w:col w:w="10260"/>
          </w:cols>
          <w:pgMar w:left="1000" w:top="430" w:right="980" w:bottom="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Chris Yetter, Director</w:t>
      </w:r>
    </w:p>
    <w:p>
      <w:pPr>
        <w:spacing w:after="0" w:line="207"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Mr. Yetter has served as our director since October 1, 2025. Mr. Yetter has served since 2018 as the Founder and Chief Investment Officer of Dumont Global, a private investment partnership and affiliate of Dumont Master Fund LP, a long standing stockholder of the Company. Mr. Yetter also serves as a director for Minneapolis Cider Co. (d.b.a. Trail Magic), a producer of cider and hemp-derived beverages, a position he has held since 2024. Mr. Yetter has extensive experience as a professional investor in public companies focused on health and wellness, including a large portfolio in the U.S. regulated cannabis industry. Mr. Yetter was selected to serve on our board of directors because of his expertise in investment management and industry experience.</w:t>
      </w:r>
    </w:p>
    <w:p>
      <w:pPr>
        <w:spacing w:after="0" w:line="360"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Item 11.</w:t>
      </w:r>
      <w:r>
        <w:rPr>
          <w:sz w:val="20"/>
          <w:szCs w:val="20"/>
          <w:color w:val="auto"/>
        </w:rPr>
        <w:tab/>
      </w:r>
      <w:r>
        <w:rPr>
          <w:rFonts w:ascii="Times New Roman" w:cs="Times New Roman" w:eastAsia="Times New Roman" w:hAnsi="Times New Roman"/>
          <w:sz w:val="19"/>
          <w:szCs w:val="19"/>
          <w:b w:val="1"/>
          <w:bCs w:val="1"/>
          <w:color w:val="auto"/>
        </w:rPr>
        <w:t>EXECUTIVE COMPENSATION</w:t>
      </w:r>
    </w:p>
    <w:p>
      <w:pPr>
        <w:spacing w:after="0" w:line="214" w:lineRule="exact"/>
        <w:rPr>
          <w:sz w:val="20"/>
          <w:szCs w:val="20"/>
          <w:color w:val="auto"/>
        </w:rPr>
      </w:pPr>
    </w:p>
    <w:p>
      <w:pPr>
        <w:jc w:val="both"/>
        <w:ind w:right="20" w:firstLine="720"/>
        <w:spacing w:after="0" w:line="287" w:lineRule="auto"/>
        <w:rPr>
          <w:sz w:val="20"/>
          <w:szCs w:val="20"/>
          <w:color w:val="auto"/>
        </w:rPr>
      </w:pPr>
      <w:r>
        <w:rPr>
          <w:rFonts w:ascii="Times New Roman" w:cs="Times New Roman" w:eastAsia="Times New Roman" w:hAnsi="Times New Roman"/>
          <w:sz w:val="20"/>
          <w:szCs w:val="20"/>
          <w:color w:val="auto"/>
        </w:rPr>
        <w:t>The information required by this Item will be included in the 2026 Proxy Statement and is incorporated herein by reference.</w:t>
      </w:r>
    </w:p>
    <w:p>
      <w:pPr>
        <w:spacing w:after="0" w:line="32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117" w:lineRule="exact"/>
        <w:rPr>
          <w:sz w:val="20"/>
          <w:szCs w:val="20"/>
          <w:color w:val="auto"/>
        </w:rPr>
      </w:pPr>
    </w:p>
    <w:p>
      <w:pPr>
        <w:jc w:val="both"/>
        <w:ind w:right="20" w:firstLine="720"/>
        <w:spacing w:after="0" w:line="287" w:lineRule="auto"/>
        <w:rPr>
          <w:sz w:val="20"/>
          <w:szCs w:val="20"/>
          <w:color w:val="auto"/>
        </w:rPr>
      </w:pPr>
      <w:r>
        <w:rPr>
          <w:rFonts w:ascii="Times New Roman" w:cs="Times New Roman" w:eastAsia="Times New Roman" w:hAnsi="Times New Roman"/>
          <w:sz w:val="20"/>
          <w:szCs w:val="20"/>
          <w:color w:val="auto"/>
        </w:rPr>
        <w:t>The information required by this Item will be included in the 2026 Proxy Statement and is incorporated herein by reference.</w:t>
      </w:r>
    </w:p>
    <w:p>
      <w:pPr>
        <w:spacing w:after="0" w:line="326" w:lineRule="exact"/>
        <w:rPr>
          <w:sz w:val="20"/>
          <w:szCs w:val="20"/>
          <w:color w:val="auto"/>
        </w:rPr>
      </w:pPr>
    </w:p>
    <w:p>
      <w:pPr>
        <w:ind w:right="1500"/>
        <w:spacing w:after="0" w:line="296" w:lineRule="auto"/>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117" w:lineRule="exact"/>
        <w:rPr>
          <w:sz w:val="20"/>
          <w:szCs w:val="20"/>
          <w:color w:val="auto"/>
        </w:rPr>
      </w:pPr>
    </w:p>
    <w:p>
      <w:pPr>
        <w:ind w:right="20" w:firstLine="720"/>
        <w:spacing w:after="0" w:line="287" w:lineRule="auto"/>
        <w:rPr>
          <w:sz w:val="20"/>
          <w:szCs w:val="20"/>
          <w:color w:val="auto"/>
        </w:rPr>
      </w:pPr>
      <w:r>
        <w:rPr>
          <w:rFonts w:ascii="Times New Roman" w:cs="Times New Roman" w:eastAsia="Times New Roman" w:hAnsi="Times New Roman"/>
          <w:sz w:val="20"/>
          <w:szCs w:val="20"/>
          <w:color w:val="auto"/>
        </w:rPr>
        <w:t>The information required by this Item will be included in the 2026 Proxy Statement and is incorporated herein by reference.</w:t>
      </w:r>
    </w:p>
    <w:p>
      <w:pPr>
        <w:spacing w:after="0" w:line="326"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Item 14.</w:t>
      </w:r>
      <w:r>
        <w:rPr>
          <w:sz w:val="20"/>
          <w:szCs w:val="20"/>
          <w:color w:val="auto"/>
        </w:rPr>
        <w:tab/>
      </w:r>
      <w:r>
        <w:rPr>
          <w:rFonts w:ascii="Times New Roman" w:cs="Times New Roman" w:eastAsia="Times New Roman" w:hAnsi="Times New Roman"/>
          <w:sz w:val="19"/>
          <w:szCs w:val="19"/>
          <w:b w:val="1"/>
          <w:bCs w:val="1"/>
          <w:color w:val="auto"/>
        </w:rPr>
        <w:t>PRINCIPAL ACCOUNTING FEES AND SERVICES</w:t>
      </w:r>
    </w:p>
    <w:p>
      <w:pPr>
        <w:spacing w:after="0" w:line="214" w:lineRule="exact"/>
        <w:rPr>
          <w:sz w:val="20"/>
          <w:szCs w:val="20"/>
          <w:color w:val="auto"/>
        </w:rPr>
      </w:pPr>
    </w:p>
    <w:p>
      <w:pPr>
        <w:ind w:right="20" w:firstLine="720"/>
        <w:spacing w:after="0" w:line="287" w:lineRule="auto"/>
        <w:rPr>
          <w:sz w:val="20"/>
          <w:szCs w:val="20"/>
          <w:color w:val="auto"/>
        </w:rPr>
      </w:pPr>
      <w:r>
        <w:rPr>
          <w:rFonts w:ascii="Times New Roman" w:cs="Times New Roman" w:eastAsia="Times New Roman" w:hAnsi="Times New Roman"/>
          <w:sz w:val="20"/>
          <w:szCs w:val="20"/>
          <w:color w:val="auto"/>
        </w:rPr>
        <w:t>The information required by this Item will be included in the 2026 Proxy Statement and is incorporated herein by reference.</w:t>
      </w:r>
    </w:p>
    <w:p>
      <w:pPr>
        <w:sectPr>
          <w:pgSz w:w="12240" w:h="15840" w:orient="portrait"/>
          <w:cols w:equalWidth="0" w:num="1">
            <w:col w:w="10260"/>
          </w:cols>
          <w:pgMar w:left="1000" w:top="43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95</w:t>
      </w:r>
    </w:p>
    <w:p>
      <w:pPr>
        <w:sectPr>
          <w:pgSz w:w="12240" w:h="15840" w:orient="portrait"/>
          <w:cols w:equalWidth="0" w:num="1">
            <w:col w:w="10260"/>
          </w:cols>
          <w:pgMar w:left="1000" w:top="430" w:right="980" w:bottom="0" w:gutter="0" w:footer="0" w:header="0"/>
          <w:type w:val="continuous"/>
        </w:sectPr>
      </w:pPr>
    </w:p>
    <w:bookmarkStart w:id="97" w:name="page98"/>
    <w:bookmarkEnd w:id="97"/>
    <w:p>
      <w:pPr>
        <w:ind w:left="60"/>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87" w:lineRule="exact"/>
        <w:rPr>
          <w:sz w:val="20"/>
          <w:szCs w:val="20"/>
          <w:color w:val="auto"/>
        </w:rPr>
      </w:pPr>
    </w:p>
    <w:p>
      <w:pPr>
        <w:ind w:left="60"/>
        <w:spacing w:after="0"/>
        <w:tabs>
          <w:tab w:leader="none" w:pos="1460" w:val="left"/>
        </w:tabs>
        <w:rPr>
          <w:sz w:val="20"/>
          <w:szCs w:val="20"/>
          <w:color w:val="auto"/>
        </w:rPr>
      </w:pPr>
      <w:r>
        <w:rPr>
          <w:rFonts w:ascii="Times New Roman" w:cs="Times New Roman" w:eastAsia="Times New Roman" w:hAnsi="Times New Roman"/>
          <w:sz w:val="20"/>
          <w:szCs w:val="20"/>
          <w:b w:val="1"/>
          <w:bCs w:val="1"/>
          <w:color w:val="auto"/>
        </w:rPr>
        <w:t>Item 15.</w:t>
      </w:r>
      <w:r>
        <w:rPr>
          <w:sz w:val="20"/>
          <w:szCs w:val="20"/>
          <w:color w:val="auto"/>
        </w:rPr>
        <w:tab/>
      </w:r>
      <w:r>
        <w:rPr>
          <w:rFonts w:ascii="Times New Roman" w:cs="Times New Roman" w:eastAsia="Times New Roman" w:hAnsi="Times New Roman"/>
          <w:sz w:val="20"/>
          <w:szCs w:val="20"/>
          <w:b w:val="1"/>
          <w:bCs w:val="1"/>
          <w:color w:val="auto"/>
        </w:rPr>
        <w:t>Exhibits, Financial Statement Schedules.</w:t>
      </w:r>
    </w:p>
    <w:p>
      <w:pPr>
        <w:spacing w:after="0" w:line="250" w:lineRule="exact"/>
        <w:rPr>
          <w:sz w:val="20"/>
          <w:szCs w:val="20"/>
          <w:color w:val="auto"/>
        </w:rPr>
      </w:pPr>
    </w:p>
    <w:p>
      <w:pPr>
        <w:ind w:left="780" w:hanging="680"/>
        <w:spacing w:after="0"/>
        <w:tabs>
          <w:tab w:leader="none" w:pos="780" w:val="left"/>
        </w:tabs>
        <w:numPr>
          <w:ilvl w:val="1"/>
          <w:numId w:val="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Consolidated Financial Statements</w:t>
      </w:r>
    </w:p>
    <w:p>
      <w:pPr>
        <w:spacing w:after="0" w:line="254" w:lineRule="exact"/>
        <w:rPr>
          <w:rFonts w:ascii="Times New Roman" w:cs="Times New Roman" w:eastAsia="Times New Roman" w:hAnsi="Times New Roman"/>
          <w:sz w:val="20"/>
          <w:szCs w:val="20"/>
          <w:b w:val="1"/>
          <w:bCs w:val="1"/>
          <w:color w:val="auto"/>
        </w:rPr>
      </w:pPr>
    </w:p>
    <w:p>
      <w:pPr>
        <w:ind w:left="78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See Index to Consolidated Financial Statements at Item 8 herein.</w:t>
      </w:r>
    </w:p>
    <w:p>
      <w:pPr>
        <w:spacing w:after="0" w:line="246" w:lineRule="exact"/>
        <w:rPr>
          <w:rFonts w:ascii="Times New Roman" w:cs="Times New Roman" w:eastAsia="Times New Roman" w:hAnsi="Times New Roman"/>
          <w:sz w:val="20"/>
          <w:szCs w:val="20"/>
          <w:b w:val="1"/>
          <w:bCs w:val="1"/>
          <w:color w:val="auto"/>
        </w:rPr>
      </w:pPr>
    </w:p>
    <w:p>
      <w:pPr>
        <w:ind w:left="780" w:hanging="730"/>
        <w:spacing w:after="0"/>
        <w:tabs>
          <w:tab w:leader="none" w:pos="780" w:val="left"/>
        </w:tabs>
        <w:numPr>
          <w:ilvl w:val="0"/>
          <w:numId w:val="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Financial Statement Schedules</w:t>
      </w:r>
    </w:p>
    <w:p>
      <w:pPr>
        <w:spacing w:after="0" w:line="254" w:lineRule="exact"/>
        <w:rPr>
          <w:rFonts w:ascii="Times New Roman" w:cs="Times New Roman" w:eastAsia="Times New Roman" w:hAnsi="Times New Roman"/>
          <w:sz w:val="20"/>
          <w:szCs w:val="20"/>
          <w:b w:val="1"/>
          <w:bCs w:val="1"/>
          <w:color w:val="auto"/>
        </w:rPr>
      </w:pPr>
    </w:p>
    <w:p>
      <w:pPr>
        <w:ind w:left="78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See Index to Consolidated Financial Statements at Item 8 herein.</w:t>
      </w:r>
    </w:p>
    <w:p>
      <w:pPr>
        <w:spacing w:after="0" w:line="246" w:lineRule="exact"/>
        <w:rPr>
          <w:rFonts w:ascii="Times New Roman" w:cs="Times New Roman" w:eastAsia="Times New Roman" w:hAnsi="Times New Roman"/>
          <w:sz w:val="20"/>
          <w:szCs w:val="20"/>
          <w:b w:val="1"/>
          <w:bCs w:val="1"/>
          <w:color w:val="auto"/>
        </w:rPr>
      </w:pPr>
    </w:p>
    <w:p>
      <w:pPr>
        <w:ind w:left="780" w:hanging="730"/>
        <w:spacing w:after="0"/>
        <w:tabs>
          <w:tab w:leader="none" w:pos="780" w:val="left"/>
        </w:tabs>
        <w:numPr>
          <w:ilvl w:val="0"/>
          <w:numId w:val="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Exhibits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60" w:type="dxa"/>
            <w:vAlign w:val="bottom"/>
          </w:tcPr>
          <w:p>
            <w:pPr>
              <w:spacing w:after="0"/>
              <w:rPr>
                <w:sz w:val="23"/>
                <w:szCs w:val="23"/>
                <w:color w:val="auto"/>
              </w:rPr>
            </w:pPr>
          </w:p>
        </w:tc>
        <w:tc>
          <w:tcPr>
            <w:tcW w:w="9620" w:type="dxa"/>
            <w:vAlign w:val="bottom"/>
            <w:gridSpan w:val="38"/>
          </w:tcPr>
          <w:p>
            <w:pPr>
              <w:ind w:left="120"/>
              <w:spacing w:after="0"/>
              <w:rPr>
                <w:sz w:val="20"/>
                <w:szCs w:val="20"/>
                <w:color w:val="auto"/>
              </w:rPr>
            </w:pPr>
            <w:r>
              <w:rPr>
                <w:rFonts w:ascii="Times New Roman" w:cs="Times New Roman" w:eastAsia="Times New Roman" w:hAnsi="Times New Roman"/>
                <w:sz w:val="20"/>
                <w:szCs w:val="20"/>
                <w:color w:val="auto"/>
              </w:rPr>
              <w:t>The following is a list of exhibits filed as part of this Annual Report on Form 10-K.</w:t>
            </w:r>
          </w:p>
        </w:tc>
      </w:tr>
      <w:tr>
        <w:trPr>
          <w:trHeight w:val="424"/>
        </w:trPr>
        <w:tc>
          <w:tcPr>
            <w:tcW w:w="6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gridSpan w:val="35"/>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463"/>
        </w:trPr>
        <w:tc>
          <w:tcPr>
            <w:tcW w:w="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2.1+</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180" w:type="dxa"/>
            <w:vAlign w:val="bottom"/>
            <w:gridSpan w:val="35"/>
          </w:tcPr>
          <w:p>
            <w:pPr>
              <w:spacing w:after="0"/>
              <w:rPr>
                <w:sz w:val="20"/>
                <w:szCs w:val="20"/>
                <w:color w:val="auto"/>
              </w:rPr>
            </w:pPr>
            <w:r>
              <w:rPr>
                <w:rFonts w:ascii="Times New Roman" w:cs="Times New Roman" w:eastAsia="Times New Roman" w:hAnsi="Times New Roman"/>
                <w:sz w:val="20"/>
                <w:szCs w:val="20"/>
                <w:color w:val="1C2790"/>
              </w:rPr>
              <w:t>Stock Purchase Agreement, dated as of May 21, 2021, by and among House &amp; Garden Holdings, LLC, House &amp;</w:t>
            </w:r>
          </w:p>
        </w:tc>
      </w:tr>
      <w:tr>
        <w:trPr>
          <w:trHeight w:val="204"/>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80" w:type="dxa"/>
            <w:vAlign w:val="bottom"/>
            <w:tcBorders>
              <w:top w:val="single" w:sz="8" w:color="1C2790"/>
              <w:bottom w:val="single" w:sz="8" w:color="1C2790"/>
            </w:tcBorders>
            <w:gridSpan w:val="30"/>
          </w:tcPr>
          <w:p>
            <w:pPr>
              <w:spacing w:after="0" w:line="205" w:lineRule="exact"/>
              <w:rPr>
                <w:sz w:val="20"/>
                <w:szCs w:val="20"/>
                <w:color w:val="auto"/>
              </w:rPr>
            </w:pPr>
            <w:r>
              <w:rPr>
                <w:rFonts w:ascii="Times New Roman" w:cs="Times New Roman" w:eastAsia="Times New Roman" w:hAnsi="Times New Roman"/>
                <w:sz w:val="20"/>
                <w:szCs w:val="20"/>
                <w:color w:val="1C2790"/>
                <w:w w:val="99"/>
              </w:rPr>
              <w:t>Garden, Inc., Humboldt Wholesale, Inc., Allied Imports &amp; Logistics, Inc., South Coast Horticultural Supply, Inc.,</w:t>
            </w:r>
          </w:p>
        </w:tc>
        <w:tc>
          <w:tcPr>
            <w:tcW w:w="20" w:type="dxa"/>
            <w:vAlign w:val="bottom"/>
            <w:tcBorders>
              <w:bottom w:val="single" w:sz="8" w:color="1C2790"/>
            </w:tcBorders>
          </w:tcPr>
          <w:p>
            <w:pPr>
              <w:spacing w:after="0"/>
              <w:rPr>
                <w:sz w:val="17"/>
                <w:szCs w:val="17"/>
                <w:color w:val="auto"/>
              </w:rPr>
            </w:pPr>
          </w:p>
        </w:tc>
        <w:tc>
          <w:tcPr>
            <w:tcW w:w="20" w:type="dxa"/>
            <w:vAlign w:val="bottom"/>
            <w:tcBorders>
              <w:bottom w:val="single" w:sz="8" w:color="1C2790"/>
            </w:tcBorders>
          </w:tcPr>
          <w:p>
            <w:pPr>
              <w:spacing w:after="0"/>
              <w:rPr>
                <w:sz w:val="17"/>
                <w:szCs w:val="17"/>
                <w:color w:val="auto"/>
              </w:rPr>
            </w:pPr>
          </w:p>
        </w:tc>
        <w:tc>
          <w:tcPr>
            <w:tcW w:w="20" w:type="dxa"/>
            <w:vAlign w:val="bottom"/>
            <w:tcBorders>
              <w:bottom w:val="single" w:sz="8" w:color="1C2790"/>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140" w:type="dxa"/>
            <w:vAlign w:val="bottom"/>
            <w:gridSpan w:val="33"/>
          </w:tcPr>
          <w:p>
            <w:pPr>
              <w:spacing w:after="0" w:line="204" w:lineRule="exact"/>
              <w:rPr>
                <w:sz w:val="20"/>
                <w:szCs w:val="20"/>
                <w:color w:val="auto"/>
              </w:rPr>
            </w:pPr>
            <w:r>
              <w:rPr>
                <w:rFonts w:ascii="Times New Roman" w:cs="Times New Roman" w:eastAsia="Times New Roman" w:hAnsi="Times New Roman"/>
                <w:sz w:val="20"/>
                <w:szCs w:val="20"/>
                <w:color w:val="1C2790"/>
              </w:rPr>
              <w:t>the Sellers (as defined therein), and Steven Muller, as Sellers’ Representative (incorporated by reference to</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1C2790"/>
          </w:tcPr>
          <w:p>
            <w:pPr>
              <w:spacing w:after="0" w:line="20" w:lineRule="exact"/>
              <w:rPr>
                <w:sz w:val="1"/>
                <w:szCs w:val="1"/>
                <w:color w:val="auto"/>
              </w:rPr>
            </w:pPr>
          </w:p>
        </w:tc>
        <w:tc>
          <w:tcPr>
            <w:tcW w:w="300" w:type="dxa"/>
            <w:vAlign w:val="bottom"/>
            <w:shd w:val="clear" w:color="auto" w:fill="1C2790"/>
          </w:tcPr>
          <w:p>
            <w:pPr>
              <w:spacing w:after="0" w:line="20" w:lineRule="exact"/>
              <w:rPr>
                <w:sz w:val="1"/>
                <w:szCs w:val="1"/>
                <w:color w:val="auto"/>
              </w:rPr>
            </w:pPr>
          </w:p>
        </w:tc>
        <w:tc>
          <w:tcPr>
            <w:tcW w:w="20" w:type="dxa"/>
            <w:vAlign w:val="bottom"/>
            <w:shd w:val="clear" w:color="auto" w:fill="1C2790"/>
          </w:tcPr>
          <w:p>
            <w:pPr>
              <w:spacing w:after="0" w:line="20" w:lineRule="exact"/>
              <w:rPr>
                <w:sz w:val="1"/>
                <w:szCs w:val="1"/>
                <w:color w:val="auto"/>
              </w:rPr>
            </w:pPr>
          </w:p>
        </w:tc>
        <w:tc>
          <w:tcPr>
            <w:tcW w:w="1020" w:type="dxa"/>
            <w:vAlign w:val="bottom"/>
            <w:shd w:val="clear" w:color="auto" w:fill="1C2790"/>
          </w:tcPr>
          <w:p>
            <w:pPr>
              <w:spacing w:after="0" w:line="20" w:lineRule="exact"/>
              <w:rPr>
                <w:sz w:val="1"/>
                <w:szCs w:val="1"/>
                <w:color w:val="auto"/>
              </w:rPr>
            </w:pPr>
          </w:p>
        </w:tc>
        <w:tc>
          <w:tcPr>
            <w:tcW w:w="480" w:type="dxa"/>
            <w:vAlign w:val="bottom"/>
            <w:shd w:val="clear" w:color="auto" w:fill="1C2790"/>
          </w:tcPr>
          <w:p>
            <w:pPr>
              <w:spacing w:after="0" w:line="20" w:lineRule="exact"/>
              <w:rPr>
                <w:sz w:val="1"/>
                <w:szCs w:val="1"/>
                <w:color w:val="auto"/>
              </w:rPr>
            </w:pPr>
          </w:p>
        </w:tc>
        <w:tc>
          <w:tcPr>
            <w:tcW w:w="1780" w:type="dxa"/>
            <w:vAlign w:val="bottom"/>
            <w:shd w:val="clear" w:color="auto" w:fill="1C2790"/>
          </w:tcPr>
          <w:p>
            <w:pPr>
              <w:spacing w:after="0" w:line="20" w:lineRule="exact"/>
              <w:rPr>
                <w:sz w:val="1"/>
                <w:szCs w:val="1"/>
                <w:color w:val="auto"/>
              </w:rPr>
            </w:pPr>
          </w:p>
        </w:tc>
        <w:tc>
          <w:tcPr>
            <w:tcW w:w="760" w:type="dxa"/>
            <w:vAlign w:val="bottom"/>
            <w:shd w:val="clear" w:color="auto" w:fill="1C2790"/>
          </w:tcPr>
          <w:p>
            <w:pPr>
              <w:spacing w:after="0" w:line="20" w:lineRule="exact"/>
              <w:rPr>
                <w:sz w:val="1"/>
                <w:szCs w:val="1"/>
                <w:color w:val="auto"/>
              </w:rPr>
            </w:pPr>
          </w:p>
        </w:tc>
        <w:tc>
          <w:tcPr>
            <w:tcW w:w="260" w:type="dxa"/>
            <w:vAlign w:val="bottom"/>
            <w:shd w:val="clear" w:color="auto" w:fill="1C2790"/>
          </w:tcPr>
          <w:p>
            <w:pPr>
              <w:spacing w:after="0" w:line="20" w:lineRule="exact"/>
              <w:rPr>
                <w:sz w:val="1"/>
                <w:szCs w:val="1"/>
                <w:color w:val="auto"/>
              </w:rPr>
            </w:pPr>
          </w:p>
        </w:tc>
        <w:tc>
          <w:tcPr>
            <w:tcW w:w="480" w:type="dxa"/>
            <w:vAlign w:val="bottom"/>
            <w:shd w:val="clear" w:color="auto" w:fill="1C2790"/>
          </w:tcPr>
          <w:p>
            <w:pPr>
              <w:spacing w:after="0" w:line="20" w:lineRule="exact"/>
              <w:rPr>
                <w:sz w:val="1"/>
                <w:szCs w:val="1"/>
                <w:color w:val="auto"/>
              </w:rPr>
            </w:pPr>
          </w:p>
        </w:tc>
        <w:tc>
          <w:tcPr>
            <w:tcW w:w="2740" w:type="dxa"/>
            <w:vAlign w:val="bottom"/>
            <w:shd w:val="clear" w:color="auto" w:fill="1C2790"/>
          </w:tcPr>
          <w:p>
            <w:pPr>
              <w:spacing w:after="0" w:line="20" w:lineRule="exact"/>
              <w:rPr>
                <w:sz w:val="1"/>
                <w:szCs w:val="1"/>
                <w:color w:val="auto"/>
              </w:rPr>
            </w:pPr>
          </w:p>
        </w:tc>
        <w:tc>
          <w:tcPr>
            <w:tcW w:w="80" w:type="dxa"/>
            <w:vAlign w:val="bottom"/>
            <w:shd w:val="clear" w:color="auto" w:fill="1C2790"/>
          </w:tcPr>
          <w:p>
            <w:pPr>
              <w:spacing w:after="0" w:line="20" w:lineRule="exact"/>
              <w:rPr>
                <w:sz w:val="1"/>
                <w:szCs w:val="1"/>
                <w:color w:val="auto"/>
              </w:rPr>
            </w:pPr>
          </w:p>
        </w:tc>
        <w:tc>
          <w:tcPr>
            <w:tcW w:w="20" w:type="dxa"/>
            <w:vAlign w:val="bottom"/>
            <w:shd w:val="clear" w:color="auto" w:fill="1C2790"/>
          </w:tcPr>
          <w:p>
            <w:pPr>
              <w:spacing w:after="0" w:line="20" w:lineRule="exact"/>
              <w:rPr>
                <w:sz w:val="1"/>
                <w:szCs w:val="1"/>
                <w:color w:val="auto"/>
              </w:rPr>
            </w:pPr>
          </w:p>
        </w:tc>
        <w:tc>
          <w:tcPr>
            <w:tcW w:w="80" w:type="dxa"/>
            <w:vAlign w:val="bottom"/>
            <w:tcBorders>
              <w:right w:val="single" w:sz="8" w:color="1C2790"/>
            </w:tcBorders>
            <w:shd w:val="clear" w:color="auto" w:fill="1C279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180" w:type="dxa"/>
            <w:vAlign w:val="bottom"/>
            <w:gridSpan w:val="35"/>
          </w:tcPr>
          <w:p>
            <w:pPr>
              <w:spacing w:after="0" w:line="205" w:lineRule="exact"/>
              <w:rPr>
                <w:sz w:val="20"/>
                <w:szCs w:val="20"/>
                <w:color w:val="auto"/>
              </w:rPr>
            </w:pPr>
            <w:r>
              <w:rPr>
                <w:rFonts w:ascii="Times New Roman" w:cs="Times New Roman" w:eastAsia="Times New Roman" w:hAnsi="Times New Roman"/>
                <w:sz w:val="20"/>
                <w:szCs w:val="20"/>
                <w:color w:val="1C2790"/>
              </w:rPr>
              <w:t>Exhibit 2.1 of the Company’s Current Report on Form 8-K (File No. 001-39773) filed with the SEC on May 26,</w:t>
            </w:r>
          </w:p>
        </w:tc>
      </w:tr>
      <w:tr>
        <w:trPr>
          <w:trHeight w:val="204"/>
        </w:trPr>
        <w:tc>
          <w:tcPr>
            <w:tcW w:w="660" w:type="dxa"/>
            <w:vAlign w:val="bottom"/>
          </w:tcPr>
          <w:p>
            <w:pPr>
              <w:spacing w:after="0"/>
              <w:rPr>
                <w:sz w:val="17"/>
                <w:szCs w:val="17"/>
                <w:color w:val="auto"/>
              </w:rPr>
            </w:pPr>
          </w:p>
        </w:tc>
        <w:tc>
          <w:tcPr>
            <w:tcW w:w="440" w:type="dxa"/>
            <w:vAlign w:val="bottom"/>
            <w:gridSpan w:val="3"/>
          </w:tcPr>
          <w:p>
            <w:pPr>
              <w:spacing w:after="0"/>
              <w:rPr>
                <w:sz w:val="17"/>
                <w:szCs w:val="17"/>
                <w:color w:val="auto"/>
              </w:rPr>
            </w:pPr>
          </w:p>
        </w:tc>
        <w:tc>
          <w:tcPr>
            <w:tcW w:w="520" w:type="dxa"/>
            <w:vAlign w:val="bottom"/>
            <w:tcBorders>
              <w:top w:val="single" w:sz="8" w:color="1C2790"/>
              <w:bottom w:val="single" w:sz="8" w:color="1C2790"/>
            </w:tcBorders>
          </w:tcPr>
          <w:p>
            <w:pPr>
              <w:spacing w:after="0" w:line="205" w:lineRule="exact"/>
              <w:rPr>
                <w:sz w:val="20"/>
                <w:szCs w:val="20"/>
                <w:color w:val="auto"/>
              </w:rPr>
            </w:pPr>
            <w:r>
              <w:rPr>
                <w:rFonts w:ascii="Times New Roman" w:cs="Times New Roman" w:eastAsia="Times New Roman" w:hAnsi="Times New Roman"/>
                <w:sz w:val="20"/>
                <w:szCs w:val="20"/>
                <w:color w:val="1C2790"/>
                <w:w w:val="96"/>
              </w:rPr>
              <w:t>2021).</w:t>
            </w:r>
          </w:p>
        </w:tc>
        <w:tc>
          <w:tcPr>
            <w:tcW w:w="300" w:type="dxa"/>
            <w:vAlign w:val="bottom"/>
            <w:tcBorders>
              <w:top w:val="single" w:sz="8" w:color="1C2790"/>
            </w:tcBorders>
          </w:tcPr>
          <w:p>
            <w:pPr>
              <w:spacing w:after="0"/>
              <w:rPr>
                <w:sz w:val="17"/>
                <w:szCs w:val="17"/>
                <w:color w:val="auto"/>
              </w:rPr>
            </w:pPr>
          </w:p>
        </w:tc>
        <w:tc>
          <w:tcPr>
            <w:tcW w:w="20" w:type="dxa"/>
            <w:vAlign w:val="bottom"/>
            <w:tcBorders>
              <w:top w:val="single" w:sz="8" w:color="1C2790"/>
            </w:tcBorders>
          </w:tcPr>
          <w:p>
            <w:pPr>
              <w:spacing w:after="0"/>
              <w:rPr>
                <w:sz w:val="17"/>
                <w:szCs w:val="17"/>
                <w:color w:val="auto"/>
              </w:rPr>
            </w:pPr>
          </w:p>
        </w:tc>
        <w:tc>
          <w:tcPr>
            <w:tcW w:w="1020" w:type="dxa"/>
            <w:vAlign w:val="bottom"/>
            <w:tcBorders>
              <w:top w:val="single" w:sz="8" w:color="1C2790"/>
            </w:tcBorders>
          </w:tcPr>
          <w:p>
            <w:pPr>
              <w:spacing w:after="0"/>
              <w:rPr>
                <w:sz w:val="17"/>
                <w:szCs w:val="17"/>
                <w:color w:val="auto"/>
              </w:rPr>
            </w:pPr>
          </w:p>
        </w:tc>
        <w:tc>
          <w:tcPr>
            <w:tcW w:w="480" w:type="dxa"/>
            <w:vAlign w:val="bottom"/>
            <w:tcBorders>
              <w:top w:val="single" w:sz="8" w:color="1C2790"/>
            </w:tcBorders>
          </w:tcPr>
          <w:p>
            <w:pPr>
              <w:spacing w:after="0"/>
              <w:rPr>
                <w:sz w:val="17"/>
                <w:szCs w:val="17"/>
                <w:color w:val="auto"/>
              </w:rPr>
            </w:pPr>
          </w:p>
        </w:tc>
        <w:tc>
          <w:tcPr>
            <w:tcW w:w="1780" w:type="dxa"/>
            <w:vAlign w:val="bottom"/>
            <w:tcBorders>
              <w:top w:val="single" w:sz="8" w:color="1C2790"/>
            </w:tcBorders>
          </w:tcPr>
          <w:p>
            <w:pPr>
              <w:spacing w:after="0"/>
              <w:rPr>
                <w:sz w:val="17"/>
                <w:szCs w:val="17"/>
                <w:color w:val="auto"/>
              </w:rPr>
            </w:pPr>
          </w:p>
        </w:tc>
        <w:tc>
          <w:tcPr>
            <w:tcW w:w="760" w:type="dxa"/>
            <w:vAlign w:val="bottom"/>
            <w:tcBorders>
              <w:top w:val="single" w:sz="8" w:color="1C2790"/>
            </w:tcBorders>
          </w:tcPr>
          <w:p>
            <w:pPr>
              <w:spacing w:after="0"/>
              <w:rPr>
                <w:sz w:val="17"/>
                <w:szCs w:val="17"/>
                <w:color w:val="auto"/>
              </w:rPr>
            </w:pPr>
          </w:p>
        </w:tc>
        <w:tc>
          <w:tcPr>
            <w:tcW w:w="260" w:type="dxa"/>
            <w:vAlign w:val="bottom"/>
            <w:tcBorders>
              <w:top w:val="single" w:sz="8" w:color="1C2790"/>
            </w:tcBorders>
          </w:tcPr>
          <w:p>
            <w:pPr>
              <w:spacing w:after="0"/>
              <w:rPr>
                <w:sz w:val="17"/>
                <w:szCs w:val="17"/>
                <w:color w:val="auto"/>
              </w:rPr>
            </w:pPr>
          </w:p>
        </w:tc>
        <w:tc>
          <w:tcPr>
            <w:tcW w:w="480" w:type="dxa"/>
            <w:vAlign w:val="bottom"/>
            <w:tcBorders>
              <w:top w:val="single" w:sz="8" w:color="1C2790"/>
            </w:tcBorders>
          </w:tcPr>
          <w:p>
            <w:pPr>
              <w:spacing w:after="0"/>
              <w:rPr>
                <w:sz w:val="17"/>
                <w:szCs w:val="17"/>
                <w:color w:val="auto"/>
              </w:rPr>
            </w:pPr>
          </w:p>
        </w:tc>
        <w:tc>
          <w:tcPr>
            <w:tcW w:w="2740" w:type="dxa"/>
            <w:vAlign w:val="bottom"/>
            <w:tcBorders>
              <w:top w:val="single" w:sz="8" w:color="1C2790"/>
            </w:tcBorders>
          </w:tcPr>
          <w:p>
            <w:pPr>
              <w:spacing w:after="0"/>
              <w:rPr>
                <w:sz w:val="17"/>
                <w:szCs w:val="17"/>
                <w:color w:val="auto"/>
              </w:rPr>
            </w:pPr>
          </w:p>
        </w:tc>
        <w:tc>
          <w:tcPr>
            <w:tcW w:w="80" w:type="dxa"/>
            <w:vAlign w:val="bottom"/>
            <w:tcBorders>
              <w:top w:val="single" w:sz="8" w:color="1C2790"/>
            </w:tcBorders>
          </w:tcPr>
          <w:p>
            <w:pPr>
              <w:spacing w:after="0"/>
              <w:rPr>
                <w:sz w:val="17"/>
                <w:szCs w:val="17"/>
                <w:color w:val="auto"/>
              </w:rPr>
            </w:pPr>
          </w:p>
        </w:tc>
        <w:tc>
          <w:tcPr>
            <w:tcW w:w="20" w:type="dxa"/>
            <w:vAlign w:val="bottom"/>
            <w:tcBorders>
              <w:top w:val="single" w:sz="8" w:color="1C2790"/>
            </w:tcBorders>
          </w:tcPr>
          <w:p>
            <w:pPr>
              <w:spacing w:after="0"/>
              <w:rPr>
                <w:sz w:val="17"/>
                <w:szCs w:val="17"/>
                <w:color w:val="auto"/>
              </w:rPr>
            </w:pPr>
          </w:p>
        </w:tc>
        <w:tc>
          <w:tcPr>
            <w:tcW w:w="80" w:type="dxa"/>
            <w:vAlign w:val="bottom"/>
            <w:tcBorders>
              <w:top w:val="single" w:sz="8" w:color="1C2790"/>
            </w:tcBorders>
          </w:tcPr>
          <w:p>
            <w:pPr>
              <w:spacing w:after="0"/>
              <w:rPr>
                <w:sz w:val="17"/>
                <w:szCs w:val="17"/>
                <w:color w:val="auto"/>
              </w:rPr>
            </w:pPr>
          </w:p>
        </w:tc>
        <w:tc>
          <w:tcPr>
            <w:tcW w:w="20" w:type="dxa"/>
            <w:vAlign w:val="bottom"/>
            <w:tcBorders>
              <w:top w:val="single" w:sz="8" w:color="1C2790"/>
            </w:tcBorders>
          </w:tcPr>
          <w:p>
            <w:pPr>
              <w:spacing w:after="0"/>
              <w:rPr>
                <w:sz w:val="17"/>
                <w:szCs w:val="17"/>
                <w:color w:val="auto"/>
              </w:rPr>
            </w:pPr>
          </w:p>
        </w:tc>
        <w:tc>
          <w:tcPr>
            <w:tcW w:w="40" w:type="dxa"/>
            <w:vAlign w:val="bottom"/>
            <w:tcBorders>
              <w:top w:val="single" w:sz="8" w:color="1C2790"/>
            </w:tcBorders>
          </w:tcPr>
          <w:p>
            <w:pPr>
              <w:spacing w:after="0"/>
              <w:rPr>
                <w:sz w:val="17"/>
                <w:szCs w:val="17"/>
                <w:color w:val="auto"/>
              </w:rPr>
            </w:pPr>
          </w:p>
        </w:tc>
        <w:tc>
          <w:tcPr>
            <w:tcW w:w="140" w:type="dxa"/>
            <w:vAlign w:val="bottom"/>
            <w:tcBorders>
              <w:top w:val="single" w:sz="8" w:color="1C2790"/>
            </w:tcBorders>
          </w:tcPr>
          <w:p>
            <w:pPr>
              <w:spacing w:after="0"/>
              <w:rPr>
                <w:sz w:val="17"/>
                <w:szCs w:val="17"/>
                <w:color w:val="auto"/>
              </w:rPr>
            </w:pPr>
          </w:p>
        </w:tc>
        <w:tc>
          <w:tcPr>
            <w:tcW w:w="20" w:type="dxa"/>
            <w:vAlign w:val="bottom"/>
            <w:tcBorders>
              <w:top w:val="single" w:sz="8" w:color="1C2790"/>
            </w:tcBorders>
          </w:tcPr>
          <w:p>
            <w:pPr>
              <w:spacing w:after="0"/>
              <w:rPr>
                <w:sz w:val="17"/>
                <w:szCs w:val="17"/>
                <w:color w:val="auto"/>
              </w:rPr>
            </w:pPr>
          </w:p>
        </w:tc>
        <w:tc>
          <w:tcPr>
            <w:tcW w:w="40" w:type="dxa"/>
            <w:vAlign w:val="bottom"/>
            <w:tcBorders>
              <w:top w:val="single" w:sz="8" w:color="1C2790"/>
            </w:tcBorders>
          </w:tcPr>
          <w:p>
            <w:pPr>
              <w:spacing w:after="0"/>
              <w:rPr>
                <w:sz w:val="17"/>
                <w:szCs w:val="17"/>
                <w:color w:val="auto"/>
              </w:rPr>
            </w:pPr>
          </w:p>
        </w:tc>
        <w:tc>
          <w:tcPr>
            <w:tcW w:w="40" w:type="dxa"/>
            <w:vAlign w:val="bottom"/>
            <w:tcBorders>
              <w:top w:val="single" w:sz="8" w:color="1C2790"/>
            </w:tcBorders>
          </w:tcPr>
          <w:p>
            <w:pPr>
              <w:spacing w:after="0"/>
              <w:rPr>
                <w:sz w:val="17"/>
                <w:szCs w:val="17"/>
                <w:color w:val="auto"/>
              </w:rPr>
            </w:pPr>
          </w:p>
        </w:tc>
        <w:tc>
          <w:tcPr>
            <w:tcW w:w="20" w:type="dxa"/>
            <w:vAlign w:val="bottom"/>
            <w:tcBorders>
              <w:top w:val="single" w:sz="8" w:color="1C2790"/>
            </w:tcBorders>
          </w:tcPr>
          <w:p>
            <w:pPr>
              <w:spacing w:after="0"/>
              <w:rPr>
                <w:sz w:val="17"/>
                <w:szCs w:val="17"/>
                <w:color w:val="auto"/>
              </w:rPr>
            </w:pPr>
          </w:p>
        </w:tc>
        <w:tc>
          <w:tcPr>
            <w:tcW w:w="20" w:type="dxa"/>
            <w:vAlign w:val="bottom"/>
            <w:tcBorders>
              <w:top w:val="single" w:sz="8" w:color="1C2790"/>
            </w:tcBorders>
          </w:tcPr>
          <w:p>
            <w:pPr>
              <w:spacing w:after="0"/>
              <w:rPr>
                <w:sz w:val="17"/>
                <w:szCs w:val="17"/>
                <w:color w:val="auto"/>
              </w:rPr>
            </w:pPr>
          </w:p>
        </w:tc>
        <w:tc>
          <w:tcPr>
            <w:tcW w:w="40" w:type="dxa"/>
            <w:vAlign w:val="bottom"/>
            <w:tcBorders>
              <w:top w:val="single" w:sz="8" w:color="1C2790"/>
            </w:tcBorders>
          </w:tcPr>
          <w:p>
            <w:pPr>
              <w:spacing w:after="0"/>
              <w:rPr>
                <w:sz w:val="17"/>
                <w:szCs w:val="17"/>
                <w:color w:val="auto"/>
              </w:rPr>
            </w:pPr>
          </w:p>
        </w:tc>
        <w:tc>
          <w:tcPr>
            <w:tcW w:w="20" w:type="dxa"/>
            <w:vAlign w:val="bottom"/>
            <w:tcBorders>
              <w:top w:val="single" w:sz="8" w:color="1C2790"/>
            </w:tcBorders>
          </w:tcPr>
          <w:p>
            <w:pPr>
              <w:spacing w:after="0"/>
              <w:rPr>
                <w:sz w:val="17"/>
                <w:szCs w:val="17"/>
                <w:color w:val="auto"/>
              </w:rPr>
            </w:pPr>
          </w:p>
        </w:tc>
        <w:tc>
          <w:tcPr>
            <w:tcW w:w="20" w:type="dxa"/>
            <w:vAlign w:val="bottom"/>
            <w:tcBorders>
              <w:top w:val="single" w:sz="8" w:color="1C2790"/>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68"/>
        </w:trPr>
        <w:tc>
          <w:tcPr>
            <w:tcW w:w="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2.2+</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0" w:type="dxa"/>
            <w:vAlign w:val="bottom"/>
            <w:tcBorders>
              <w:bottom w:val="single" w:sz="8" w:color="1C2790"/>
            </w:tcBorders>
            <w:gridSpan w:val="15"/>
          </w:tcPr>
          <w:p>
            <w:pPr>
              <w:spacing w:after="0"/>
              <w:rPr>
                <w:sz w:val="20"/>
                <w:szCs w:val="20"/>
                <w:color w:val="auto"/>
              </w:rPr>
            </w:pPr>
            <w:r>
              <w:rPr>
                <w:rFonts w:ascii="Times New Roman" w:cs="Times New Roman" w:eastAsia="Times New Roman" w:hAnsi="Times New Roman"/>
                <w:sz w:val="20"/>
                <w:szCs w:val="20"/>
                <w:color w:val="1C2790"/>
                <w:w w:val="99"/>
              </w:rPr>
              <w:t>Securities Purchase Agreement, dated as of June 17, 2021, by and among Hydrofarm Holdings Group, Inc.,</w:t>
            </w:r>
          </w:p>
        </w:tc>
        <w:tc>
          <w:tcPr>
            <w:tcW w:w="580" w:type="dxa"/>
            <w:vAlign w:val="bottom"/>
            <w:gridSpan w:val="20"/>
          </w:tcPr>
          <w:p>
            <w:pPr>
              <w:spacing w:after="0"/>
              <w:rPr>
                <w:sz w:val="23"/>
                <w:szCs w:val="23"/>
                <w:color w:val="auto"/>
              </w:rPr>
            </w:pPr>
          </w:p>
        </w:tc>
      </w:tr>
      <w:tr>
        <w:trPr>
          <w:trHeight w:val="203"/>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180" w:type="dxa"/>
            <w:vAlign w:val="bottom"/>
            <w:gridSpan w:val="35"/>
          </w:tcPr>
          <w:p>
            <w:pPr>
              <w:spacing w:after="0" w:line="204" w:lineRule="exact"/>
              <w:rPr>
                <w:sz w:val="20"/>
                <w:szCs w:val="20"/>
                <w:color w:val="auto"/>
              </w:rPr>
            </w:pPr>
            <w:r>
              <w:rPr>
                <w:rFonts w:ascii="Times New Roman" w:cs="Times New Roman" w:eastAsia="Times New Roman" w:hAnsi="Times New Roman"/>
                <w:sz w:val="20"/>
                <w:szCs w:val="20"/>
                <w:color w:val="1C2790"/>
              </w:rPr>
              <w:t>Gotham Properties LLC, Aurora Innovations Inc., an Oregon corporation, Aurora International, Inc., and certain</w:t>
            </w:r>
          </w:p>
        </w:tc>
      </w:tr>
      <w:tr>
        <w:trPr>
          <w:trHeight w:val="204"/>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980" w:type="dxa"/>
            <w:vAlign w:val="bottom"/>
            <w:tcBorders>
              <w:top w:val="single" w:sz="8" w:color="1C2790"/>
              <w:bottom w:val="single" w:sz="8" w:color="1C2790"/>
            </w:tcBorders>
            <w:gridSpan w:val="25"/>
          </w:tcPr>
          <w:p>
            <w:pPr>
              <w:spacing w:after="0" w:line="205" w:lineRule="exact"/>
              <w:rPr>
                <w:sz w:val="20"/>
                <w:szCs w:val="20"/>
                <w:color w:val="auto"/>
              </w:rPr>
            </w:pPr>
            <w:r>
              <w:rPr>
                <w:rFonts w:ascii="Times New Roman" w:cs="Times New Roman" w:eastAsia="Times New Roman" w:hAnsi="Times New Roman"/>
                <w:sz w:val="20"/>
                <w:szCs w:val="20"/>
                <w:color w:val="1C2790"/>
                <w:w w:val="99"/>
              </w:rPr>
              <w:t>equity holders party thereto (incorporated by reference to Exhibit 2.1 of the Company’s Current Report on Form</w:t>
            </w:r>
          </w:p>
        </w:tc>
        <w:tc>
          <w:tcPr>
            <w:tcW w:w="20" w:type="dxa"/>
            <w:vAlign w:val="bottom"/>
            <w:tcBorders>
              <w:bottom w:val="single" w:sz="8" w:color="1C2790"/>
            </w:tcBorders>
          </w:tcPr>
          <w:p>
            <w:pPr>
              <w:spacing w:after="0"/>
              <w:rPr>
                <w:sz w:val="17"/>
                <w:szCs w:val="17"/>
                <w:color w:val="auto"/>
              </w:rPr>
            </w:pPr>
          </w:p>
        </w:tc>
        <w:tc>
          <w:tcPr>
            <w:tcW w:w="20" w:type="dxa"/>
            <w:vAlign w:val="bottom"/>
            <w:tcBorders>
              <w:bottom w:val="single" w:sz="8" w:color="1C2790"/>
            </w:tcBorders>
          </w:tcPr>
          <w:p>
            <w:pPr>
              <w:spacing w:after="0"/>
              <w:rPr>
                <w:sz w:val="17"/>
                <w:szCs w:val="17"/>
                <w:color w:val="auto"/>
              </w:rPr>
            </w:pPr>
          </w:p>
        </w:tc>
        <w:tc>
          <w:tcPr>
            <w:tcW w:w="20" w:type="dxa"/>
            <w:vAlign w:val="bottom"/>
            <w:tcBorders>
              <w:bottom w:val="single" w:sz="8" w:color="1C2790"/>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204"/>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40" w:type="dxa"/>
            <w:vAlign w:val="bottom"/>
            <w:tcBorders>
              <w:bottom w:val="single" w:sz="8" w:color="1C2790"/>
            </w:tcBorders>
            <w:gridSpan w:val="8"/>
          </w:tcPr>
          <w:p>
            <w:pPr>
              <w:spacing w:after="0" w:line="205" w:lineRule="exact"/>
              <w:rPr>
                <w:sz w:val="20"/>
                <w:szCs w:val="20"/>
                <w:color w:val="auto"/>
              </w:rPr>
            </w:pPr>
            <w:r>
              <w:rPr>
                <w:rFonts w:ascii="Times New Roman" w:cs="Times New Roman" w:eastAsia="Times New Roman" w:hAnsi="Times New Roman"/>
                <w:sz w:val="20"/>
                <w:szCs w:val="20"/>
                <w:color w:val="1C2790"/>
                <w:w w:val="99"/>
              </w:rPr>
              <w:t>8-K (File No. 001-39773) filed with the SEC on June 21, 2021).</w:t>
            </w:r>
          </w:p>
        </w:tc>
        <w:tc>
          <w:tcPr>
            <w:tcW w:w="3900" w:type="dxa"/>
            <w:vAlign w:val="bottom"/>
            <w:gridSpan w:val="20"/>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267"/>
        </w:trPr>
        <w:tc>
          <w:tcPr>
            <w:tcW w:w="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2.3+</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360" w:type="dxa"/>
            <w:vAlign w:val="bottom"/>
            <w:tcBorders>
              <w:bottom w:val="single" w:sz="8" w:color="1C2790"/>
            </w:tcBorders>
            <w:gridSpan w:val="10"/>
          </w:tcPr>
          <w:p>
            <w:pPr>
              <w:spacing w:after="0"/>
              <w:rPr>
                <w:sz w:val="20"/>
                <w:szCs w:val="20"/>
                <w:color w:val="auto"/>
              </w:rPr>
            </w:pPr>
            <w:r>
              <w:rPr>
                <w:rFonts w:ascii="Times New Roman" w:cs="Times New Roman" w:eastAsia="Times New Roman" w:hAnsi="Times New Roman"/>
                <w:sz w:val="20"/>
                <w:szCs w:val="20"/>
                <w:color w:val="1C2790"/>
                <w:w w:val="99"/>
              </w:rPr>
              <w:t>Share Purchase Agreement, dated as of August 3, 2021, by and among Hydrofarm Holdings Group, Inc.,</w:t>
            </w:r>
          </w:p>
        </w:tc>
        <w:tc>
          <w:tcPr>
            <w:tcW w:w="820" w:type="dxa"/>
            <w:vAlign w:val="bottom"/>
            <w:gridSpan w:val="25"/>
          </w:tcPr>
          <w:p>
            <w:pPr>
              <w:spacing w:after="0"/>
              <w:rPr>
                <w:sz w:val="23"/>
                <w:szCs w:val="23"/>
                <w:color w:val="auto"/>
              </w:rPr>
            </w:pPr>
          </w:p>
        </w:tc>
      </w:tr>
      <w:tr>
        <w:trPr>
          <w:trHeight w:val="204"/>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180" w:type="dxa"/>
            <w:vAlign w:val="bottom"/>
            <w:gridSpan w:val="35"/>
          </w:tcPr>
          <w:p>
            <w:pPr>
              <w:spacing w:after="0" w:line="205" w:lineRule="exact"/>
              <w:rPr>
                <w:sz w:val="20"/>
                <w:szCs w:val="20"/>
                <w:color w:val="auto"/>
              </w:rPr>
            </w:pPr>
            <w:r>
              <w:rPr>
                <w:rFonts w:ascii="Times New Roman" w:cs="Times New Roman" w:eastAsia="Times New Roman" w:hAnsi="Times New Roman"/>
                <w:sz w:val="20"/>
                <w:szCs w:val="20"/>
                <w:color w:val="1C2790"/>
              </w:rPr>
              <w:t>Greenstar Plant Products Inc., GSPP Investments Inc., Funance Productions Corp., Michael Nemirow, and</w:t>
            </w:r>
          </w:p>
        </w:tc>
      </w:tr>
      <w:tr>
        <w:trPr>
          <w:trHeight w:val="204"/>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540" w:type="dxa"/>
            <w:vAlign w:val="bottom"/>
            <w:tcBorders>
              <w:top w:val="single" w:sz="8" w:color="1C2790"/>
            </w:tcBorders>
            <w:gridSpan w:val="13"/>
          </w:tcPr>
          <w:p>
            <w:pPr>
              <w:spacing w:after="0" w:line="205" w:lineRule="exact"/>
              <w:rPr>
                <w:sz w:val="20"/>
                <w:szCs w:val="20"/>
                <w:color w:val="auto"/>
              </w:rPr>
            </w:pPr>
            <w:r>
              <w:rPr>
                <w:rFonts w:ascii="Times New Roman" w:cs="Times New Roman" w:eastAsia="Times New Roman" w:hAnsi="Times New Roman"/>
                <w:sz w:val="20"/>
                <w:szCs w:val="20"/>
                <w:color w:val="1C2790"/>
                <w:w w:val="98"/>
              </w:rPr>
              <w:t>13213684 Canada Ltd. (incorporated by reference to Exhibit 2.1 of the Company’s Current Report on Form</w:t>
            </w:r>
          </w:p>
        </w:tc>
        <w:tc>
          <w:tcPr>
            <w:tcW w:w="20" w:type="dxa"/>
            <w:vAlign w:val="bottom"/>
          </w:tcPr>
          <w:p>
            <w:pPr>
              <w:spacing w:after="0"/>
              <w:rPr>
                <w:sz w:val="17"/>
                <w:szCs w:val="17"/>
                <w:color w:val="auto"/>
              </w:rPr>
            </w:pPr>
          </w:p>
        </w:tc>
        <w:tc>
          <w:tcPr>
            <w:tcW w:w="620" w:type="dxa"/>
            <w:vAlign w:val="bottom"/>
            <w:gridSpan w:val="21"/>
          </w:tcPr>
          <w:p>
            <w:pPr>
              <w:ind w:left="100"/>
              <w:spacing w:after="0" w:line="205" w:lineRule="exact"/>
              <w:rPr>
                <w:sz w:val="20"/>
                <w:szCs w:val="20"/>
                <w:color w:val="auto"/>
              </w:rPr>
            </w:pPr>
            <w:r>
              <w:rPr>
                <w:rFonts w:ascii="Times New Roman" w:cs="Times New Roman" w:eastAsia="Times New Roman" w:hAnsi="Times New Roman"/>
                <w:sz w:val="20"/>
                <w:szCs w:val="20"/>
                <w:color w:val="1C2790"/>
              </w:rPr>
              <w:t>8-K</w:t>
            </w:r>
          </w:p>
        </w:tc>
      </w:tr>
      <w:tr>
        <w:trPr>
          <w:trHeight w:val="203"/>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80" w:type="dxa"/>
            <w:vAlign w:val="bottom"/>
            <w:tcBorders>
              <w:top w:val="single" w:sz="8" w:color="1C2790"/>
              <w:bottom w:val="single" w:sz="8" w:color="1C2790"/>
            </w:tcBorders>
            <w:gridSpan w:val="7"/>
          </w:tcPr>
          <w:p>
            <w:pPr>
              <w:spacing w:after="0" w:line="204" w:lineRule="exact"/>
              <w:rPr>
                <w:sz w:val="20"/>
                <w:szCs w:val="20"/>
                <w:color w:val="auto"/>
              </w:rPr>
            </w:pPr>
            <w:r>
              <w:rPr>
                <w:rFonts w:ascii="Times New Roman" w:cs="Times New Roman" w:eastAsia="Times New Roman" w:hAnsi="Times New Roman"/>
                <w:sz w:val="20"/>
                <w:szCs w:val="20"/>
                <w:color w:val="1C2790"/>
                <w:w w:val="99"/>
              </w:rPr>
              <w:t>(File No. 001-39773) filed with the SEC on August 3, 2021).</w:t>
            </w:r>
          </w:p>
        </w:tc>
        <w:tc>
          <w:tcPr>
            <w:tcW w:w="4080" w:type="dxa"/>
            <w:vAlign w:val="bottom"/>
            <w:tcBorders>
              <w:top w:val="single" w:sz="8" w:color="1C2790"/>
            </w:tcBorders>
            <w:gridSpan w:val="17"/>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268"/>
        </w:trPr>
        <w:tc>
          <w:tcPr>
            <w:tcW w:w="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2.4</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180" w:type="dxa"/>
            <w:vAlign w:val="bottom"/>
            <w:gridSpan w:val="35"/>
          </w:tcPr>
          <w:p>
            <w:pPr>
              <w:spacing w:after="0"/>
              <w:rPr>
                <w:sz w:val="20"/>
                <w:szCs w:val="20"/>
                <w:color w:val="auto"/>
              </w:rPr>
            </w:pPr>
            <w:r>
              <w:rPr>
                <w:rFonts w:ascii="Times New Roman" w:cs="Times New Roman" w:eastAsia="Times New Roman" w:hAnsi="Times New Roman"/>
                <w:sz w:val="20"/>
                <w:szCs w:val="20"/>
                <w:color w:val="1C2790"/>
              </w:rPr>
              <w:t>Amended and Restated Agreement and Plan of Merger, dated August 28, 2018, by and among Hydrofarm</w:t>
            </w:r>
          </w:p>
        </w:tc>
      </w:tr>
      <w:tr>
        <w:trPr>
          <w:trHeight w:val="20"/>
        </w:trPr>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shd w:val="clear" w:color="auto" w:fill="1C2790"/>
          </w:tcPr>
          <w:p>
            <w:pPr>
              <w:spacing w:after="0" w:line="20" w:lineRule="exact"/>
              <w:rPr>
                <w:sz w:val="1"/>
                <w:szCs w:val="1"/>
                <w:color w:val="auto"/>
              </w:rPr>
            </w:pPr>
          </w:p>
        </w:tc>
        <w:tc>
          <w:tcPr>
            <w:tcW w:w="20" w:type="dxa"/>
            <w:vAlign w:val="bottom"/>
            <w:shd w:val="clear" w:color="auto" w:fill="1C2790"/>
          </w:tcPr>
          <w:p>
            <w:pPr>
              <w:spacing w:after="0" w:line="20" w:lineRule="exact"/>
              <w:rPr>
                <w:sz w:val="1"/>
                <w:szCs w:val="1"/>
                <w:color w:val="auto"/>
              </w:rPr>
            </w:pPr>
          </w:p>
        </w:tc>
        <w:tc>
          <w:tcPr>
            <w:tcW w:w="1020" w:type="dxa"/>
            <w:vAlign w:val="bottom"/>
            <w:shd w:val="clear" w:color="auto" w:fill="1C2790"/>
          </w:tcPr>
          <w:p>
            <w:pPr>
              <w:spacing w:after="0" w:line="20" w:lineRule="exact"/>
              <w:rPr>
                <w:sz w:val="1"/>
                <w:szCs w:val="1"/>
                <w:color w:val="auto"/>
              </w:rPr>
            </w:pPr>
          </w:p>
        </w:tc>
        <w:tc>
          <w:tcPr>
            <w:tcW w:w="480" w:type="dxa"/>
            <w:vAlign w:val="bottom"/>
            <w:shd w:val="clear" w:color="auto" w:fill="1C2790"/>
          </w:tcPr>
          <w:p>
            <w:pPr>
              <w:spacing w:after="0" w:line="20" w:lineRule="exact"/>
              <w:rPr>
                <w:sz w:val="1"/>
                <w:szCs w:val="1"/>
                <w:color w:val="auto"/>
              </w:rPr>
            </w:pPr>
          </w:p>
        </w:tc>
        <w:tc>
          <w:tcPr>
            <w:tcW w:w="1780" w:type="dxa"/>
            <w:vAlign w:val="bottom"/>
            <w:shd w:val="clear" w:color="auto" w:fill="1C2790"/>
          </w:tcPr>
          <w:p>
            <w:pPr>
              <w:spacing w:after="0" w:line="20" w:lineRule="exact"/>
              <w:rPr>
                <w:sz w:val="1"/>
                <w:szCs w:val="1"/>
                <w:color w:val="auto"/>
              </w:rPr>
            </w:pPr>
          </w:p>
        </w:tc>
        <w:tc>
          <w:tcPr>
            <w:tcW w:w="1500" w:type="dxa"/>
            <w:vAlign w:val="bottom"/>
            <w:gridSpan w:val="3"/>
            <w:shd w:val="clear" w:color="auto" w:fill="1C2790"/>
          </w:tcPr>
          <w:p>
            <w:pPr>
              <w:spacing w:after="0" w:line="20" w:lineRule="exact"/>
              <w:rPr>
                <w:sz w:val="1"/>
                <w:szCs w:val="1"/>
                <w:color w:val="auto"/>
              </w:rPr>
            </w:pPr>
          </w:p>
        </w:tc>
        <w:tc>
          <w:tcPr>
            <w:tcW w:w="2820" w:type="dxa"/>
            <w:vAlign w:val="bottom"/>
            <w:gridSpan w:val="2"/>
            <w:shd w:val="clear" w:color="auto" w:fill="1C279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180" w:type="dxa"/>
            <w:vAlign w:val="bottom"/>
            <w:gridSpan w:val="35"/>
          </w:tcPr>
          <w:p>
            <w:pPr>
              <w:spacing w:after="0" w:line="205" w:lineRule="exact"/>
              <w:rPr>
                <w:sz w:val="20"/>
                <w:szCs w:val="20"/>
                <w:color w:val="auto"/>
              </w:rPr>
            </w:pPr>
            <w:r>
              <w:rPr>
                <w:rFonts w:ascii="Times New Roman" w:cs="Times New Roman" w:eastAsia="Times New Roman" w:hAnsi="Times New Roman"/>
                <w:sz w:val="20"/>
                <w:szCs w:val="20"/>
                <w:color w:val="1C2790"/>
              </w:rPr>
              <w:t>Holdings Group, Inc., Hydrofarm Merger Sub, Inc. and Hydrofarm Investment Corp. (incorporated by reference</w:t>
            </w:r>
          </w:p>
        </w:tc>
      </w:tr>
      <w:tr>
        <w:trPr>
          <w:trHeight w:val="203"/>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20" w:type="dxa"/>
            <w:vAlign w:val="bottom"/>
            <w:tcBorders>
              <w:top w:val="single" w:sz="8" w:color="1C2790"/>
            </w:tcBorders>
            <w:gridSpan w:val="27"/>
          </w:tcPr>
          <w:p>
            <w:pPr>
              <w:spacing w:after="0" w:line="204" w:lineRule="exact"/>
              <w:rPr>
                <w:sz w:val="20"/>
                <w:szCs w:val="20"/>
                <w:color w:val="auto"/>
              </w:rPr>
            </w:pPr>
            <w:r>
              <w:rPr>
                <w:rFonts w:ascii="Times New Roman" w:cs="Times New Roman" w:eastAsia="Times New Roman" w:hAnsi="Times New Roman"/>
                <w:sz w:val="20"/>
                <w:szCs w:val="20"/>
                <w:color w:val="1C2790"/>
              </w:rPr>
              <w:t>to the Company's Registration Statement on Form S-1 (File No. 333-250037), filed with the SEC on November</w:t>
            </w:r>
          </w:p>
        </w:tc>
        <w:tc>
          <w:tcPr>
            <w:tcW w:w="40" w:type="dxa"/>
            <w:vAlign w:val="bottom"/>
            <w:gridSpan w:val="2"/>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204"/>
        </w:trPr>
        <w:tc>
          <w:tcPr>
            <w:tcW w:w="660" w:type="dxa"/>
            <w:vAlign w:val="bottom"/>
          </w:tcPr>
          <w:p>
            <w:pPr>
              <w:spacing w:after="0"/>
              <w:rPr>
                <w:sz w:val="17"/>
                <w:szCs w:val="17"/>
                <w:color w:val="auto"/>
              </w:rPr>
            </w:pPr>
          </w:p>
        </w:tc>
        <w:tc>
          <w:tcPr>
            <w:tcW w:w="440" w:type="dxa"/>
            <w:vAlign w:val="bottom"/>
            <w:gridSpan w:val="3"/>
          </w:tcPr>
          <w:p>
            <w:pPr>
              <w:spacing w:after="0"/>
              <w:rPr>
                <w:sz w:val="17"/>
                <w:szCs w:val="17"/>
                <w:color w:val="auto"/>
              </w:rPr>
            </w:pPr>
          </w:p>
        </w:tc>
        <w:tc>
          <w:tcPr>
            <w:tcW w:w="840" w:type="dxa"/>
            <w:vAlign w:val="bottom"/>
            <w:tcBorders>
              <w:top w:val="single" w:sz="8" w:color="1C2790"/>
              <w:bottom w:val="single" w:sz="8" w:color="1C2790"/>
            </w:tcBorders>
            <w:gridSpan w:val="3"/>
          </w:tcPr>
          <w:p>
            <w:pPr>
              <w:spacing w:after="0" w:line="205" w:lineRule="exact"/>
              <w:rPr>
                <w:sz w:val="20"/>
                <w:szCs w:val="20"/>
                <w:color w:val="auto"/>
              </w:rPr>
            </w:pPr>
            <w:r>
              <w:rPr>
                <w:rFonts w:ascii="Times New Roman" w:cs="Times New Roman" w:eastAsia="Times New Roman" w:hAnsi="Times New Roman"/>
                <w:sz w:val="20"/>
                <w:szCs w:val="20"/>
                <w:color w:val="1C2790"/>
              </w:rPr>
              <w:t>12, 2020).</w:t>
            </w:r>
          </w:p>
        </w:tc>
        <w:tc>
          <w:tcPr>
            <w:tcW w:w="1020" w:type="dxa"/>
            <w:vAlign w:val="bottom"/>
            <w:tcBorders>
              <w:top w:val="single" w:sz="8" w:color="1C2790"/>
            </w:tcBorders>
          </w:tcPr>
          <w:p>
            <w:pPr>
              <w:spacing w:after="0"/>
              <w:rPr>
                <w:sz w:val="17"/>
                <w:szCs w:val="17"/>
                <w:color w:val="auto"/>
              </w:rPr>
            </w:pPr>
          </w:p>
        </w:tc>
        <w:tc>
          <w:tcPr>
            <w:tcW w:w="480" w:type="dxa"/>
            <w:vAlign w:val="bottom"/>
            <w:tcBorders>
              <w:top w:val="single" w:sz="8" w:color="1C2790"/>
            </w:tcBorders>
          </w:tcPr>
          <w:p>
            <w:pPr>
              <w:spacing w:after="0"/>
              <w:rPr>
                <w:sz w:val="17"/>
                <w:szCs w:val="17"/>
                <w:color w:val="auto"/>
              </w:rPr>
            </w:pPr>
          </w:p>
        </w:tc>
        <w:tc>
          <w:tcPr>
            <w:tcW w:w="1780" w:type="dxa"/>
            <w:vAlign w:val="bottom"/>
            <w:tcBorders>
              <w:top w:val="single" w:sz="8" w:color="1C2790"/>
            </w:tcBorders>
          </w:tcPr>
          <w:p>
            <w:pPr>
              <w:spacing w:after="0"/>
              <w:rPr>
                <w:sz w:val="17"/>
                <w:szCs w:val="17"/>
                <w:color w:val="auto"/>
              </w:rPr>
            </w:pPr>
          </w:p>
        </w:tc>
        <w:tc>
          <w:tcPr>
            <w:tcW w:w="760" w:type="dxa"/>
            <w:vAlign w:val="bottom"/>
            <w:tcBorders>
              <w:top w:val="single" w:sz="8" w:color="1C2790"/>
            </w:tcBorders>
          </w:tcPr>
          <w:p>
            <w:pPr>
              <w:spacing w:after="0"/>
              <w:rPr>
                <w:sz w:val="17"/>
                <w:szCs w:val="17"/>
                <w:color w:val="auto"/>
              </w:rPr>
            </w:pPr>
          </w:p>
        </w:tc>
        <w:tc>
          <w:tcPr>
            <w:tcW w:w="260" w:type="dxa"/>
            <w:vAlign w:val="bottom"/>
            <w:tcBorders>
              <w:top w:val="single" w:sz="8" w:color="1C2790"/>
            </w:tcBorders>
          </w:tcPr>
          <w:p>
            <w:pPr>
              <w:spacing w:after="0"/>
              <w:rPr>
                <w:sz w:val="17"/>
                <w:szCs w:val="17"/>
                <w:color w:val="auto"/>
              </w:rPr>
            </w:pPr>
          </w:p>
        </w:tc>
        <w:tc>
          <w:tcPr>
            <w:tcW w:w="480" w:type="dxa"/>
            <w:vAlign w:val="bottom"/>
            <w:tcBorders>
              <w:top w:val="single" w:sz="8" w:color="1C2790"/>
            </w:tcBorders>
          </w:tcPr>
          <w:p>
            <w:pPr>
              <w:spacing w:after="0"/>
              <w:rPr>
                <w:sz w:val="17"/>
                <w:szCs w:val="17"/>
                <w:color w:val="auto"/>
              </w:rPr>
            </w:pPr>
          </w:p>
        </w:tc>
        <w:tc>
          <w:tcPr>
            <w:tcW w:w="2740" w:type="dxa"/>
            <w:vAlign w:val="bottom"/>
            <w:tcBorders>
              <w:top w:val="single" w:sz="8" w:color="1C2790"/>
            </w:tcBorders>
          </w:tcPr>
          <w:p>
            <w:pPr>
              <w:spacing w:after="0"/>
              <w:rPr>
                <w:sz w:val="17"/>
                <w:szCs w:val="17"/>
                <w:color w:val="auto"/>
              </w:rPr>
            </w:pPr>
          </w:p>
        </w:tc>
        <w:tc>
          <w:tcPr>
            <w:tcW w:w="80" w:type="dxa"/>
            <w:vAlign w:val="bottom"/>
            <w:tcBorders>
              <w:top w:val="single" w:sz="8" w:color="1C2790"/>
            </w:tcBorders>
          </w:tcPr>
          <w:p>
            <w:pPr>
              <w:spacing w:after="0"/>
              <w:rPr>
                <w:sz w:val="17"/>
                <w:szCs w:val="17"/>
                <w:color w:val="auto"/>
              </w:rPr>
            </w:pPr>
          </w:p>
        </w:tc>
        <w:tc>
          <w:tcPr>
            <w:tcW w:w="20" w:type="dxa"/>
            <w:vAlign w:val="bottom"/>
            <w:tcBorders>
              <w:top w:val="single" w:sz="8" w:color="1C2790"/>
            </w:tcBorders>
          </w:tcPr>
          <w:p>
            <w:pPr>
              <w:spacing w:after="0"/>
              <w:rPr>
                <w:sz w:val="17"/>
                <w:szCs w:val="17"/>
                <w:color w:val="auto"/>
              </w:rPr>
            </w:pPr>
          </w:p>
        </w:tc>
        <w:tc>
          <w:tcPr>
            <w:tcW w:w="80" w:type="dxa"/>
            <w:vAlign w:val="bottom"/>
            <w:tcBorders>
              <w:top w:val="single" w:sz="8" w:color="1C2790"/>
            </w:tcBorders>
          </w:tcPr>
          <w:p>
            <w:pPr>
              <w:spacing w:after="0"/>
              <w:rPr>
                <w:sz w:val="17"/>
                <w:szCs w:val="17"/>
                <w:color w:val="auto"/>
              </w:rPr>
            </w:pPr>
          </w:p>
        </w:tc>
        <w:tc>
          <w:tcPr>
            <w:tcW w:w="20" w:type="dxa"/>
            <w:vAlign w:val="bottom"/>
            <w:tcBorders>
              <w:top w:val="single" w:sz="8" w:color="1C2790"/>
            </w:tcBorders>
          </w:tcPr>
          <w:p>
            <w:pPr>
              <w:spacing w:after="0"/>
              <w:rPr>
                <w:sz w:val="17"/>
                <w:szCs w:val="17"/>
                <w:color w:val="auto"/>
              </w:rPr>
            </w:pPr>
          </w:p>
        </w:tc>
        <w:tc>
          <w:tcPr>
            <w:tcW w:w="40" w:type="dxa"/>
            <w:vAlign w:val="bottom"/>
            <w:tcBorders>
              <w:top w:val="single" w:sz="8" w:color="1C2790"/>
            </w:tcBorders>
          </w:tcPr>
          <w:p>
            <w:pPr>
              <w:spacing w:after="0"/>
              <w:rPr>
                <w:sz w:val="17"/>
                <w:szCs w:val="17"/>
                <w:color w:val="auto"/>
              </w:rPr>
            </w:pPr>
          </w:p>
        </w:tc>
        <w:tc>
          <w:tcPr>
            <w:tcW w:w="140" w:type="dxa"/>
            <w:vAlign w:val="bottom"/>
            <w:tcBorders>
              <w:top w:val="single" w:sz="8" w:color="1C2790"/>
            </w:tcBorders>
          </w:tcPr>
          <w:p>
            <w:pPr>
              <w:spacing w:after="0"/>
              <w:rPr>
                <w:sz w:val="17"/>
                <w:szCs w:val="17"/>
                <w:color w:val="auto"/>
              </w:rPr>
            </w:pPr>
          </w:p>
        </w:tc>
        <w:tc>
          <w:tcPr>
            <w:tcW w:w="20" w:type="dxa"/>
            <w:vAlign w:val="bottom"/>
            <w:tcBorders>
              <w:top w:val="single" w:sz="8" w:color="1C2790"/>
            </w:tcBorders>
          </w:tcPr>
          <w:p>
            <w:pPr>
              <w:spacing w:after="0"/>
              <w:rPr>
                <w:sz w:val="17"/>
                <w:szCs w:val="17"/>
                <w:color w:val="auto"/>
              </w:rPr>
            </w:pPr>
          </w:p>
        </w:tc>
        <w:tc>
          <w:tcPr>
            <w:tcW w:w="40" w:type="dxa"/>
            <w:vAlign w:val="bottom"/>
            <w:tcBorders>
              <w:top w:val="single" w:sz="8" w:color="1C2790"/>
            </w:tcBorders>
          </w:tcPr>
          <w:p>
            <w:pPr>
              <w:spacing w:after="0"/>
              <w:rPr>
                <w:sz w:val="17"/>
                <w:szCs w:val="17"/>
                <w:color w:val="auto"/>
              </w:rPr>
            </w:pPr>
          </w:p>
        </w:tc>
        <w:tc>
          <w:tcPr>
            <w:tcW w:w="40" w:type="dxa"/>
            <w:vAlign w:val="bottom"/>
            <w:tcBorders>
              <w:top w:val="single" w:sz="8" w:color="1C2790"/>
            </w:tcBorders>
          </w:tcPr>
          <w:p>
            <w:pPr>
              <w:spacing w:after="0"/>
              <w:rPr>
                <w:sz w:val="17"/>
                <w:szCs w:val="17"/>
                <w:color w:val="auto"/>
              </w:rPr>
            </w:pPr>
          </w:p>
        </w:tc>
        <w:tc>
          <w:tcPr>
            <w:tcW w:w="20" w:type="dxa"/>
            <w:vAlign w:val="bottom"/>
            <w:tcBorders>
              <w:top w:val="single" w:sz="8" w:color="1C2790"/>
            </w:tcBorders>
          </w:tcPr>
          <w:p>
            <w:pPr>
              <w:spacing w:after="0"/>
              <w:rPr>
                <w:sz w:val="17"/>
                <w:szCs w:val="17"/>
                <w:color w:val="auto"/>
              </w:rPr>
            </w:pPr>
          </w:p>
        </w:tc>
        <w:tc>
          <w:tcPr>
            <w:tcW w:w="20" w:type="dxa"/>
            <w:vAlign w:val="bottom"/>
            <w:tcBorders>
              <w:top w:val="single" w:sz="8" w:color="1C2790"/>
            </w:tcBorders>
          </w:tcPr>
          <w:p>
            <w:pPr>
              <w:spacing w:after="0"/>
              <w:rPr>
                <w:sz w:val="17"/>
                <w:szCs w:val="17"/>
                <w:color w:val="auto"/>
              </w:rPr>
            </w:pPr>
          </w:p>
        </w:tc>
        <w:tc>
          <w:tcPr>
            <w:tcW w:w="40" w:type="dxa"/>
            <w:vAlign w:val="bottom"/>
            <w:tcBorders>
              <w:top w:val="single" w:sz="8" w:color="1C2790"/>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68"/>
        </w:trPr>
        <w:tc>
          <w:tcPr>
            <w:tcW w:w="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2.5+</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180" w:type="dxa"/>
            <w:vAlign w:val="bottom"/>
            <w:gridSpan w:val="35"/>
          </w:tcPr>
          <w:p>
            <w:pPr>
              <w:spacing w:after="0"/>
              <w:rPr>
                <w:sz w:val="20"/>
                <w:szCs w:val="20"/>
                <w:color w:val="auto"/>
              </w:rPr>
            </w:pPr>
            <w:r>
              <w:rPr>
                <w:rFonts w:ascii="Times New Roman" w:cs="Times New Roman" w:eastAsia="Times New Roman" w:hAnsi="Times New Roman"/>
                <w:sz w:val="20"/>
                <w:szCs w:val="20"/>
                <w:color w:val="1C2790"/>
              </w:rPr>
              <w:t>Stock Purchase and Contribution Agreement, dated as of October 25, 2021, by and among Hydrofarm Holdings</w:t>
            </w:r>
          </w:p>
        </w:tc>
      </w:tr>
      <w:tr>
        <w:trPr>
          <w:trHeight w:val="203"/>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940" w:type="dxa"/>
            <w:vAlign w:val="bottom"/>
            <w:tcBorders>
              <w:top w:val="single" w:sz="8" w:color="1C2790"/>
            </w:tcBorders>
            <w:gridSpan w:val="23"/>
          </w:tcPr>
          <w:p>
            <w:pPr>
              <w:spacing w:after="0" w:line="204" w:lineRule="exact"/>
              <w:rPr>
                <w:sz w:val="20"/>
                <w:szCs w:val="20"/>
                <w:color w:val="auto"/>
              </w:rPr>
            </w:pPr>
            <w:r>
              <w:rPr>
                <w:rFonts w:ascii="Times New Roman" w:cs="Times New Roman" w:eastAsia="Times New Roman" w:hAnsi="Times New Roman"/>
                <w:sz w:val="20"/>
                <w:szCs w:val="20"/>
                <w:color w:val="1C2790"/>
              </w:rPr>
              <w:t>Group, Inc., Hydrofarm, LLC, Bruce Zierk and Christopher Mayer (incorporated by reference to Exhibit 2.1 of</w:t>
            </w:r>
          </w:p>
        </w:tc>
        <w:tc>
          <w:tcPr>
            <w:tcW w:w="60" w:type="dxa"/>
            <w:vAlign w:val="bottom"/>
            <w:gridSpan w:val="3"/>
          </w:tcPr>
          <w:p>
            <w:pPr>
              <w:spacing w:after="0"/>
              <w:rPr>
                <w:sz w:val="17"/>
                <w:szCs w:val="17"/>
                <w:color w:val="auto"/>
              </w:rPr>
            </w:pPr>
          </w:p>
        </w:tc>
        <w:tc>
          <w:tcPr>
            <w:tcW w:w="60" w:type="dxa"/>
            <w:vAlign w:val="bottom"/>
            <w:gridSpan w:val="3"/>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204"/>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760" w:type="dxa"/>
            <w:vAlign w:val="bottom"/>
            <w:tcBorders>
              <w:top w:val="single" w:sz="8" w:color="1C2790"/>
              <w:bottom w:val="single" w:sz="8" w:color="1C2790"/>
            </w:tcBorders>
            <w:gridSpan w:val="17"/>
          </w:tcPr>
          <w:p>
            <w:pPr>
              <w:spacing w:after="0" w:line="205" w:lineRule="exact"/>
              <w:rPr>
                <w:sz w:val="20"/>
                <w:szCs w:val="20"/>
                <w:color w:val="auto"/>
              </w:rPr>
            </w:pPr>
            <w:r>
              <w:rPr>
                <w:rFonts w:ascii="Times New Roman" w:cs="Times New Roman" w:eastAsia="Times New Roman" w:hAnsi="Times New Roman"/>
                <w:sz w:val="20"/>
                <w:szCs w:val="20"/>
                <w:color w:val="1C2790"/>
                <w:w w:val="99"/>
              </w:rPr>
              <w:t>the Company’s Current Report on Form 8-K (File No. 001-39773) filed with the SEC on November 3, 2021).</w:t>
            </w:r>
          </w:p>
        </w:tc>
        <w:tc>
          <w:tcPr>
            <w:tcW w:w="160" w:type="dxa"/>
            <w:vAlign w:val="bottom"/>
            <w:tcBorders>
              <w:top w:val="single" w:sz="8" w:color="1C2790"/>
            </w:tcBorders>
            <w:gridSpan w:val="5"/>
          </w:tcPr>
          <w:p>
            <w:pPr>
              <w:spacing w:after="0"/>
              <w:rPr>
                <w:sz w:val="17"/>
                <w:szCs w:val="17"/>
                <w:color w:val="auto"/>
              </w:rPr>
            </w:pPr>
          </w:p>
        </w:tc>
        <w:tc>
          <w:tcPr>
            <w:tcW w:w="80" w:type="dxa"/>
            <w:vAlign w:val="bottom"/>
            <w:gridSpan w:val="4"/>
          </w:tcPr>
          <w:p>
            <w:pPr>
              <w:spacing w:after="0"/>
              <w:rPr>
                <w:sz w:val="17"/>
                <w:szCs w:val="17"/>
                <w:color w:val="auto"/>
              </w:rPr>
            </w:pPr>
          </w:p>
        </w:tc>
        <w:tc>
          <w:tcPr>
            <w:tcW w:w="60" w:type="dxa"/>
            <w:vAlign w:val="bottom"/>
            <w:gridSpan w:val="3"/>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268"/>
        </w:trPr>
        <w:tc>
          <w:tcPr>
            <w:tcW w:w="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2.6</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180" w:type="dxa"/>
            <w:vAlign w:val="bottom"/>
            <w:gridSpan w:val="35"/>
          </w:tcPr>
          <w:p>
            <w:pPr>
              <w:spacing w:after="0"/>
              <w:rPr>
                <w:sz w:val="20"/>
                <w:szCs w:val="20"/>
                <w:color w:val="auto"/>
              </w:rPr>
            </w:pPr>
            <w:r>
              <w:rPr>
                <w:rFonts w:ascii="Times New Roman" w:cs="Times New Roman" w:eastAsia="Times New Roman" w:hAnsi="Times New Roman"/>
                <w:sz w:val="20"/>
                <w:szCs w:val="20"/>
                <w:color w:val="1C2790"/>
              </w:rPr>
              <w:t>Amendment No. 1 to Stock Purchase and Contribution Agreement, dated as of November 1, 2021, by and among</w:t>
            </w:r>
          </w:p>
        </w:tc>
      </w:tr>
      <w:tr>
        <w:trPr>
          <w:trHeight w:val="203"/>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60" w:type="dxa"/>
            <w:vAlign w:val="bottom"/>
            <w:tcBorders>
              <w:top w:val="single" w:sz="8" w:color="1C2790"/>
              <w:bottom w:val="single" w:sz="8" w:color="1C2790"/>
            </w:tcBorders>
            <w:gridSpan w:val="12"/>
          </w:tcPr>
          <w:p>
            <w:pPr>
              <w:spacing w:after="0" w:line="204" w:lineRule="exact"/>
              <w:rPr>
                <w:sz w:val="20"/>
                <w:szCs w:val="20"/>
                <w:color w:val="auto"/>
              </w:rPr>
            </w:pPr>
            <w:r>
              <w:rPr>
                <w:rFonts w:ascii="Times New Roman" w:cs="Times New Roman" w:eastAsia="Times New Roman" w:hAnsi="Times New Roman"/>
                <w:sz w:val="20"/>
                <w:szCs w:val="20"/>
                <w:color w:val="1C2790"/>
                <w:w w:val="99"/>
              </w:rPr>
              <w:t>Hydrofarm Holdings Group, Inc., Hydrofarm, LLC, Bruce Zierk and Christopher Mayer (incorporated by</w:t>
            </w:r>
          </w:p>
        </w:tc>
        <w:tc>
          <w:tcPr>
            <w:tcW w:w="640" w:type="dxa"/>
            <w:vAlign w:val="bottom"/>
            <w:tcBorders>
              <w:top w:val="single" w:sz="8" w:color="1C2790"/>
            </w:tcBorders>
            <w:gridSpan w:val="19"/>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204"/>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180" w:type="dxa"/>
            <w:vAlign w:val="bottom"/>
            <w:gridSpan w:val="35"/>
          </w:tcPr>
          <w:p>
            <w:pPr>
              <w:spacing w:after="0" w:line="205" w:lineRule="exact"/>
              <w:rPr>
                <w:sz w:val="20"/>
                <w:szCs w:val="20"/>
                <w:color w:val="auto"/>
              </w:rPr>
            </w:pPr>
            <w:r>
              <w:rPr>
                <w:rFonts w:ascii="Times New Roman" w:cs="Times New Roman" w:eastAsia="Times New Roman" w:hAnsi="Times New Roman"/>
                <w:sz w:val="20"/>
                <w:szCs w:val="20"/>
                <w:color w:val="1C2790"/>
              </w:rPr>
              <w:t>reference to Exhibit 2.2 of the Company’s Current Report on Form 8-K (File No. 001-39773) filed with the SEC</w:t>
            </w:r>
          </w:p>
        </w:tc>
      </w:tr>
      <w:tr>
        <w:trPr>
          <w:trHeight w:val="204"/>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60" w:type="dxa"/>
            <w:vAlign w:val="bottom"/>
            <w:tcBorders>
              <w:top w:val="single" w:sz="8" w:color="1C2790"/>
            </w:tcBorders>
            <w:gridSpan w:val="29"/>
          </w:tcPr>
          <w:p>
            <w:pPr>
              <w:spacing w:after="0" w:line="205" w:lineRule="exact"/>
              <w:rPr>
                <w:sz w:val="20"/>
                <w:szCs w:val="20"/>
                <w:color w:val="auto"/>
              </w:rPr>
            </w:pPr>
            <w:r>
              <w:rPr>
                <w:rFonts w:ascii="Times New Roman" w:cs="Times New Roman" w:eastAsia="Times New Roman" w:hAnsi="Times New Roman"/>
                <w:sz w:val="20"/>
                <w:szCs w:val="20"/>
                <w:color w:val="1C2790"/>
              </w:rPr>
              <w:t>on November 3, 2021).</w:t>
            </w:r>
          </w:p>
        </w:tc>
        <w:tc>
          <w:tcPr>
            <w:tcW w:w="60" w:type="dxa"/>
            <w:vAlign w:val="bottom"/>
            <w:gridSpan w:val="3"/>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shd w:val="clear" w:color="auto" w:fill="1C2790"/>
          </w:tcPr>
          <w:p>
            <w:pPr>
              <w:spacing w:after="0" w:line="20" w:lineRule="exact"/>
              <w:rPr>
                <w:sz w:val="1"/>
                <w:szCs w:val="1"/>
                <w:color w:val="auto"/>
              </w:rPr>
            </w:pPr>
          </w:p>
        </w:tc>
        <w:tc>
          <w:tcPr>
            <w:tcW w:w="1040" w:type="dxa"/>
            <w:vAlign w:val="bottom"/>
            <w:gridSpan w:val="2"/>
            <w:shd w:val="clear" w:color="auto" w:fill="1C279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94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7"/>
        </w:trPr>
        <w:tc>
          <w:tcPr>
            <w:tcW w:w="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3.1</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180" w:type="dxa"/>
            <w:vAlign w:val="bottom"/>
            <w:gridSpan w:val="35"/>
          </w:tcPr>
          <w:p>
            <w:pPr>
              <w:spacing w:after="0"/>
              <w:rPr>
                <w:sz w:val="20"/>
                <w:szCs w:val="20"/>
                <w:color w:val="auto"/>
              </w:rPr>
            </w:pPr>
            <w:r>
              <w:rPr>
                <w:rFonts w:ascii="Times New Roman" w:cs="Times New Roman" w:eastAsia="Times New Roman" w:hAnsi="Times New Roman"/>
                <w:sz w:val="20"/>
                <w:szCs w:val="20"/>
                <w:color w:val="1C2790"/>
              </w:rPr>
              <w:t>Restated Certificate of Incorporation of Hydrofarm Holdings Group, Inc. (incorporated by reference to Exhibit</w:t>
            </w:r>
          </w:p>
        </w:tc>
      </w:tr>
      <w:tr>
        <w:trPr>
          <w:trHeight w:val="204"/>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80" w:type="dxa"/>
            <w:vAlign w:val="bottom"/>
            <w:tcBorders>
              <w:top w:val="single" w:sz="8" w:color="1C2790"/>
            </w:tcBorders>
            <w:gridSpan w:val="21"/>
          </w:tcPr>
          <w:p>
            <w:pPr>
              <w:spacing w:after="0" w:line="205" w:lineRule="exact"/>
              <w:rPr>
                <w:sz w:val="20"/>
                <w:szCs w:val="20"/>
                <w:color w:val="auto"/>
              </w:rPr>
            </w:pPr>
            <w:r>
              <w:rPr>
                <w:rFonts w:ascii="Times New Roman" w:cs="Times New Roman" w:eastAsia="Times New Roman" w:hAnsi="Times New Roman"/>
                <w:sz w:val="20"/>
                <w:szCs w:val="20"/>
                <w:color w:val="1C2790"/>
              </w:rPr>
              <w:t>3.</w:t>
            </w:r>
            <w:r>
              <w:rPr>
                <w:rFonts w:ascii="Times New Roman" w:cs="Times New Roman" w:eastAsia="Times New Roman" w:hAnsi="Times New Roman"/>
                <w:sz w:val="20"/>
                <w:szCs w:val="20"/>
                <w:u w:val="single" w:color="auto"/>
                <w:color w:val="1C2790"/>
              </w:rPr>
              <w:t>1</w:t>
            </w:r>
            <w:r>
              <w:rPr>
                <w:rFonts w:ascii="Times New Roman" w:cs="Times New Roman" w:eastAsia="Times New Roman" w:hAnsi="Times New Roman"/>
                <w:sz w:val="20"/>
                <w:szCs w:val="20"/>
                <w:color w:val="1C2790"/>
              </w:rPr>
              <w:t xml:space="preserve"> of the Company’s Quarterly Report on Form 10-Q (File No. 001-39773), filed with the SEC on November</w:t>
            </w:r>
          </w:p>
        </w:tc>
        <w:tc>
          <w:tcPr>
            <w:tcW w:w="40" w:type="dxa"/>
            <w:vAlign w:val="bottom"/>
          </w:tcPr>
          <w:p>
            <w:pPr>
              <w:spacing w:after="0"/>
              <w:rPr>
                <w:sz w:val="17"/>
                <w:szCs w:val="17"/>
                <w:color w:val="auto"/>
              </w:rPr>
            </w:pPr>
          </w:p>
        </w:tc>
        <w:tc>
          <w:tcPr>
            <w:tcW w:w="80" w:type="dxa"/>
            <w:vAlign w:val="bottom"/>
            <w:gridSpan w:val="4"/>
          </w:tcPr>
          <w:p>
            <w:pPr>
              <w:spacing w:after="0"/>
              <w:rPr>
                <w:sz w:val="17"/>
                <w:szCs w:val="17"/>
                <w:color w:val="auto"/>
              </w:rPr>
            </w:pPr>
          </w:p>
        </w:tc>
        <w:tc>
          <w:tcPr>
            <w:tcW w:w="120" w:type="dxa"/>
            <w:vAlign w:val="bottom"/>
            <w:gridSpan w:val="6"/>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204"/>
        </w:trPr>
        <w:tc>
          <w:tcPr>
            <w:tcW w:w="660" w:type="dxa"/>
            <w:vAlign w:val="bottom"/>
          </w:tcPr>
          <w:p>
            <w:pPr>
              <w:spacing w:after="0"/>
              <w:rPr>
                <w:sz w:val="17"/>
                <w:szCs w:val="17"/>
                <w:color w:val="auto"/>
              </w:rPr>
            </w:pPr>
          </w:p>
        </w:tc>
        <w:tc>
          <w:tcPr>
            <w:tcW w:w="440" w:type="dxa"/>
            <w:vAlign w:val="bottom"/>
            <w:gridSpan w:val="3"/>
          </w:tcPr>
          <w:p>
            <w:pPr>
              <w:spacing w:after="0"/>
              <w:rPr>
                <w:sz w:val="17"/>
                <w:szCs w:val="17"/>
                <w:color w:val="auto"/>
              </w:rPr>
            </w:pPr>
          </w:p>
        </w:tc>
        <w:tc>
          <w:tcPr>
            <w:tcW w:w="820" w:type="dxa"/>
            <w:vAlign w:val="bottom"/>
            <w:tcBorders>
              <w:top w:val="single" w:sz="8" w:color="1C2790"/>
              <w:bottom w:val="single" w:sz="8" w:color="1C2790"/>
            </w:tcBorders>
            <w:gridSpan w:val="2"/>
          </w:tcPr>
          <w:p>
            <w:pPr>
              <w:spacing w:after="0" w:line="205" w:lineRule="exact"/>
              <w:rPr>
                <w:sz w:val="20"/>
                <w:szCs w:val="20"/>
                <w:color w:val="auto"/>
              </w:rPr>
            </w:pPr>
            <w:r>
              <w:rPr>
                <w:rFonts w:ascii="Times New Roman" w:cs="Times New Roman" w:eastAsia="Times New Roman" w:hAnsi="Times New Roman"/>
                <w:sz w:val="20"/>
                <w:szCs w:val="20"/>
                <w:color w:val="1C2790"/>
                <w:w w:val="97"/>
              </w:rPr>
              <w:t>12, 2025).</w:t>
            </w:r>
          </w:p>
        </w:tc>
        <w:tc>
          <w:tcPr>
            <w:tcW w:w="20" w:type="dxa"/>
            <w:vAlign w:val="bottom"/>
            <w:tcBorders>
              <w:top w:val="single" w:sz="8" w:color="1C2790"/>
            </w:tcBorders>
          </w:tcPr>
          <w:p>
            <w:pPr>
              <w:spacing w:after="0"/>
              <w:rPr>
                <w:sz w:val="17"/>
                <w:szCs w:val="17"/>
                <w:color w:val="auto"/>
              </w:rPr>
            </w:pPr>
          </w:p>
        </w:tc>
        <w:tc>
          <w:tcPr>
            <w:tcW w:w="1020" w:type="dxa"/>
            <w:vAlign w:val="bottom"/>
            <w:tcBorders>
              <w:top w:val="single" w:sz="8" w:color="1C2790"/>
            </w:tcBorders>
          </w:tcPr>
          <w:p>
            <w:pPr>
              <w:spacing w:after="0"/>
              <w:rPr>
                <w:sz w:val="17"/>
                <w:szCs w:val="17"/>
                <w:color w:val="auto"/>
              </w:rPr>
            </w:pPr>
          </w:p>
        </w:tc>
        <w:tc>
          <w:tcPr>
            <w:tcW w:w="480" w:type="dxa"/>
            <w:vAlign w:val="bottom"/>
            <w:tcBorders>
              <w:top w:val="single" w:sz="8" w:color="1C2790"/>
            </w:tcBorders>
          </w:tcPr>
          <w:p>
            <w:pPr>
              <w:spacing w:after="0"/>
              <w:rPr>
                <w:sz w:val="17"/>
                <w:szCs w:val="17"/>
                <w:color w:val="auto"/>
              </w:rPr>
            </w:pPr>
          </w:p>
        </w:tc>
        <w:tc>
          <w:tcPr>
            <w:tcW w:w="1780" w:type="dxa"/>
            <w:vAlign w:val="bottom"/>
            <w:tcBorders>
              <w:top w:val="single" w:sz="8" w:color="1C2790"/>
            </w:tcBorders>
          </w:tcPr>
          <w:p>
            <w:pPr>
              <w:spacing w:after="0"/>
              <w:rPr>
                <w:sz w:val="17"/>
                <w:szCs w:val="17"/>
                <w:color w:val="auto"/>
              </w:rPr>
            </w:pPr>
          </w:p>
        </w:tc>
        <w:tc>
          <w:tcPr>
            <w:tcW w:w="760" w:type="dxa"/>
            <w:vAlign w:val="bottom"/>
            <w:tcBorders>
              <w:top w:val="single" w:sz="8" w:color="1C2790"/>
            </w:tcBorders>
          </w:tcPr>
          <w:p>
            <w:pPr>
              <w:spacing w:after="0"/>
              <w:rPr>
                <w:sz w:val="17"/>
                <w:szCs w:val="17"/>
                <w:color w:val="auto"/>
              </w:rPr>
            </w:pPr>
          </w:p>
        </w:tc>
        <w:tc>
          <w:tcPr>
            <w:tcW w:w="260" w:type="dxa"/>
            <w:vAlign w:val="bottom"/>
            <w:tcBorders>
              <w:top w:val="single" w:sz="8" w:color="1C2790"/>
            </w:tcBorders>
          </w:tcPr>
          <w:p>
            <w:pPr>
              <w:spacing w:after="0"/>
              <w:rPr>
                <w:sz w:val="17"/>
                <w:szCs w:val="17"/>
                <w:color w:val="auto"/>
              </w:rPr>
            </w:pPr>
          </w:p>
        </w:tc>
        <w:tc>
          <w:tcPr>
            <w:tcW w:w="480" w:type="dxa"/>
            <w:vAlign w:val="bottom"/>
            <w:tcBorders>
              <w:top w:val="single" w:sz="8" w:color="1C2790"/>
            </w:tcBorders>
          </w:tcPr>
          <w:p>
            <w:pPr>
              <w:spacing w:after="0"/>
              <w:rPr>
                <w:sz w:val="17"/>
                <w:szCs w:val="17"/>
                <w:color w:val="auto"/>
              </w:rPr>
            </w:pPr>
          </w:p>
        </w:tc>
        <w:tc>
          <w:tcPr>
            <w:tcW w:w="2740" w:type="dxa"/>
            <w:vAlign w:val="bottom"/>
            <w:tcBorders>
              <w:top w:val="single" w:sz="8" w:color="1C2790"/>
            </w:tcBorders>
          </w:tcPr>
          <w:p>
            <w:pPr>
              <w:spacing w:after="0"/>
              <w:rPr>
                <w:sz w:val="17"/>
                <w:szCs w:val="17"/>
                <w:color w:val="auto"/>
              </w:rPr>
            </w:pPr>
          </w:p>
        </w:tc>
        <w:tc>
          <w:tcPr>
            <w:tcW w:w="80" w:type="dxa"/>
            <w:vAlign w:val="bottom"/>
            <w:tcBorders>
              <w:top w:val="single" w:sz="8" w:color="1C2790"/>
            </w:tcBorders>
          </w:tcPr>
          <w:p>
            <w:pPr>
              <w:spacing w:after="0"/>
              <w:rPr>
                <w:sz w:val="17"/>
                <w:szCs w:val="17"/>
                <w:color w:val="auto"/>
              </w:rPr>
            </w:pPr>
          </w:p>
        </w:tc>
        <w:tc>
          <w:tcPr>
            <w:tcW w:w="20" w:type="dxa"/>
            <w:vAlign w:val="bottom"/>
            <w:tcBorders>
              <w:top w:val="single" w:sz="8" w:color="1C2790"/>
            </w:tcBorders>
          </w:tcPr>
          <w:p>
            <w:pPr>
              <w:spacing w:after="0"/>
              <w:rPr>
                <w:sz w:val="17"/>
                <w:szCs w:val="17"/>
                <w:color w:val="auto"/>
              </w:rPr>
            </w:pPr>
          </w:p>
        </w:tc>
        <w:tc>
          <w:tcPr>
            <w:tcW w:w="80" w:type="dxa"/>
            <w:vAlign w:val="bottom"/>
            <w:tcBorders>
              <w:top w:val="single" w:sz="8" w:color="1C2790"/>
            </w:tcBorders>
          </w:tcPr>
          <w:p>
            <w:pPr>
              <w:spacing w:after="0"/>
              <w:rPr>
                <w:sz w:val="17"/>
                <w:szCs w:val="17"/>
                <w:color w:val="auto"/>
              </w:rPr>
            </w:pPr>
          </w:p>
        </w:tc>
        <w:tc>
          <w:tcPr>
            <w:tcW w:w="20" w:type="dxa"/>
            <w:vAlign w:val="bottom"/>
            <w:tcBorders>
              <w:top w:val="single" w:sz="8" w:color="1C2790"/>
            </w:tcBorders>
          </w:tcPr>
          <w:p>
            <w:pPr>
              <w:spacing w:after="0"/>
              <w:rPr>
                <w:sz w:val="17"/>
                <w:szCs w:val="17"/>
                <w:color w:val="auto"/>
              </w:rPr>
            </w:pPr>
          </w:p>
        </w:tc>
        <w:tc>
          <w:tcPr>
            <w:tcW w:w="40" w:type="dxa"/>
            <w:vAlign w:val="bottom"/>
            <w:tcBorders>
              <w:top w:val="single" w:sz="8" w:color="1C2790"/>
            </w:tcBorders>
          </w:tcPr>
          <w:p>
            <w:pPr>
              <w:spacing w:after="0"/>
              <w:rPr>
                <w:sz w:val="17"/>
                <w:szCs w:val="17"/>
                <w:color w:val="auto"/>
              </w:rPr>
            </w:pPr>
          </w:p>
        </w:tc>
        <w:tc>
          <w:tcPr>
            <w:tcW w:w="140" w:type="dxa"/>
            <w:vAlign w:val="bottom"/>
            <w:tcBorders>
              <w:top w:val="single" w:sz="8" w:color="1C2790"/>
            </w:tcBorders>
          </w:tcPr>
          <w:p>
            <w:pPr>
              <w:spacing w:after="0"/>
              <w:rPr>
                <w:sz w:val="17"/>
                <w:szCs w:val="17"/>
                <w:color w:val="auto"/>
              </w:rPr>
            </w:pPr>
          </w:p>
        </w:tc>
        <w:tc>
          <w:tcPr>
            <w:tcW w:w="20" w:type="dxa"/>
            <w:vAlign w:val="bottom"/>
            <w:tcBorders>
              <w:top w:val="single" w:sz="8" w:color="1C2790"/>
            </w:tcBorders>
          </w:tcPr>
          <w:p>
            <w:pPr>
              <w:spacing w:after="0"/>
              <w:rPr>
                <w:sz w:val="17"/>
                <w:szCs w:val="17"/>
                <w:color w:val="auto"/>
              </w:rPr>
            </w:pPr>
          </w:p>
        </w:tc>
        <w:tc>
          <w:tcPr>
            <w:tcW w:w="40" w:type="dxa"/>
            <w:vAlign w:val="bottom"/>
            <w:tcBorders>
              <w:top w:val="single" w:sz="8" w:color="1C2790"/>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67"/>
        </w:trPr>
        <w:tc>
          <w:tcPr>
            <w:tcW w:w="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3.2</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180" w:type="dxa"/>
            <w:vAlign w:val="bottom"/>
            <w:gridSpan w:val="35"/>
          </w:tcPr>
          <w:p>
            <w:pPr>
              <w:spacing w:after="0"/>
              <w:rPr>
                <w:sz w:val="20"/>
                <w:szCs w:val="20"/>
                <w:color w:val="auto"/>
              </w:rPr>
            </w:pPr>
            <w:r>
              <w:rPr>
                <w:rFonts w:ascii="Times New Roman" w:cs="Times New Roman" w:eastAsia="Times New Roman" w:hAnsi="Times New Roman"/>
                <w:sz w:val="20"/>
                <w:szCs w:val="20"/>
                <w:color w:val="1C2790"/>
              </w:rPr>
              <w:t>Amended and Restated Bylaws (incorporated by reference to the Company’s Registration Statement on Form S-</w:t>
            </w:r>
          </w:p>
        </w:tc>
      </w:tr>
      <w:tr>
        <w:trPr>
          <w:trHeight w:val="204"/>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20" w:type="dxa"/>
            <w:vAlign w:val="bottom"/>
            <w:tcBorders>
              <w:top w:val="single" w:sz="8" w:color="1C2790"/>
              <w:bottom w:val="single" w:sz="8" w:color="1C2790"/>
            </w:tcBorders>
            <w:gridSpan w:val="9"/>
          </w:tcPr>
          <w:p>
            <w:pPr>
              <w:spacing w:after="0" w:line="205" w:lineRule="exact"/>
              <w:rPr>
                <w:sz w:val="20"/>
                <w:szCs w:val="20"/>
                <w:color w:val="auto"/>
              </w:rPr>
            </w:pPr>
            <w:r>
              <w:rPr>
                <w:rFonts w:ascii="Times New Roman" w:cs="Times New Roman" w:eastAsia="Times New Roman" w:hAnsi="Times New Roman"/>
                <w:sz w:val="20"/>
                <w:szCs w:val="20"/>
                <w:color w:val="1C2790"/>
                <w:w w:val="99"/>
              </w:rPr>
              <w:t>1/A (File No. 333-250037), filed with the SEC on December 1, 2020).</w:t>
            </w:r>
          </w:p>
        </w:tc>
        <w:tc>
          <w:tcPr>
            <w:tcW w:w="3380" w:type="dxa"/>
            <w:vAlign w:val="bottom"/>
            <w:tcBorders>
              <w:top w:val="single" w:sz="8" w:color="1C2790"/>
            </w:tcBorders>
            <w:gridSpan w:val="17"/>
          </w:tcPr>
          <w:p>
            <w:pPr>
              <w:spacing w:after="0"/>
              <w:rPr>
                <w:sz w:val="17"/>
                <w:szCs w:val="17"/>
                <w:color w:val="auto"/>
              </w:rPr>
            </w:pPr>
          </w:p>
        </w:tc>
        <w:tc>
          <w:tcPr>
            <w:tcW w:w="120" w:type="dxa"/>
            <w:vAlign w:val="bottom"/>
            <w:gridSpan w:val="6"/>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267"/>
        </w:trPr>
        <w:tc>
          <w:tcPr>
            <w:tcW w:w="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4.1</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180" w:type="dxa"/>
            <w:vAlign w:val="bottom"/>
            <w:gridSpan w:val="35"/>
          </w:tcPr>
          <w:p>
            <w:pPr>
              <w:spacing w:after="0"/>
              <w:rPr>
                <w:sz w:val="20"/>
                <w:szCs w:val="20"/>
                <w:color w:val="auto"/>
              </w:rPr>
            </w:pPr>
            <w:r>
              <w:rPr>
                <w:rFonts w:ascii="Times New Roman" w:cs="Times New Roman" w:eastAsia="Times New Roman" w:hAnsi="Times New Roman"/>
                <w:sz w:val="20"/>
                <w:szCs w:val="20"/>
                <w:color w:val="1C2790"/>
              </w:rPr>
              <w:t>Specimen Common Stock Certificate of the Hydrofarm Holdings Group, Inc. (incorporated by reference to the</w:t>
            </w:r>
          </w:p>
        </w:tc>
      </w:tr>
      <w:tr>
        <w:trPr>
          <w:trHeight w:val="204"/>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60" w:type="dxa"/>
            <w:vAlign w:val="bottom"/>
            <w:tcBorders>
              <w:top w:val="single" w:sz="8" w:color="1C2790"/>
            </w:tcBorders>
            <w:gridSpan w:val="20"/>
          </w:tcPr>
          <w:p>
            <w:pPr>
              <w:spacing w:after="0" w:line="205" w:lineRule="exact"/>
              <w:rPr>
                <w:sz w:val="20"/>
                <w:szCs w:val="20"/>
                <w:color w:val="auto"/>
              </w:rPr>
            </w:pPr>
            <w:r>
              <w:rPr>
                <w:rFonts w:ascii="Times New Roman" w:cs="Times New Roman" w:eastAsia="Times New Roman" w:hAnsi="Times New Roman"/>
                <w:sz w:val="20"/>
                <w:szCs w:val="20"/>
                <w:color w:val="1C2790"/>
              </w:rPr>
              <w:t>Company’s Registration Statement on Form S-1 (File No. 333-250037), filed with the SEC on November 12,</w:t>
            </w:r>
          </w:p>
        </w:tc>
        <w:tc>
          <w:tcPr>
            <w:tcW w:w="60" w:type="dxa"/>
            <w:vAlign w:val="bottom"/>
            <w:gridSpan w:val="2"/>
          </w:tcPr>
          <w:p>
            <w:pPr>
              <w:spacing w:after="0"/>
              <w:rPr>
                <w:sz w:val="17"/>
                <w:szCs w:val="17"/>
                <w:color w:val="auto"/>
              </w:rPr>
            </w:pPr>
          </w:p>
        </w:tc>
        <w:tc>
          <w:tcPr>
            <w:tcW w:w="200" w:type="dxa"/>
            <w:vAlign w:val="bottom"/>
            <w:gridSpan w:val="10"/>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204"/>
        </w:trPr>
        <w:tc>
          <w:tcPr>
            <w:tcW w:w="660" w:type="dxa"/>
            <w:vAlign w:val="bottom"/>
          </w:tcPr>
          <w:p>
            <w:pPr>
              <w:spacing w:after="0"/>
              <w:rPr>
                <w:sz w:val="17"/>
                <w:szCs w:val="17"/>
                <w:color w:val="auto"/>
              </w:rPr>
            </w:pPr>
          </w:p>
        </w:tc>
        <w:tc>
          <w:tcPr>
            <w:tcW w:w="440" w:type="dxa"/>
            <w:vAlign w:val="bottom"/>
            <w:gridSpan w:val="3"/>
          </w:tcPr>
          <w:p>
            <w:pPr>
              <w:spacing w:after="0"/>
              <w:rPr>
                <w:sz w:val="17"/>
                <w:szCs w:val="17"/>
                <w:color w:val="auto"/>
              </w:rPr>
            </w:pPr>
          </w:p>
        </w:tc>
        <w:tc>
          <w:tcPr>
            <w:tcW w:w="520" w:type="dxa"/>
            <w:vAlign w:val="bottom"/>
            <w:tcBorders>
              <w:top w:val="single" w:sz="8" w:color="1C2790"/>
              <w:bottom w:val="single" w:sz="8" w:color="1C2790"/>
            </w:tcBorders>
          </w:tcPr>
          <w:p>
            <w:pPr>
              <w:spacing w:after="0" w:line="205" w:lineRule="exact"/>
              <w:rPr>
                <w:sz w:val="20"/>
                <w:szCs w:val="20"/>
                <w:color w:val="auto"/>
              </w:rPr>
            </w:pPr>
            <w:r>
              <w:rPr>
                <w:rFonts w:ascii="Times New Roman" w:cs="Times New Roman" w:eastAsia="Times New Roman" w:hAnsi="Times New Roman"/>
                <w:sz w:val="20"/>
                <w:szCs w:val="20"/>
                <w:color w:val="1C2790"/>
                <w:w w:val="96"/>
              </w:rPr>
              <w:t>2020).</w:t>
            </w:r>
          </w:p>
        </w:tc>
        <w:tc>
          <w:tcPr>
            <w:tcW w:w="300" w:type="dxa"/>
            <w:vAlign w:val="bottom"/>
            <w:tcBorders>
              <w:top w:val="single" w:sz="8" w:color="1C2790"/>
            </w:tcBorders>
          </w:tcPr>
          <w:p>
            <w:pPr>
              <w:spacing w:after="0"/>
              <w:rPr>
                <w:sz w:val="17"/>
                <w:szCs w:val="17"/>
                <w:color w:val="auto"/>
              </w:rPr>
            </w:pPr>
          </w:p>
        </w:tc>
        <w:tc>
          <w:tcPr>
            <w:tcW w:w="20" w:type="dxa"/>
            <w:vAlign w:val="bottom"/>
            <w:tcBorders>
              <w:top w:val="single" w:sz="8" w:color="1C2790"/>
            </w:tcBorders>
          </w:tcPr>
          <w:p>
            <w:pPr>
              <w:spacing w:after="0"/>
              <w:rPr>
                <w:sz w:val="17"/>
                <w:szCs w:val="17"/>
                <w:color w:val="auto"/>
              </w:rPr>
            </w:pPr>
          </w:p>
        </w:tc>
        <w:tc>
          <w:tcPr>
            <w:tcW w:w="1020" w:type="dxa"/>
            <w:vAlign w:val="bottom"/>
            <w:tcBorders>
              <w:top w:val="single" w:sz="8" w:color="1C2790"/>
            </w:tcBorders>
          </w:tcPr>
          <w:p>
            <w:pPr>
              <w:spacing w:after="0"/>
              <w:rPr>
                <w:sz w:val="17"/>
                <w:szCs w:val="17"/>
                <w:color w:val="auto"/>
              </w:rPr>
            </w:pPr>
          </w:p>
        </w:tc>
        <w:tc>
          <w:tcPr>
            <w:tcW w:w="480" w:type="dxa"/>
            <w:vAlign w:val="bottom"/>
            <w:tcBorders>
              <w:top w:val="single" w:sz="8" w:color="1C2790"/>
            </w:tcBorders>
          </w:tcPr>
          <w:p>
            <w:pPr>
              <w:spacing w:after="0"/>
              <w:rPr>
                <w:sz w:val="17"/>
                <w:szCs w:val="17"/>
                <w:color w:val="auto"/>
              </w:rPr>
            </w:pPr>
          </w:p>
        </w:tc>
        <w:tc>
          <w:tcPr>
            <w:tcW w:w="1780" w:type="dxa"/>
            <w:vAlign w:val="bottom"/>
            <w:tcBorders>
              <w:top w:val="single" w:sz="8" w:color="1C2790"/>
            </w:tcBorders>
          </w:tcPr>
          <w:p>
            <w:pPr>
              <w:spacing w:after="0"/>
              <w:rPr>
                <w:sz w:val="17"/>
                <w:szCs w:val="17"/>
                <w:color w:val="auto"/>
              </w:rPr>
            </w:pPr>
          </w:p>
        </w:tc>
        <w:tc>
          <w:tcPr>
            <w:tcW w:w="760" w:type="dxa"/>
            <w:vAlign w:val="bottom"/>
            <w:tcBorders>
              <w:top w:val="single" w:sz="8" w:color="1C2790"/>
            </w:tcBorders>
          </w:tcPr>
          <w:p>
            <w:pPr>
              <w:spacing w:after="0"/>
              <w:rPr>
                <w:sz w:val="17"/>
                <w:szCs w:val="17"/>
                <w:color w:val="auto"/>
              </w:rPr>
            </w:pPr>
          </w:p>
        </w:tc>
        <w:tc>
          <w:tcPr>
            <w:tcW w:w="260" w:type="dxa"/>
            <w:vAlign w:val="bottom"/>
            <w:tcBorders>
              <w:top w:val="single" w:sz="8" w:color="1C2790"/>
            </w:tcBorders>
          </w:tcPr>
          <w:p>
            <w:pPr>
              <w:spacing w:after="0"/>
              <w:rPr>
                <w:sz w:val="17"/>
                <w:szCs w:val="17"/>
                <w:color w:val="auto"/>
              </w:rPr>
            </w:pPr>
          </w:p>
        </w:tc>
        <w:tc>
          <w:tcPr>
            <w:tcW w:w="480" w:type="dxa"/>
            <w:vAlign w:val="bottom"/>
            <w:tcBorders>
              <w:top w:val="single" w:sz="8" w:color="1C2790"/>
            </w:tcBorders>
          </w:tcPr>
          <w:p>
            <w:pPr>
              <w:spacing w:after="0"/>
              <w:rPr>
                <w:sz w:val="17"/>
                <w:szCs w:val="17"/>
                <w:color w:val="auto"/>
              </w:rPr>
            </w:pPr>
          </w:p>
        </w:tc>
        <w:tc>
          <w:tcPr>
            <w:tcW w:w="2740" w:type="dxa"/>
            <w:vAlign w:val="bottom"/>
            <w:tcBorders>
              <w:top w:val="single" w:sz="8" w:color="1C2790"/>
            </w:tcBorders>
          </w:tcPr>
          <w:p>
            <w:pPr>
              <w:spacing w:after="0"/>
              <w:rPr>
                <w:sz w:val="17"/>
                <w:szCs w:val="17"/>
                <w:color w:val="auto"/>
              </w:rPr>
            </w:pPr>
          </w:p>
        </w:tc>
        <w:tc>
          <w:tcPr>
            <w:tcW w:w="80" w:type="dxa"/>
            <w:vAlign w:val="bottom"/>
            <w:tcBorders>
              <w:top w:val="single" w:sz="8" w:color="1C2790"/>
            </w:tcBorders>
          </w:tcPr>
          <w:p>
            <w:pPr>
              <w:spacing w:after="0"/>
              <w:rPr>
                <w:sz w:val="17"/>
                <w:szCs w:val="17"/>
                <w:color w:val="auto"/>
              </w:rPr>
            </w:pPr>
          </w:p>
        </w:tc>
        <w:tc>
          <w:tcPr>
            <w:tcW w:w="20" w:type="dxa"/>
            <w:vAlign w:val="bottom"/>
            <w:tcBorders>
              <w:top w:val="single" w:sz="8" w:color="1C2790"/>
            </w:tcBorders>
          </w:tcPr>
          <w:p>
            <w:pPr>
              <w:spacing w:after="0"/>
              <w:rPr>
                <w:sz w:val="17"/>
                <w:szCs w:val="17"/>
                <w:color w:val="auto"/>
              </w:rPr>
            </w:pPr>
          </w:p>
        </w:tc>
        <w:tc>
          <w:tcPr>
            <w:tcW w:w="80" w:type="dxa"/>
            <w:vAlign w:val="bottom"/>
            <w:tcBorders>
              <w:top w:val="single" w:sz="8" w:color="1C2790"/>
            </w:tcBorders>
          </w:tcPr>
          <w:p>
            <w:pPr>
              <w:spacing w:after="0"/>
              <w:rPr>
                <w:sz w:val="17"/>
                <w:szCs w:val="17"/>
                <w:color w:val="auto"/>
              </w:rPr>
            </w:pPr>
          </w:p>
        </w:tc>
        <w:tc>
          <w:tcPr>
            <w:tcW w:w="20" w:type="dxa"/>
            <w:vAlign w:val="bottom"/>
            <w:tcBorders>
              <w:top w:val="single" w:sz="8" w:color="1C2790"/>
            </w:tcBorders>
          </w:tcPr>
          <w:p>
            <w:pPr>
              <w:spacing w:after="0"/>
              <w:rPr>
                <w:sz w:val="17"/>
                <w:szCs w:val="17"/>
                <w:color w:val="auto"/>
              </w:rPr>
            </w:pPr>
          </w:p>
        </w:tc>
        <w:tc>
          <w:tcPr>
            <w:tcW w:w="40" w:type="dxa"/>
            <w:vAlign w:val="bottom"/>
            <w:tcBorders>
              <w:top w:val="single" w:sz="8" w:color="1C2790"/>
            </w:tcBorders>
          </w:tcPr>
          <w:p>
            <w:pPr>
              <w:spacing w:after="0"/>
              <w:rPr>
                <w:sz w:val="17"/>
                <w:szCs w:val="17"/>
                <w:color w:val="auto"/>
              </w:rPr>
            </w:pPr>
          </w:p>
        </w:tc>
        <w:tc>
          <w:tcPr>
            <w:tcW w:w="140" w:type="dxa"/>
            <w:vAlign w:val="bottom"/>
            <w:tcBorders>
              <w:top w:val="single" w:sz="8" w:color="1C2790"/>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67"/>
        </w:trPr>
        <w:tc>
          <w:tcPr>
            <w:tcW w:w="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4.2*</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340" w:type="dxa"/>
            <w:vAlign w:val="bottom"/>
            <w:tcBorders>
              <w:bottom w:val="single" w:sz="8" w:color="1C2790"/>
            </w:tcBorders>
            <w:gridSpan w:val="5"/>
          </w:tcPr>
          <w:p>
            <w:pPr>
              <w:spacing w:after="0"/>
              <w:rPr>
                <w:sz w:val="20"/>
                <w:szCs w:val="20"/>
                <w:color w:val="auto"/>
              </w:rPr>
            </w:pPr>
            <w:r>
              <w:rPr>
                <w:rFonts w:ascii="Times New Roman" w:cs="Times New Roman" w:eastAsia="Times New Roman" w:hAnsi="Times New Roman"/>
                <w:sz w:val="20"/>
                <w:szCs w:val="20"/>
                <w:color w:val="1C2790"/>
                <w:w w:val="99"/>
              </w:rPr>
              <w:t>Description of Capital Stock.</w:t>
            </w:r>
          </w:p>
        </w:tc>
        <w:tc>
          <w:tcPr>
            <w:tcW w:w="6840" w:type="dxa"/>
            <w:vAlign w:val="bottom"/>
            <w:gridSpan w:val="30"/>
          </w:tcPr>
          <w:p>
            <w:pPr>
              <w:spacing w:after="0"/>
              <w:rPr>
                <w:sz w:val="23"/>
                <w:szCs w:val="23"/>
                <w:color w:val="auto"/>
              </w:rPr>
            </w:pPr>
          </w:p>
        </w:tc>
      </w:tr>
      <w:tr>
        <w:trPr>
          <w:trHeight w:val="268"/>
        </w:trPr>
        <w:tc>
          <w:tcPr>
            <w:tcW w:w="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10.1</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180" w:type="dxa"/>
            <w:vAlign w:val="bottom"/>
            <w:gridSpan w:val="35"/>
          </w:tcPr>
          <w:p>
            <w:pPr>
              <w:spacing w:after="0"/>
              <w:rPr>
                <w:sz w:val="20"/>
                <w:szCs w:val="20"/>
                <w:color w:val="auto"/>
              </w:rPr>
            </w:pPr>
            <w:r>
              <w:rPr>
                <w:rFonts w:ascii="Times New Roman" w:cs="Times New Roman" w:eastAsia="Times New Roman" w:hAnsi="Times New Roman"/>
                <w:sz w:val="20"/>
                <w:szCs w:val="20"/>
                <w:color w:val="1C2790"/>
              </w:rPr>
              <w:t>Credit Agreement, dated March 29, 2021, by and among Hydrofarm Holdings Group, Inc., Hydrofarm, LLC, and</w:t>
            </w:r>
          </w:p>
        </w:tc>
      </w:tr>
      <w:tr>
        <w:trPr>
          <w:trHeight w:val="203"/>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120" w:type="dxa"/>
            <w:vAlign w:val="bottom"/>
            <w:tcBorders>
              <w:top w:val="single" w:sz="8" w:color="1C2790"/>
            </w:tcBorders>
            <w:gridSpan w:val="32"/>
          </w:tcPr>
          <w:p>
            <w:pPr>
              <w:spacing w:after="0" w:line="204" w:lineRule="exact"/>
              <w:rPr>
                <w:sz w:val="20"/>
                <w:szCs w:val="20"/>
                <w:color w:val="auto"/>
              </w:rPr>
            </w:pPr>
            <w:r>
              <w:rPr>
                <w:rFonts w:ascii="Times New Roman" w:cs="Times New Roman" w:eastAsia="Times New Roman" w:hAnsi="Times New Roman"/>
                <w:sz w:val="20"/>
                <w:szCs w:val="20"/>
                <w:color w:val="1C2790"/>
              </w:rPr>
              <w:t>JPMorgan Chase Bank, N.A. (incorporated by referenced to Exhibit 10.38 to the Company's Annual Report on</w:t>
            </w: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204"/>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120" w:type="dxa"/>
            <w:vAlign w:val="bottom"/>
            <w:tcBorders>
              <w:top w:val="single" w:sz="8" w:color="1C2790"/>
              <w:bottom w:val="single" w:sz="8" w:color="1C2790"/>
            </w:tcBorders>
            <w:gridSpan w:val="6"/>
          </w:tcPr>
          <w:p>
            <w:pPr>
              <w:spacing w:after="0" w:line="205" w:lineRule="exact"/>
              <w:rPr>
                <w:sz w:val="20"/>
                <w:szCs w:val="20"/>
                <w:color w:val="auto"/>
              </w:rPr>
            </w:pPr>
            <w:r>
              <w:rPr>
                <w:rFonts w:ascii="Times New Roman" w:cs="Times New Roman" w:eastAsia="Times New Roman" w:hAnsi="Times New Roman"/>
                <w:sz w:val="20"/>
                <w:szCs w:val="20"/>
                <w:color w:val="1C2790"/>
                <w:w w:val="99"/>
              </w:rPr>
              <w:t>Form 10-K filed with the SEC on March 30, 2021).</w:t>
            </w:r>
          </w:p>
        </w:tc>
        <w:tc>
          <w:tcPr>
            <w:tcW w:w="4720" w:type="dxa"/>
            <w:vAlign w:val="bottom"/>
            <w:tcBorders>
              <w:top w:val="single" w:sz="8" w:color="1C2790"/>
            </w:tcBorders>
            <w:gridSpan w:val="13"/>
          </w:tcPr>
          <w:p>
            <w:pPr>
              <w:spacing w:after="0"/>
              <w:rPr>
                <w:sz w:val="17"/>
                <w:szCs w:val="17"/>
                <w:color w:val="auto"/>
              </w:rPr>
            </w:pPr>
          </w:p>
        </w:tc>
        <w:tc>
          <w:tcPr>
            <w:tcW w:w="80" w:type="dxa"/>
            <w:vAlign w:val="bottom"/>
            <w:gridSpan w:val="3"/>
          </w:tcPr>
          <w:p>
            <w:pPr>
              <w:spacing w:after="0"/>
              <w:rPr>
                <w:sz w:val="17"/>
                <w:szCs w:val="17"/>
                <w:color w:val="auto"/>
              </w:rPr>
            </w:pPr>
          </w:p>
        </w:tc>
        <w:tc>
          <w:tcPr>
            <w:tcW w:w="240" w:type="dxa"/>
            <w:vAlign w:val="bottom"/>
            <w:gridSpan w:val="12"/>
          </w:tcPr>
          <w:p>
            <w:pPr>
              <w:spacing w:after="0"/>
              <w:rPr>
                <w:sz w:val="17"/>
                <w:szCs w:val="17"/>
                <w:color w:val="auto"/>
              </w:rPr>
            </w:pPr>
          </w:p>
        </w:tc>
        <w:tc>
          <w:tcPr>
            <w:tcW w:w="20" w:type="dxa"/>
            <w:vAlign w:val="bottom"/>
          </w:tcPr>
          <w:p>
            <w:pPr>
              <w:spacing w:after="0"/>
              <w:rPr>
                <w:sz w:val="17"/>
                <w:szCs w:val="17"/>
                <w:color w:val="auto"/>
              </w:rPr>
            </w:pPr>
          </w:p>
        </w:tc>
      </w:tr>
      <w:tr>
        <w:trPr>
          <w:trHeight w:val="267"/>
        </w:trPr>
        <w:tc>
          <w:tcPr>
            <w:tcW w:w="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10.2+</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180" w:type="dxa"/>
            <w:vAlign w:val="bottom"/>
            <w:gridSpan w:val="35"/>
          </w:tcPr>
          <w:p>
            <w:pPr>
              <w:spacing w:after="0"/>
              <w:rPr>
                <w:sz w:val="20"/>
                <w:szCs w:val="20"/>
                <w:color w:val="auto"/>
              </w:rPr>
            </w:pPr>
            <w:r>
              <w:rPr>
                <w:rFonts w:ascii="Times New Roman" w:cs="Times New Roman" w:eastAsia="Times New Roman" w:hAnsi="Times New Roman"/>
                <w:sz w:val="20"/>
                <w:szCs w:val="20"/>
                <w:color w:val="1C2790"/>
              </w:rPr>
              <w:t>First Amendment and Joinder to Credit Agreement, dated as of August 31, 2021, by and among Hydrofarm</w:t>
            </w:r>
          </w:p>
        </w:tc>
      </w:tr>
      <w:tr>
        <w:trPr>
          <w:trHeight w:val="20"/>
        </w:trPr>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560" w:type="dxa"/>
            <w:vAlign w:val="bottom"/>
            <w:gridSpan w:val="14"/>
            <w:shd w:val="clear" w:color="auto" w:fill="1C2790"/>
          </w:tcPr>
          <w:p>
            <w:pPr>
              <w:spacing w:after="0" w:line="20" w:lineRule="exact"/>
              <w:rPr>
                <w:sz w:val="1"/>
                <w:szCs w:val="1"/>
                <w:color w:val="auto"/>
              </w:rPr>
            </w:pPr>
          </w:p>
        </w:tc>
        <w:tc>
          <w:tcPr>
            <w:tcW w:w="360" w:type="dxa"/>
            <w:vAlign w:val="bottom"/>
            <w:gridSpan w:val="8"/>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180" w:type="dxa"/>
            <w:vAlign w:val="bottom"/>
            <w:gridSpan w:val="35"/>
          </w:tcPr>
          <w:p>
            <w:pPr>
              <w:spacing w:after="0" w:line="205" w:lineRule="exact"/>
              <w:rPr>
                <w:sz w:val="20"/>
                <w:szCs w:val="20"/>
                <w:color w:val="auto"/>
              </w:rPr>
            </w:pPr>
            <w:r>
              <w:rPr>
                <w:rFonts w:ascii="Times New Roman" w:cs="Times New Roman" w:eastAsia="Times New Roman" w:hAnsi="Times New Roman"/>
                <w:sz w:val="20"/>
                <w:szCs w:val="20"/>
                <w:color w:val="1C2790"/>
              </w:rPr>
              <w:t>Holdings Group, Inc., Hydrofarm, LLC, Hydrofarm Investment Corp., Hydrofarm Holdings LLC, EHH Holdings</w:t>
            </w:r>
          </w:p>
        </w:tc>
      </w:tr>
      <w:tr>
        <w:trPr>
          <w:trHeight w:val="204"/>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160" w:type="dxa"/>
            <w:vAlign w:val="bottom"/>
            <w:tcBorders>
              <w:top w:val="single" w:sz="8" w:color="1C2790"/>
            </w:tcBorders>
            <w:gridSpan w:val="34"/>
          </w:tcPr>
          <w:p>
            <w:pPr>
              <w:spacing w:after="0" w:line="205" w:lineRule="exact"/>
              <w:rPr>
                <w:sz w:val="20"/>
                <w:szCs w:val="20"/>
                <w:color w:val="auto"/>
              </w:rPr>
            </w:pPr>
            <w:r>
              <w:rPr>
                <w:rFonts w:ascii="Times New Roman" w:cs="Times New Roman" w:eastAsia="Times New Roman" w:hAnsi="Times New Roman"/>
                <w:sz w:val="20"/>
                <w:szCs w:val="20"/>
                <w:color w:val="1C2790"/>
              </w:rPr>
              <w:t>LLC, Sunblaster LLC, Hydrofarm Canada, LLC, Sunblaster Holdings ULC, Eddi’s Wholesale Garden Supplies</w:t>
            </w:r>
          </w:p>
        </w:tc>
        <w:tc>
          <w:tcPr>
            <w:tcW w:w="2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1C2790"/>
          </w:tcPr>
          <w:p>
            <w:pPr>
              <w:spacing w:after="0" w:line="20" w:lineRule="exact"/>
              <w:rPr>
                <w:sz w:val="1"/>
                <w:szCs w:val="1"/>
                <w:color w:val="auto"/>
              </w:rPr>
            </w:pPr>
          </w:p>
        </w:tc>
        <w:tc>
          <w:tcPr>
            <w:tcW w:w="300" w:type="dxa"/>
            <w:vAlign w:val="bottom"/>
            <w:shd w:val="clear" w:color="auto" w:fill="1C2790"/>
          </w:tcPr>
          <w:p>
            <w:pPr>
              <w:spacing w:after="0" w:line="20" w:lineRule="exact"/>
              <w:rPr>
                <w:sz w:val="1"/>
                <w:szCs w:val="1"/>
                <w:color w:val="auto"/>
              </w:rPr>
            </w:pPr>
          </w:p>
        </w:tc>
        <w:tc>
          <w:tcPr>
            <w:tcW w:w="20" w:type="dxa"/>
            <w:vAlign w:val="bottom"/>
            <w:shd w:val="clear" w:color="auto" w:fill="1C2790"/>
          </w:tcPr>
          <w:p>
            <w:pPr>
              <w:spacing w:after="0" w:line="20" w:lineRule="exact"/>
              <w:rPr>
                <w:sz w:val="1"/>
                <w:szCs w:val="1"/>
                <w:color w:val="auto"/>
              </w:rPr>
            </w:pPr>
          </w:p>
        </w:tc>
        <w:tc>
          <w:tcPr>
            <w:tcW w:w="1020" w:type="dxa"/>
            <w:vAlign w:val="bottom"/>
            <w:shd w:val="clear" w:color="auto" w:fill="1C2790"/>
          </w:tcPr>
          <w:p>
            <w:pPr>
              <w:spacing w:after="0" w:line="20" w:lineRule="exact"/>
              <w:rPr>
                <w:sz w:val="1"/>
                <w:szCs w:val="1"/>
                <w:color w:val="auto"/>
              </w:rPr>
            </w:pPr>
          </w:p>
        </w:tc>
        <w:tc>
          <w:tcPr>
            <w:tcW w:w="480" w:type="dxa"/>
            <w:vAlign w:val="bottom"/>
            <w:shd w:val="clear" w:color="auto" w:fill="1C2790"/>
          </w:tcPr>
          <w:p>
            <w:pPr>
              <w:spacing w:after="0" w:line="20" w:lineRule="exact"/>
              <w:rPr>
                <w:sz w:val="1"/>
                <w:szCs w:val="1"/>
                <w:color w:val="auto"/>
              </w:rPr>
            </w:pPr>
          </w:p>
        </w:tc>
        <w:tc>
          <w:tcPr>
            <w:tcW w:w="1780" w:type="dxa"/>
            <w:vAlign w:val="bottom"/>
            <w:shd w:val="clear" w:color="auto" w:fill="1C2790"/>
          </w:tcPr>
          <w:p>
            <w:pPr>
              <w:spacing w:after="0" w:line="20" w:lineRule="exact"/>
              <w:rPr>
                <w:sz w:val="1"/>
                <w:szCs w:val="1"/>
                <w:color w:val="auto"/>
              </w:rPr>
            </w:pPr>
          </w:p>
        </w:tc>
        <w:tc>
          <w:tcPr>
            <w:tcW w:w="760" w:type="dxa"/>
            <w:vAlign w:val="bottom"/>
            <w:shd w:val="clear" w:color="auto" w:fill="1C2790"/>
          </w:tcPr>
          <w:p>
            <w:pPr>
              <w:spacing w:after="0" w:line="20" w:lineRule="exact"/>
              <w:rPr>
                <w:sz w:val="1"/>
                <w:szCs w:val="1"/>
                <w:color w:val="auto"/>
              </w:rPr>
            </w:pPr>
          </w:p>
        </w:tc>
        <w:tc>
          <w:tcPr>
            <w:tcW w:w="260" w:type="dxa"/>
            <w:vAlign w:val="bottom"/>
            <w:shd w:val="clear" w:color="auto" w:fill="1C2790"/>
          </w:tcPr>
          <w:p>
            <w:pPr>
              <w:spacing w:after="0" w:line="20" w:lineRule="exact"/>
              <w:rPr>
                <w:sz w:val="1"/>
                <w:szCs w:val="1"/>
                <w:color w:val="auto"/>
              </w:rPr>
            </w:pPr>
          </w:p>
        </w:tc>
        <w:tc>
          <w:tcPr>
            <w:tcW w:w="480" w:type="dxa"/>
            <w:vAlign w:val="bottom"/>
            <w:shd w:val="clear" w:color="auto" w:fill="1C2790"/>
          </w:tcPr>
          <w:p>
            <w:pPr>
              <w:spacing w:after="0" w:line="20" w:lineRule="exact"/>
              <w:rPr>
                <w:sz w:val="1"/>
                <w:szCs w:val="1"/>
                <w:color w:val="auto"/>
              </w:rPr>
            </w:pPr>
          </w:p>
        </w:tc>
        <w:tc>
          <w:tcPr>
            <w:tcW w:w="2740" w:type="dxa"/>
            <w:vAlign w:val="bottom"/>
            <w:shd w:val="clear" w:color="auto" w:fill="1C2790"/>
          </w:tcPr>
          <w:p>
            <w:pPr>
              <w:spacing w:after="0" w:line="20" w:lineRule="exact"/>
              <w:rPr>
                <w:sz w:val="1"/>
                <w:szCs w:val="1"/>
                <w:color w:val="auto"/>
              </w:rPr>
            </w:pPr>
          </w:p>
        </w:tc>
        <w:tc>
          <w:tcPr>
            <w:tcW w:w="80" w:type="dxa"/>
            <w:vAlign w:val="bottom"/>
            <w:shd w:val="clear" w:color="auto" w:fill="1C2790"/>
          </w:tcPr>
          <w:p>
            <w:pPr>
              <w:spacing w:after="0" w:line="20" w:lineRule="exact"/>
              <w:rPr>
                <w:sz w:val="1"/>
                <w:szCs w:val="1"/>
                <w:color w:val="auto"/>
              </w:rPr>
            </w:pPr>
          </w:p>
        </w:tc>
        <w:tc>
          <w:tcPr>
            <w:tcW w:w="20" w:type="dxa"/>
            <w:vAlign w:val="bottom"/>
            <w:shd w:val="clear" w:color="auto" w:fill="1C2790"/>
          </w:tcPr>
          <w:p>
            <w:pPr>
              <w:spacing w:after="0" w:line="20" w:lineRule="exact"/>
              <w:rPr>
                <w:sz w:val="1"/>
                <w:szCs w:val="1"/>
                <w:color w:val="auto"/>
              </w:rPr>
            </w:pPr>
          </w:p>
        </w:tc>
        <w:tc>
          <w:tcPr>
            <w:tcW w:w="80" w:type="dxa"/>
            <w:vAlign w:val="bottom"/>
            <w:tcBorders>
              <w:right w:val="single" w:sz="8" w:color="1C2790"/>
            </w:tcBorders>
            <w:shd w:val="clear" w:color="auto" w:fill="1C2790"/>
          </w:tcPr>
          <w:p>
            <w:pPr>
              <w:spacing w:after="0" w:line="20" w:lineRule="exact"/>
              <w:rPr>
                <w:sz w:val="1"/>
                <w:szCs w:val="1"/>
                <w:color w:val="auto"/>
              </w:rPr>
            </w:pPr>
          </w:p>
        </w:tc>
        <w:tc>
          <w:tcPr>
            <w:tcW w:w="20" w:type="dxa"/>
            <w:vAlign w:val="bottom"/>
            <w:shd w:val="clear" w:color="auto" w:fill="1C2790"/>
          </w:tcPr>
          <w:p>
            <w:pPr>
              <w:spacing w:after="0" w:line="20" w:lineRule="exact"/>
              <w:rPr>
                <w:sz w:val="1"/>
                <w:szCs w:val="1"/>
                <w:color w:val="auto"/>
              </w:rPr>
            </w:pPr>
          </w:p>
        </w:tc>
        <w:tc>
          <w:tcPr>
            <w:tcW w:w="40" w:type="dxa"/>
            <w:vAlign w:val="bottom"/>
            <w:shd w:val="clear" w:color="auto" w:fill="1C2790"/>
          </w:tcPr>
          <w:p>
            <w:pPr>
              <w:spacing w:after="0" w:line="20" w:lineRule="exact"/>
              <w:rPr>
                <w:sz w:val="1"/>
                <w:szCs w:val="1"/>
                <w:color w:val="auto"/>
              </w:rPr>
            </w:pPr>
          </w:p>
        </w:tc>
        <w:tc>
          <w:tcPr>
            <w:tcW w:w="140" w:type="dxa"/>
            <w:vAlign w:val="bottom"/>
            <w:shd w:val="clear" w:color="auto" w:fill="1C2790"/>
          </w:tcPr>
          <w:p>
            <w:pPr>
              <w:spacing w:after="0" w:line="20" w:lineRule="exact"/>
              <w:rPr>
                <w:sz w:val="1"/>
                <w:szCs w:val="1"/>
                <w:color w:val="auto"/>
              </w:rPr>
            </w:pPr>
          </w:p>
        </w:tc>
        <w:tc>
          <w:tcPr>
            <w:tcW w:w="20" w:type="dxa"/>
            <w:vAlign w:val="bottom"/>
            <w:shd w:val="clear" w:color="auto" w:fill="1C2790"/>
          </w:tcPr>
          <w:p>
            <w:pPr>
              <w:spacing w:after="0" w:line="20" w:lineRule="exact"/>
              <w:rPr>
                <w:sz w:val="1"/>
                <w:szCs w:val="1"/>
                <w:color w:val="auto"/>
              </w:rPr>
            </w:pPr>
          </w:p>
        </w:tc>
        <w:tc>
          <w:tcPr>
            <w:tcW w:w="40" w:type="dxa"/>
            <w:vAlign w:val="bottom"/>
            <w:shd w:val="clear" w:color="auto" w:fill="1C2790"/>
          </w:tcPr>
          <w:p>
            <w:pPr>
              <w:spacing w:after="0" w:line="20" w:lineRule="exact"/>
              <w:rPr>
                <w:sz w:val="1"/>
                <w:szCs w:val="1"/>
                <w:color w:val="auto"/>
              </w:rPr>
            </w:pPr>
          </w:p>
        </w:tc>
        <w:tc>
          <w:tcPr>
            <w:tcW w:w="40" w:type="dxa"/>
            <w:vAlign w:val="bottom"/>
            <w:shd w:val="clear" w:color="auto" w:fill="1C2790"/>
          </w:tcPr>
          <w:p>
            <w:pPr>
              <w:spacing w:after="0" w:line="20" w:lineRule="exact"/>
              <w:rPr>
                <w:sz w:val="1"/>
                <w:szCs w:val="1"/>
                <w:color w:val="auto"/>
              </w:rPr>
            </w:pPr>
          </w:p>
        </w:tc>
        <w:tc>
          <w:tcPr>
            <w:tcW w:w="20" w:type="dxa"/>
            <w:vAlign w:val="bottom"/>
            <w:shd w:val="clear" w:color="auto" w:fill="1C2790"/>
          </w:tcPr>
          <w:p>
            <w:pPr>
              <w:spacing w:after="0" w:line="20" w:lineRule="exact"/>
              <w:rPr>
                <w:sz w:val="1"/>
                <w:szCs w:val="1"/>
                <w:color w:val="auto"/>
              </w:rPr>
            </w:pPr>
          </w:p>
        </w:tc>
        <w:tc>
          <w:tcPr>
            <w:tcW w:w="20" w:type="dxa"/>
            <w:vAlign w:val="bottom"/>
            <w:shd w:val="clear" w:color="auto" w:fill="1C2790"/>
          </w:tcPr>
          <w:p>
            <w:pPr>
              <w:spacing w:after="0" w:line="20" w:lineRule="exact"/>
              <w:rPr>
                <w:sz w:val="1"/>
                <w:szCs w:val="1"/>
                <w:color w:val="auto"/>
              </w:rPr>
            </w:pPr>
          </w:p>
        </w:tc>
        <w:tc>
          <w:tcPr>
            <w:tcW w:w="40" w:type="dxa"/>
            <w:vAlign w:val="bottom"/>
            <w:tcBorders>
              <w:right w:val="single" w:sz="8" w:color="1C2790"/>
            </w:tcBorders>
            <w:shd w:val="clear" w:color="auto" w:fill="1C279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ind w:left="1100" w:right="240"/>
        <w:spacing w:after="0" w:line="245" w:lineRule="auto"/>
        <w:rPr>
          <w:sz w:val="20"/>
          <w:szCs w:val="20"/>
          <w:color w:val="auto"/>
        </w:rPr>
      </w:pPr>
      <w:r>
        <w:rPr>
          <w:rFonts w:ascii="Times New Roman" w:cs="Times New Roman" w:eastAsia="Times New Roman" w:hAnsi="Times New Roman"/>
          <w:sz w:val="20"/>
          <w:szCs w:val="20"/>
          <w:u w:val="single" w:color="auto"/>
          <w:color w:val="1C2790"/>
        </w:rPr>
        <w:t>Ltd., Field 16, LLC, House &amp; Garden, Inc., Humboldt Wholesale, Inc., Aurora Innovations, LLC, House &amp; Garden Holdings, LLC, Gotham Properties LLC, Aurora International, LLC, Allied Imports &amp; Logistics, Inc., Aurora Peat Products ULC, Greenstar Plant Products Inc., the lenders party thereto and JPMorgan Chase Bank,</w:t>
      </w:r>
    </w:p>
    <w:p>
      <w:pPr>
        <w:sectPr>
          <w:pgSz w:w="12240" w:h="15840" w:orient="portrait"/>
          <w:cols w:equalWidth="0" w:num="1">
            <w:col w:w="10260"/>
          </w:cols>
          <w:pgMar w:left="940" w:top="430" w:right="1040" w:bottom="0" w:gutter="0" w:footer="0" w:header="0"/>
        </w:sectPr>
      </w:pPr>
    </w:p>
    <w:p>
      <w:pPr>
        <w:spacing w:after="0" w:line="200" w:lineRule="exact"/>
        <w:rPr>
          <w:sz w:val="20"/>
          <w:szCs w:val="20"/>
          <w:color w:val="auto"/>
        </w:rPr>
      </w:pPr>
    </w:p>
    <w:p>
      <w:pPr>
        <w:spacing w:after="0" w:line="296"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20"/>
          <w:szCs w:val="20"/>
          <w:color w:val="auto"/>
        </w:rPr>
        <w:t>96</w:t>
      </w:r>
    </w:p>
    <w:p>
      <w:pPr>
        <w:sectPr>
          <w:pgSz w:w="12240" w:h="15840" w:orient="portrait"/>
          <w:cols w:equalWidth="0" w:num="1">
            <w:col w:w="10260"/>
          </w:cols>
          <w:pgMar w:left="940" w:top="430" w:right="1040" w:bottom="0" w:gutter="0" w:footer="0" w:header="0"/>
          <w:type w:val="continuous"/>
        </w:sectPr>
      </w:pPr>
    </w:p>
    <w:bookmarkStart w:id="98" w:name="page99"/>
    <w:bookmarkEnd w:id="98"/>
    <w:p>
      <w:pPr>
        <w:ind w:left="60"/>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300" w:type="dxa"/>
            <w:vAlign w:val="bottom"/>
            <w:tcBorders>
              <w:bottom w:val="single" w:sz="8" w:color="auto"/>
            </w:tcBorders>
            <w:gridSpan w:val="45"/>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420"/>
        </w:trPr>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300" w:type="dxa"/>
            <w:vAlign w:val="bottom"/>
            <w:gridSpan w:val="45"/>
          </w:tcPr>
          <w:p>
            <w:pPr>
              <w:spacing w:after="0"/>
              <w:rPr>
                <w:sz w:val="20"/>
                <w:szCs w:val="20"/>
                <w:color w:val="auto"/>
              </w:rPr>
            </w:pPr>
            <w:r>
              <w:rPr>
                <w:rFonts w:ascii="Times New Roman" w:cs="Times New Roman" w:eastAsia="Times New Roman" w:hAnsi="Times New Roman"/>
                <w:sz w:val="20"/>
                <w:szCs w:val="20"/>
                <w:color w:val="1C2790"/>
              </w:rPr>
              <w:t>N.A. (incorporated by reference to Exhibit 10.1 of the Company’s Current Report on Form 8-K (File No. 001-</w:t>
            </w:r>
          </w:p>
        </w:tc>
      </w:tr>
      <w:tr>
        <w:trPr>
          <w:trHeight w:val="203"/>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40" w:type="dxa"/>
            <w:vAlign w:val="bottom"/>
            <w:tcBorders>
              <w:top w:val="single" w:sz="8" w:color="1C2790"/>
            </w:tcBorders>
            <w:gridSpan w:val="22"/>
          </w:tcPr>
          <w:p>
            <w:pPr>
              <w:spacing w:after="0" w:line="204" w:lineRule="exact"/>
              <w:rPr>
                <w:sz w:val="20"/>
                <w:szCs w:val="20"/>
                <w:color w:val="auto"/>
              </w:rPr>
            </w:pPr>
            <w:r>
              <w:rPr>
                <w:rFonts w:ascii="Times New Roman" w:cs="Times New Roman" w:eastAsia="Times New Roman" w:hAnsi="Times New Roman"/>
                <w:sz w:val="20"/>
                <w:szCs w:val="20"/>
                <w:color w:val="1C2790"/>
              </w:rPr>
              <w:t>39773) filed with the SEC on September 7, 2021).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1C2790"/>
          </w:tcPr>
          <w:p>
            <w:pPr>
              <w:spacing w:after="0" w:line="20" w:lineRule="exact"/>
              <w:rPr>
                <w:sz w:val="1"/>
                <w:szCs w:val="1"/>
                <w:color w:val="auto"/>
              </w:rPr>
            </w:pPr>
          </w:p>
        </w:tc>
        <w:tc>
          <w:tcPr>
            <w:tcW w:w="1860" w:type="dxa"/>
            <w:vAlign w:val="bottom"/>
            <w:shd w:val="clear" w:color="auto" w:fill="1C2790"/>
          </w:tcPr>
          <w:p>
            <w:pPr>
              <w:spacing w:after="0" w:line="20" w:lineRule="exact"/>
              <w:rPr>
                <w:sz w:val="1"/>
                <w:szCs w:val="1"/>
                <w:color w:val="auto"/>
              </w:rPr>
            </w:pPr>
          </w:p>
        </w:tc>
        <w:tc>
          <w:tcPr>
            <w:tcW w:w="1580" w:type="dxa"/>
            <w:vAlign w:val="bottom"/>
            <w:shd w:val="clear" w:color="auto" w:fill="1C2790"/>
          </w:tcPr>
          <w:p>
            <w:pPr>
              <w:spacing w:after="0" w:line="20" w:lineRule="exact"/>
              <w:rPr>
                <w:sz w:val="1"/>
                <w:szCs w:val="1"/>
                <w:color w:val="auto"/>
              </w:rPr>
            </w:pPr>
          </w:p>
        </w:tc>
        <w:tc>
          <w:tcPr>
            <w:tcW w:w="100" w:type="dxa"/>
            <w:vAlign w:val="bottom"/>
            <w:tcBorders>
              <w:left w:val="single" w:sz="8" w:color="1C2790"/>
            </w:tcBorders>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8"/>
        </w:trPr>
        <w:tc>
          <w:tcPr>
            <w:tcW w:w="8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10.3+</w:t>
            </w: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300" w:type="dxa"/>
            <w:vAlign w:val="bottom"/>
            <w:gridSpan w:val="45"/>
          </w:tcPr>
          <w:p>
            <w:pPr>
              <w:spacing w:after="0"/>
              <w:rPr>
                <w:sz w:val="20"/>
                <w:szCs w:val="20"/>
                <w:color w:val="auto"/>
              </w:rPr>
            </w:pPr>
            <w:r>
              <w:rPr>
                <w:rFonts w:ascii="Times New Roman" w:cs="Times New Roman" w:eastAsia="Times New Roman" w:hAnsi="Times New Roman"/>
                <w:sz w:val="20"/>
                <w:szCs w:val="20"/>
                <w:color w:val="1C2790"/>
              </w:rPr>
              <w:t>Second Amendment to Credit Agreement, dated as of October 25, 2021, by and among Hydrofarm Holdings</w:t>
            </w:r>
          </w:p>
        </w:tc>
      </w:tr>
      <w:tr>
        <w:trPr>
          <w:trHeight w:val="204"/>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80" w:type="dxa"/>
            <w:vAlign w:val="bottom"/>
            <w:tcBorders>
              <w:top w:val="single" w:sz="8" w:color="1C2790"/>
            </w:tcBorders>
            <w:gridSpan w:val="14"/>
          </w:tcPr>
          <w:p>
            <w:pPr>
              <w:spacing w:after="0" w:line="205" w:lineRule="exact"/>
              <w:rPr>
                <w:sz w:val="20"/>
                <w:szCs w:val="20"/>
                <w:color w:val="auto"/>
              </w:rPr>
            </w:pPr>
            <w:r>
              <w:rPr>
                <w:rFonts w:ascii="Times New Roman" w:cs="Times New Roman" w:eastAsia="Times New Roman" w:hAnsi="Times New Roman"/>
                <w:sz w:val="20"/>
                <w:szCs w:val="20"/>
                <w:color w:val="1C2790"/>
              </w:rPr>
              <w:t>Group, Inc., Hydrofarm, LLC, Field 16, LLC, House &amp; Garden, Inc., Humboldt Wholesale, Inc., Aurora</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1C2790"/>
          </w:tcPr>
          <w:p>
            <w:pPr>
              <w:spacing w:after="0" w:line="20" w:lineRule="exact"/>
              <w:rPr>
                <w:sz w:val="1"/>
                <w:szCs w:val="1"/>
                <w:color w:val="auto"/>
              </w:rPr>
            </w:pPr>
          </w:p>
        </w:tc>
        <w:tc>
          <w:tcPr>
            <w:tcW w:w="1860" w:type="dxa"/>
            <w:vAlign w:val="bottom"/>
            <w:shd w:val="clear" w:color="auto" w:fill="1C2790"/>
          </w:tcPr>
          <w:p>
            <w:pPr>
              <w:spacing w:after="0" w:line="20" w:lineRule="exact"/>
              <w:rPr>
                <w:sz w:val="1"/>
                <w:szCs w:val="1"/>
                <w:color w:val="auto"/>
              </w:rPr>
            </w:pPr>
          </w:p>
        </w:tc>
        <w:tc>
          <w:tcPr>
            <w:tcW w:w="1580" w:type="dxa"/>
            <w:vAlign w:val="bottom"/>
            <w:shd w:val="clear" w:color="auto" w:fill="1C2790"/>
          </w:tcPr>
          <w:p>
            <w:pPr>
              <w:spacing w:after="0" w:line="20" w:lineRule="exact"/>
              <w:rPr>
                <w:sz w:val="1"/>
                <w:szCs w:val="1"/>
                <w:color w:val="auto"/>
              </w:rPr>
            </w:pPr>
          </w:p>
        </w:tc>
        <w:tc>
          <w:tcPr>
            <w:tcW w:w="100" w:type="dxa"/>
            <w:vAlign w:val="bottom"/>
            <w:tcBorders>
              <w:left w:val="single" w:sz="8" w:color="1C2790"/>
            </w:tcBorders>
            <w:shd w:val="clear" w:color="auto" w:fill="1C2790"/>
          </w:tcPr>
          <w:p>
            <w:pPr>
              <w:spacing w:after="0" w:line="20" w:lineRule="exact"/>
              <w:rPr>
                <w:sz w:val="1"/>
                <w:szCs w:val="1"/>
                <w:color w:val="auto"/>
              </w:rPr>
            </w:pPr>
          </w:p>
        </w:tc>
        <w:tc>
          <w:tcPr>
            <w:tcW w:w="4160" w:type="dxa"/>
            <w:vAlign w:val="bottom"/>
            <w:shd w:val="clear" w:color="auto" w:fill="1C2790"/>
          </w:tcPr>
          <w:p>
            <w:pPr>
              <w:spacing w:after="0" w:line="20" w:lineRule="exact"/>
              <w:rPr>
                <w:sz w:val="1"/>
                <w:szCs w:val="1"/>
                <w:color w:val="auto"/>
              </w:rPr>
            </w:pPr>
          </w:p>
        </w:tc>
        <w:tc>
          <w:tcPr>
            <w:tcW w:w="120" w:type="dxa"/>
            <w:vAlign w:val="bottom"/>
            <w:tcBorders>
              <w:right w:val="single" w:sz="8" w:color="1C2790"/>
            </w:tcBorders>
            <w:shd w:val="clear" w:color="auto" w:fill="1C279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300" w:type="dxa"/>
            <w:vAlign w:val="bottom"/>
            <w:gridSpan w:val="45"/>
          </w:tcPr>
          <w:p>
            <w:pPr>
              <w:spacing w:after="0" w:line="204" w:lineRule="exact"/>
              <w:rPr>
                <w:sz w:val="20"/>
                <w:szCs w:val="20"/>
                <w:color w:val="auto"/>
              </w:rPr>
            </w:pPr>
            <w:r>
              <w:rPr>
                <w:rFonts w:ascii="Times New Roman" w:cs="Times New Roman" w:eastAsia="Times New Roman" w:hAnsi="Times New Roman"/>
                <w:sz w:val="20"/>
                <w:szCs w:val="20"/>
                <w:color w:val="1C2790"/>
              </w:rPr>
              <w:t>Innovations, LLC, Hydrofarm Investment Corp., Hydrofarm Holdings LLC, EHH Holdings LLC, Sunblaster</w:t>
            </w:r>
          </w:p>
        </w:tc>
      </w:tr>
      <w:tr>
        <w:trPr>
          <w:trHeight w:val="204"/>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720" w:type="dxa"/>
            <w:vAlign w:val="bottom"/>
            <w:tcBorders>
              <w:top w:val="single" w:sz="8" w:color="1C2790"/>
              <w:bottom w:val="single" w:sz="8" w:color="1C2790"/>
            </w:tcBorders>
            <w:gridSpan w:val="16"/>
          </w:tcPr>
          <w:p>
            <w:pPr>
              <w:spacing w:after="0" w:line="205" w:lineRule="exact"/>
              <w:rPr>
                <w:sz w:val="20"/>
                <w:szCs w:val="20"/>
                <w:color w:val="auto"/>
              </w:rPr>
            </w:pPr>
            <w:r>
              <w:rPr>
                <w:rFonts w:ascii="Times New Roman" w:cs="Times New Roman" w:eastAsia="Times New Roman" w:hAnsi="Times New Roman"/>
                <w:sz w:val="20"/>
                <w:szCs w:val="20"/>
                <w:color w:val="1C2790"/>
                <w:w w:val="99"/>
              </w:rPr>
              <w:t>LLC, Hydrofarm Canada, LLC, Sunblaster Holdings ULC, Eddi’s Wholesale Garden Supplies Ltd., House &amp;</w:t>
            </w:r>
          </w:p>
        </w:tc>
        <w:tc>
          <w:tcPr>
            <w:tcW w:w="20" w:type="dxa"/>
            <w:vAlign w:val="bottom"/>
            <w:tcBorders>
              <w:bottom w:val="single" w:sz="8" w:color="1C2790"/>
            </w:tcBorders>
          </w:tcPr>
          <w:p>
            <w:pPr>
              <w:spacing w:after="0"/>
              <w:rPr>
                <w:sz w:val="17"/>
                <w:szCs w:val="17"/>
                <w:color w:val="auto"/>
              </w:rPr>
            </w:pPr>
          </w:p>
        </w:tc>
        <w:tc>
          <w:tcPr>
            <w:tcW w:w="20" w:type="dxa"/>
            <w:vAlign w:val="bottom"/>
            <w:tcBorders>
              <w:bottom w:val="single" w:sz="8" w:color="1C2790"/>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4"/>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760" w:type="dxa"/>
            <w:vAlign w:val="bottom"/>
            <w:tcBorders>
              <w:bottom w:val="single" w:sz="8" w:color="1C2790"/>
            </w:tcBorders>
            <w:gridSpan w:val="18"/>
          </w:tcPr>
          <w:p>
            <w:pPr>
              <w:spacing w:after="0" w:line="205" w:lineRule="exact"/>
              <w:rPr>
                <w:sz w:val="20"/>
                <w:szCs w:val="20"/>
                <w:color w:val="auto"/>
              </w:rPr>
            </w:pPr>
            <w:r>
              <w:rPr>
                <w:rFonts w:ascii="Times New Roman" w:cs="Times New Roman" w:eastAsia="Times New Roman" w:hAnsi="Times New Roman"/>
                <w:sz w:val="20"/>
                <w:szCs w:val="20"/>
                <w:color w:val="1C2790"/>
                <w:w w:val="99"/>
              </w:rPr>
              <w:t>Garden Holdings, LLC, Gotham Properties LLC, Aurora International, LLC, Allied Imports &amp; Logistics, Inc.,</w:t>
            </w:r>
          </w:p>
        </w:tc>
        <w:tc>
          <w:tcPr>
            <w:tcW w:w="20" w:type="dxa"/>
            <w:vAlign w:val="bottom"/>
            <w:tcBorders>
              <w:bottom w:val="single" w:sz="8" w:color="1C2790"/>
            </w:tcBorders>
          </w:tcPr>
          <w:p>
            <w:pPr>
              <w:spacing w:after="0"/>
              <w:rPr>
                <w:sz w:val="17"/>
                <w:szCs w:val="17"/>
                <w:color w:val="auto"/>
              </w:rPr>
            </w:pPr>
          </w:p>
        </w:tc>
        <w:tc>
          <w:tcPr>
            <w:tcW w:w="20" w:type="dxa"/>
            <w:vAlign w:val="bottom"/>
            <w:tcBorders>
              <w:bottom w:val="single" w:sz="8" w:color="1C2790"/>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4"/>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0" w:type="dxa"/>
            <w:vAlign w:val="bottom"/>
            <w:tcBorders>
              <w:bottom w:val="single" w:sz="8" w:color="1C2790"/>
            </w:tcBorders>
            <w:gridSpan w:val="20"/>
          </w:tcPr>
          <w:p>
            <w:pPr>
              <w:spacing w:after="0" w:line="205" w:lineRule="exact"/>
              <w:rPr>
                <w:sz w:val="20"/>
                <w:szCs w:val="20"/>
                <w:color w:val="auto"/>
              </w:rPr>
            </w:pPr>
            <w:r>
              <w:rPr>
                <w:rFonts w:ascii="Times New Roman" w:cs="Times New Roman" w:eastAsia="Times New Roman" w:hAnsi="Times New Roman"/>
                <w:sz w:val="20"/>
                <w:szCs w:val="20"/>
                <w:color w:val="1C2790"/>
                <w:w w:val="98"/>
              </w:rPr>
              <w:t>Aurora Peat Products ULC, Greenstar Plant Products Inc., the lenders party thereto and JPMorgan Chase Bank,</w:t>
            </w:r>
          </w:p>
        </w:tc>
        <w:tc>
          <w:tcPr>
            <w:tcW w:w="20" w:type="dxa"/>
            <w:vAlign w:val="bottom"/>
            <w:tcBorders>
              <w:bottom w:val="single" w:sz="8" w:color="1C2790"/>
            </w:tcBorders>
          </w:tcPr>
          <w:p>
            <w:pPr>
              <w:spacing w:after="0"/>
              <w:rPr>
                <w:sz w:val="17"/>
                <w:szCs w:val="17"/>
                <w:color w:val="auto"/>
              </w:rPr>
            </w:pPr>
          </w:p>
        </w:tc>
        <w:tc>
          <w:tcPr>
            <w:tcW w:w="40" w:type="dxa"/>
            <w:vAlign w:val="bottom"/>
            <w:tcBorders>
              <w:bottom w:val="single" w:sz="8" w:color="1C2790"/>
            </w:tcBorders>
            <w:gridSpan w:val="2"/>
          </w:tcPr>
          <w:p>
            <w:pPr>
              <w:spacing w:after="0"/>
              <w:rPr>
                <w:sz w:val="17"/>
                <w:szCs w:val="17"/>
                <w:color w:val="auto"/>
              </w:rPr>
            </w:pPr>
          </w:p>
        </w:tc>
        <w:tc>
          <w:tcPr>
            <w:tcW w:w="20" w:type="dxa"/>
            <w:vAlign w:val="bottom"/>
            <w:tcBorders>
              <w:bottom w:val="single" w:sz="8" w:color="1C2790"/>
            </w:tcBorders>
          </w:tcPr>
          <w:p>
            <w:pPr>
              <w:spacing w:after="0"/>
              <w:rPr>
                <w:sz w:val="17"/>
                <w:szCs w:val="17"/>
                <w:color w:val="auto"/>
              </w:rPr>
            </w:pPr>
          </w:p>
        </w:tc>
        <w:tc>
          <w:tcPr>
            <w:tcW w:w="20" w:type="dxa"/>
            <w:vAlign w:val="bottom"/>
            <w:tcBorders>
              <w:bottom w:val="single" w:sz="8" w:color="1C2790"/>
            </w:tcBorders>
          </w:tcPr>
          <w:p>
            <w:pPr>
              <w:spacing w:after="0"/>
              <w:rPr>
                <w:sz w:val="17"/>
                <w:szCs w:val="17"/>
                <w:color w:val="auto"/>
              </w:rPr>
            </w:pPr>
          </w:p>
        </w:tc>
        <w:tc>
          <w:tcPr>
            <w:tcW w:w="20" w:type="dxa"/>
            <w:vAlign w:val="bottom"/>
            <w:tcBorders>
              <w:bottom w:val="single" w:sz="8" w:color="1C2790"/>
            </w:tcBorders>
          </w:tcPr>
          <w:p>
            <w:pPr>
              <w:spacing w:after="0"/>
              <w:rPr>
                <w:sz w:val="17"/>
                <w:szCs w:val="17"/>
                <w:color w:val="auto"/>
              </w:rPr>
            </w:pPr>
          </w:p>
        </w:tc>
        <w:tc>
          <w:tcPr>
            <w:tcW w:w="20" w:type="dxa"/>
            <w:vAlign w:val="bottom"/>
            <w:tcBorders>
              <w:bottom w:val="single" w:sz="8" w:color="1C2790"/>
            </w:tcBorders>
          </w:tcPr>
          <w:p>
            <w:pPr>
              <w:spacing w:after="0"/>
              <w:rPr>
                <w:sz w:val="17"/>
                <w:szCs w:val="17"/>
                <w:color w:val="auto"/>
              </w:rPr>
            </w:pPr>
          </w:p>
        </w:tc>
        <w:tc>
          <w:tcPr>
            <w:tcW w:w="20" w:type="dxa"/>
            <w:vAlign w:val="bottom"/>
            <w:tcBorders>
              <w:bottom w:val="single" w:sz="8" w:color="1C2790"/>
            </w:tcBorders>
          </w:tcPr>
          <w:p>
            <w:pPr>
              <w:spacing w:after="0"/>
              <w:rPr>
                <w:sz w:val="17"/>
                <w:szCs w:val="17"/>
                <w:color w:val="auto"/>
              </w:rPr>
            </w:pPr>
          </w:p>
        </w:tc>
        <w:tc>
          <w:tcPr>
            <w:tcW w:w="20" w:type="dxa"/>
            <w:vAlign w:val="bottom"/>
            <w:tcBorders>
              <w:bottom w:val="single" w:sz="8" w:color="1C2790"/>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4"/>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300" w:type="dxa"/>
            <w:vAlign w:val="bottom"/>
            <w:gridSpan w:val="45"/>
          </w:tcPr>
          <w:p>
            <w:pPr>
              <w:spacing w:after="0" w:line="205" w:lineRule="exact"/>
              <w:rPr>
                <w:sz w:val="20"/>
                <w:szCs w:val="20"/>
                <w:color w:val="auto"/>
              </w:rPr>
            </w:pPr>
            <w:r>
              <w:rPr>
                <w:rFonts w:ascii="Times New Roman" w:cs="Times New Roman" w:eastAsia="Times New Roman" w:hAnsi="Times New Roman"/>
                <w:sz w:val="20"/>
                <w:szCs w:val="20"/>
                <w:color w:val="1C2790"/>
              </w:rPr>
              <w:t>N.A. (incorporated by reference to Exhibit 10.2 of the Company’s Quarterly Report on Form 10-Q filed with the</w:t>
            </w:r>
          </w:p>
        </w:tc>
      </w:tr>
      <w:tr>
        <w:trPr>
          <w:trHeight w:val="203"/>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380" w:type="dxa"/>
            <w:vAlign w:val="bottom"/>
            <w:tcBorders>
              <w:top w:val="single" w:sz="8" w:color="1C2790"/>
              <w:bottom w:val="single" w:sz="8" w:color="1C2790"/>
            </w:tcBorders>
            <w:gridSpan w:val="2"/>
          </w:tcPr>
          <w:p>
            <w:pPr>
              <w:spacing w:after="0" w:line="204" w:lineRule="exact"/>
              <w:rPr>
                <w:sz w:val="20"/>
                <w:szCs w:val="20"/>
                <w:color w:val="auto"/>
              </w:rPr>
            </w:pPr>
            <w:r>
              <w:rPr>
                <w:rFonts w:ascii="Times New Roman" w:cs="Times New Roman" w:eastAsia="Times New Roman" w:hAnsi="Times New Roman"/>
                <w:sz w:val="20"/>
                <w:szCs w:val="20"/>
                <w:color w:val="1C2790"/>
                <w:w w:val="99"/>
              </w:rPr>
              <w:t>SEC on November 15, 2021).</w:t>
            </w:r>
          </w:p>
        </w:tc>
        <w:tc>
          <w:tcPr>
            <w:tcW w:w="6740" w:type="dxa"/>
            <w:vAlign w:val="bottom"/>
            <w:tcBorders>
              <w:top w:val="single" w:sz="8" w:color="1C2790"/>
            </w:tcBorders>
            <w:gridSpan w:val="34"/>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68"/>
        </w:trPr>
        <w:tc>
          <w:tcPr>
            <w:tcW w:w="8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10.4</w:t>
            </w: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300" w:type="dxa"/>
            <w:vAlign w:val="bottom"/>
            <w:gridSpan w:val="45"/>
          </w:tcPr>
          <w:p>
            <w:pPr>
              <w:spacing w:after="0"/>
              <w:rPr>
                <w:sz w:val="20"/>
                <w:szCs w:val="20"/>
                <w:color w:val="auto"/>
              </w:rPr>
            </w:pPr>
            <w:r>
              <w:rPr>
                <w:rFonts w:ascii="Times New Roman" w:cs="Times New Roman" w:eastAsia="Times New Roman" w:hAnsi="Times New Roman"/>
                <w:sz w:val="20"/>
                <w:szCs w:val="20"/>
                <w:color w:val="1C2790"/>
              </w:rPr>
              <w:t>Third Amendment and Joinder to Credit Agreement, dated as of August 23, 2022, by and among Hydrofarm</w:t>
            </w:r>
          </w:p>
        </w:tc>
      </w:tr>
      <w:tr>
        <w:trPr>
          <w:trHeight w:val="204"/>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60" w:type="dxa"/>
            <w:vAlign w:val="bottom"/>
            <w:tcBorders>
              <w:top w:val="single" w:sz="8" w:color="1C2790"/>
            </w:tcBorders>
            <w:gridSpan w:val="13"/>
          </w:tcPr>
          <w:p>
            <w:pPr>
              <w:spacing w:after="0" w:line="205" w:lineRule="exact"/>
              <w:rPr>
                <w:sz w:val="20"/>
                <w:szCs w:val="20"/>
                <w:color w:val="auto"/>
              </w:rPr>
            </w:pPr>
            <w:r>
              <w:rPr>
                <w:rFonts w:ascii="Times New Roman" w:cs="Times New Roman" w:eastAsia="Times New Roman" w:hAnsi="Times New Roman"/>
                <w:sz w:val="20"/>
                <w:szCs w:val="20"/>
                <w:color w:val="1C2790"/>
              </w:rPr>
              <w:t>Holdings Group, Inc., Hydrofarm, LLC, Field 16, LLC, Aurora Innovations, LLC, Innovative Growers</w:t>
            </w: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40" w:type="dxa"/>
            <w:vAlign w:val="bottom"/>
            <w:gridSpan w:val="2"/>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1C2790"/>
          </w:tcPr>
          <w:p>
            <w:pPr>
              <w:spacing w:after="0" w:line="20" w:lineRule="exact"/>
              <w:rPr>
                <w:sz w:val="1"/>
                <w:szCs w:val="1"/>
                <w:color w:val="auto"/>
              </w:rPr>
            </w:pPr>
          </w:p>
        </w:tc>
        <w:tc>
          <w:tcPr>
            <w:tcW w:w="3440" w:type="dxa"/>
            <w:vAlign w:val="bottom"/>
            <w:gridSpan w:val="2"/>
            <w:shd w:val="clear" w:color="auto" w:fill="1C2790"/>
          </w:tcPr>
          <w:p>
            <w:pPr>
              <w:spacing w:after="0" w:line="20" w:lineRule="exact"/>
              <w:rPr>
                <w:sz w:val="1"/>
                <w:szCs w:val="1"/>
                <w:color w:val="auto"/>
              </w:rPr>
            </w:pPr>
          </w:p>
        </w:tc>
        <w:tc>
          <w:tcPr>
            <w:tcW w:w="100" w:type="dxa"/>
            <w:vAlign w:val="bottom"/>
            <w:tcBorders>
              <w:left w:val="single" w:sz="8" w:color="1C2790"/>
            </w:tcBorders>
            <w:shd w:val="clear" w:color="auto" w:fill="1C2790"/>
          </w:tcPr>
          <w:p>
            <w:pPr>
              <w:spacing w:after="0" w:line="20" w:lineRule="exact"/>
              <w:rPr>
                <w:sz w:val="1"/>
                <w:szCs w:val="1"/>
                <w:color w:val="auto"/>
              </w:rPr>
            </w:pPr>
          </w:p>
        </w:tc>
        <w:tc>
          <w:tcPr>
            <w:tcW w:w="4160" w:type="dxa"/>
            <w:vAlign w:val="bottom"/>
            <w:shd w:val="clear" w:color="auto" w:fill="1C279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80" w:type="dxa"/>
            <w:vAlign w:val="bottom"/>
            <w:tcBorders>
              <w:bottom w:val="single" w:sz="8" w:color="1C2790"/>
            </w:tcBorders>
            <w:gridSpan w:val="8"/>
          </w:tcPr>
          <w:p>
            <w:pPr>
              <w:spacing w:after="0" w:line="204" w:lineRule="exact"/>
              <w:rPr>
                <w:sz w:val="20"/>
                <w:szCs w:val="20"/>
                <w:color w:val="auto"/>
              </w:rPr>
            </w:pPr>
            <w:r>
              <w:rPr>
                <w:rFonts w:ascii="Times New Roman" w:cs="Times New Roman" w:eastAsia="Times New Roman" w:hAnsi="Times New Roman"/>
                <w:sz w:val="20"/>
                <w:szCs w:val="20"/>
                <w:color w:val="1C2790"/>
                <w:w w:val="99"/>
              </w:rPr>
              <w:t>Equipment, Inc., Manufacturing &amp; Supply Chain Services, Inc., Hydrofarm Investment Corp., Hydrofarm</w:t>
            </w:r>
          </w:p>
        </w:tc>
        <w:tc>
          <w:tcPr>
            <w:tcW w:w="820" w:type="dxa"/>
            <w:vAlign w:val="bottom"/>
            <w:gridSpan w:val="37"/>
          </w:tcPr>
          <w:p>
            <w:pPr>
              <w:spacing w:after="0"/>
              <w:rPr>
                <w:sz w:val="17"/>
                <w:szCs w:val="17"/>
                <w:color w:val="auto"/>
              </w:rPr>
            </w:pPr>
          </w:p>
        </w:tc>
      </w:tr>
      <w:tr>
        <w:trPr>
          <w:trHeight w:val="204"/>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300" w:type="dxa"/>
            <w:vAlign w:val="bottom"/>
            <w:gridSpan w:val="45"/>
          </w:tcPr>
          <w:p>
            <w:pPr>
              <w:spacing w:after="0" w:line="205" w:lineRule="exact"/>
              <w:rPr>
                <w:sz w:val="20"/>
                <w:szCs w:val="20"/>
                <w:color w:val="auto"/>
              </w:rPr>
            </w:pPr>
            <w:r>
              <w:rPr>
                <w:rFonts w:ascii="Times New Roman" w:cs="Times New Roman" w:eastAsia="Times New Roman" w:hAnsi="Times New Roman"/>
                <w:sz w:val="20"/>
                <w:szCs w:val="20"/>
                <w:color w:val="1C2790"/>
              </w:rPr>
              <w:t>Holdings LLC, EHH Holdings LLC, Sunblaster LLC, Hydrofarm Canada, LLC, Sunblaster Holdings ULC,</w:t>
            </w:r>
          </w:p>
        </w:tc>
      </w:tr>
      <w:tr>
        <w:trPr>
          <w:trHeight w:val="204"/>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0" w:type="dxa"/>
            <w:vAlign w:val="bottom"/>
            <w:tcBorders>
              <w:top w:val="single" w:sz="8" w:color="1C2790"/>
            </w:tcBorders>
            <w:gridSpan w:val="10"/>
          </w:tcPr>
          <w:p>
            <w:pPr>
              <w:spacing w:after="0" w:line="205" w:lineRule="exact"/>
              <w:rPr>
                <w:sz w:val="20"/>
                <w:szCs w:val="20"/>
                <w:color w:val="auto"/>
              </w:rPr>
            </w:pPr>
            <w:r>
              <w:rPr>
                <w:rFonts w:ascii="Times New Roman" w:cs="Times New Roman" w:eastAsia="Times New Roman" w:hAnsi="Times New Roman"/>
                <w:sz w:val="20"/>
                <w:szCs w:val="20"/>
                <w:color w:val="1C2790"/>
                <w:w w:val="99"/>
              </w:rPr>
              <w:t>Eddi’s Wholesale Garden Supplies Ltd., House &amp; Garden Holdings, LLC, Gotham Properties LLC, Aurora</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40" w:type="dxa"/>
            <w:vAlign w:val="bottom"/>
            <w:gridSpan w:val="2"/>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4"/>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560" w:type="dxa"/>
            <w:vAlign w:val="bottom"/>
            <w:tcBorders>
              <w:top w:val="single" w:sz="8" w:color="1C2790"/>
            </w:tcBorders>
            <w:gridSpan w:val="9"/>
          </w:tcPr>
          <w:p>
            <w:pPr>
              <w:spacing w:after="0" w:line="205" w:lineRule="exact"/>
              <w:rPr>
                <w:sz w:val="20"/>
                <w:szCs w:val="20"/>
                <w:color w:val="auto"/>
              </w:rPr>
            </w:pPr>
            <w:r>
              <w:rPr>
                <w:rFonts w:ascii="Times New Roman" w:cs="Times New Roman" w:eastAsia="Times New Roman" w:hAnsi="Times New Roman"/>
                <w:sz w:val="20"/>
                <w:szCs w:val="20"/>
                <w:color w:val="1C2790"/>
              </w:rPr>
              <w:t>International, LLC, Aurora Peat Products ULC, Greenstar Plant Products Inc., Innovative AG Installation,</w:t>
            </w:r>
          </w:p>
        </w:tc>
        <w:tc>
          <w:tcPr>
            <w:tcW w:w="740" w:type="dxa"/>
            <w:vAlign w:val="bottom"/>
            <w:gridSpan w:val="36"/>
          </w:tcPr>
          <w:p>
            <w:pPr>
              <w:jc w:val="center"/>
              <w:ind w:right="420"/>
              <w:spacing w:after="0" w:line="205" w:lineRule="exact"/>
              <w:rPr>
                <w:sz w:val="20"/>
                <w:szCs w:val="20"/>
                <w:color w:val="auto"/>
              </w:rPr>
            </w:pPr>
            <w:r>
              <w:rPr>
                <w:rFonts w:ascii="Times New Roman" w:cs="Times New Roman" w:eastAsia="Times New Roman" w:hAnsi="Times New Roman"/>
                <w:sz w:val="20"/>
                <w:szCs w:val="20"/>
                <w:color w:val="1C2790"/>
                <w:w w:val="89"/>
              </w:rPr>
              <w:t>Inc.,</w:t>
            </w:r>
          </w:p>
        </w:tc>
      </w:tr>
      <w:tr>
        <w:trPr>
          <w:trHeight w:val="204"/>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900" w:type="dxa"/>
            <w:vAlign w:val="bottom"/>
            <w:tcBorders>
              <w:top w:val="single" w:sz="8" w:color="1C2790"/>
              <w:bottom w:val="single" w:sz="8" w:color="1C2790"/>
            </w:tcBorders>
            <w:gridSpan w:val="25"/>
          </w:tcPr>
          <w:p>
            <w:pPr>
              <w:spacing w:after="0" w:line="205" w:lineRule="exact"/>
              <w:rPr>
                <w:sz w:val="20"/>
                <w:szCs w:val="20"/>
                <w:color w:val="auto"/>
              </w:rPr>
            </w:pPr>
            <w:r>
              <w:rPr>
                <w:rFonts w:ascii="Times New Roman" w:cs="Times New Roman" w:eastAsia="Times New Roman" w:hAnsi="Times New Roman"/>
                <w:sz w:val="20"/>
                <w:szCs w:val="20"/>
                <w:color w:val="1C2790"/>
                <w:w w:val="99"/>
              </w:rPr>
              <w:t>Innovative Racking Systems, Inc., Innovative Shipping Solutions, Inc., Innovative Growers Equipment Canada,</w:t>
            </w:r>
          </w:p>
        </w:tc>
        <w:tc>
          <w:tcPr>
            <w:tcW w:w="20" w:type="dxa"/>
            <w:vAlign w:val="bottom"/>
            <w:tcBorders>
              <w:bottom w:val="single" w:sz="8" w:color="1C2790"/>
            </w:tcBorders>
          </w:tcPr>
          <w:p>
            <w:pPr>
              <w:spacing w:after="0"/>
              <w:rPr>
                <w:sz w:val="17"/>
                <w:szCs w:val="17"/>
                <w:color w:val="auto"/>
              </w:rPr>
            </w:pPr>
          </w:p>
        </w:tc>
        <w:tc>
          <w:tcPr>
            <w:tcW w:w="20" w:type="dxa"/>
            <w:vAlign w:val="bottom"/>
            <w:tcBorders>
              <w:bottom w:val="single" w:sz="8" w:color="1C2790"/>
            </w:tcBorders>
          </w:tcPr>
          <w:p>
            <w:pPr>
              <w:spacing w:after="0"/>
              <w:rPr>
                <w:sz w:val="17"/>
                <w:szCs w:val="17"/>
                <w:color w:val="auto"/>
              </w:rPr>
            </w:pPr>
          </w:p>
        </w:tc>
        <w:tc>
          <w:tcPr>
            <w:tcW w:w="20" w:type="dxa"/>
            <w:vAlign w:val="bottom"/>
            <w:tcBorders>
              <w:bottom w:val="single" w:sz="8" w:color="1C2790"/>
            </w:tcBorders>
          </w:tcPr>
          <w:p>
            <w:pPr>
              <w:spacing w:after="0"/>
              <w:rPr>
                <w:sz w:val="17"/>
                <w:szCs w:val="17"/>
                <w:color w:val="auto"/>
              </w:rPr>
            </w:pPr>
          </w:p>
        </w:tc>
        <w:tc>
          <w:tcPr>
            <w:tcW w:w="20" w:type="dxa"/>
            <w:vAlign w:val="bottom"/>
            <w:tcBorders>
              <w:bottom w:val="single" w:sz="8" w:color="1C2790"/>
            </w:tcBorders>
          </w:tcPr>
          <w:p>
            <w:pPr>
              <w:spacing w:after="0"/>
              <w:rPr>
                <w:sz w:val="17"/>
                <w:szCs w:val="17"/>
                <w:color w:val="auto"/>
              </w:rPr>
            </w:pPr>
          </w:p>
        </w:tc>
        <w:tc>
          <w:tcPr>
            <w:tcW w:w="20" w:type="dxa"/>
            <w:vAlign w:val="bottom"/>
            <w:tcBorders>
              <w:bottom w:val="single" w:sz="8" w:color="1C2790"/>
            </w:tcBorders>
          </w:tcPr>
          <w:p>
            <w:pPr>
              <w:spacing w:after="0"/>
              <w:rPr>
                <w:sz w:val="17"/>
                <w:szCs w:val="17"/>
                <w:color w:val="auto"/>
              </w:rPr>
            </w:pPr>
          </w:p>
        </w:tc>
        <w:tc>
          <w:tcPr>
            <w:tcW w:w="20" w:type="dxa"/>
            <w:vAlign w:val="bottom"/>
            <w:tcBorders>
              <w:bottom w:val="single" w:sz="8" w:color="1C2790"/>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20" w:type="dxa"/>
            <w:vAlign w:val="bottom"/>
            <w:tcBorders>
              <w:bottom w:val="single" w:sz="8" w:color="1C2790"/>
            </w:tcBorders>
            <w:gridSpan w:val="31"/>
          </w:tcPr>
          <w:p>
            <w:pPr>
              <w:spacing w:after="0" w:line="204" w:lineRule="exact"/>
              <w:rPr>
                <w:sz w:val="20"/>
                <w:szCs w:val="20"/>
                <w:color w:val="auto"/>
              </w:rPr>
            </w:pPr>
            <w:r>
              <w:rPr>
                <w:rFonts w:ascii="Times New Roman" w:cs="Times New Roman" w:eastAsia="Times New Roman" w:hAnsi="Times New Roman"/>
                <w:sz w:val="20"/>
                <w:szCs w:val="20"/>
                <w:color w:val="1C2790"/>
              </w:rPr>
              <w:t>Inc., the lenders party thereto and JPMorgan Chase Bank, N.A. (incorporated by reference to Exhibit 10.1 of the</w:t>
            </w:r>
          </w:p>
        </w:tc>
        <w:tc>
          <w:tcPr>
            <w:tcW w:w="20" w:type="dxa"/>
            <w:vAlign w:val="bottom"/>
            <w:tcBorders>
              <w:bottom w:val="single" w:sz="8" w:color="1C2790"/>
            </w:tcBorders>
          </w:tcPr>
          <w:p>
            <w:pPr>
              <w:spacing w:after="0"/>
              <w:rPr>
                <w:sz w:val="17"/>
                <w:szCs w:val="17"/>
                <w:color w:val="auto"/>
              </w:rPr>
            </w:pPr>
          </w:p>
        </w:tc>
        <w:tc>
          <w:tcPr>
            <w:tcW w:w="20" w:type="dxa"/>
            <w:vAlign w:val="bottom"/>
            <w:tcBorders>
              <w:bottom w:val="single" w:sz="8" w:color="1C2790"/>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4"/>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80" w:type="dxa"/>
            <w:vAlign w:val="bottom"/>
            <w:tcBorders>
              <w:bottom w:val="single" w:sz="8" w:color="1C2790"/>
            </w:tcBorders>
            <w:gridSpan w:val="24"/>
          </w:tcPr>
          <w:p>
            <w:pPr>
              <w:spacing w:after="0" w:line="205" w:lineRule="exact"/>
              <w:rPr>
                <w:sz w:val="20"/>
                <w:szCs w:val="20"/>
                <w:color w:val="auto"/>
              </w:rPr>
            </w:pPr>
            <w:r>
              <w:rPr>
                <w:rFonts w:ascii="Times New Roman" w:cs="Times New Roman" w:eastAsia="Times New Roman" w:hAnsi="Times New Roman"/>
                <w:sz w:val="20"/>
                <w:szCs w:val="20"/>
                <w:color w:val="1C2790"/>
                <w:w w:val="99"/>
              </w:rPr>
              <w:t>Company’s Quarterly Report on Form 10-Q (File No. 001-39773), filed with the SEC on November 09, 2022).</w:t>
            </w:r>
          </w:p>
        </w:tc>
        <w:tc>
          <w:tcPr>
            <w:tcW w:w="180" w:type="dxa"/>
            <w:vAlign w:val="bottom"/>
            <w:gridSpan w:val="9"/>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68"/>
        </w:trPr>
        <w:tc>
          <w:tcPr>
            <w:tcW w:w="8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10.5</w:t>
            </w: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740" w:type="dxa"/>
            <w:vAlign w:val="bottom"/>
            <w:tcBorders>
              <w:bottom w:val="single" w:sz="8" w:color="1C2790"/>
            </w:tcBorders>
            <w:gridSpan w:val="17"/>
          </w:tcPr>
          <w:p>
            <w:pPr>
              <w:spacing w:after="0"/>
              <w:rPr>
                <w:sz w:val="20"/>
                <w:szCs w:val="20"/>
                <w:color w:val="auto"/>
              </w:rPr>
            </w:pPr>
            <w:r>
              <w:rPr>
                <w:rFonts w:ascii="Times New Roman" w:cs="Times New Roman" w:eastAsia="Times New Roman" w:hAnsi="Times New Roman"/>
                <w:sz w:val="20"/>
                <w:szCs w:val="20"/>
                <w:color w:val="1C2790"/>
                <w:w w:val="99"/>
              </w:rPr>
              <w:t>Fourth Amendment to Credit Agreement and Limited Consent and Waiver, dated December 22, 2022, by and</w:t>
            </w:r>
          </w:p>
        </w:tc>
        <w:tc>
          <w:tcPr>
            <w:tcW w:w="560" w:type="dxa"/>
            <w:vAlign w:val="bottom"/>
            <w:gridSpan w:val="28"/>
          </w:tcPr>
          <w:p>
            <w:pPr>
              <w:spacing w:after="0"/>
              <w:rPr>
                <w:sz w:val="23"/>
                <w:szCs w:val="23"/>
                <w:color w:val="auto"/>
              </w:rPr>
            </w:pPr>
          </w:p>
        </w:tc>
      </w:tr>
      <w:tr>
        <w:trPr>
          <w:trHeight w:val="203"/>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300" w:type="dxa"/>
            <w:vAlign w:val="bottom"/>
            <w:gridSpan w:val="45"/>
          </w:tcPr>
          <w:p>
            <w:pPr>
              <w:spacing w:after="0" w:line="204" w:lineRule="exact"/>
              <w:rPr>
                <w:sz w:val="20"/>
                <w:szCs w:val="20"/>
                <w:color w:val="auto"/>
              </w:rPr>
            </w:pPr>
            <w:r>
              <w:rPr>
                <w:rFonts w:ascii="Times New Roman" w:cs="Times New Roman" w:eastAsia="Times New Roman" w:hAnsi="Times New Roman"/>
                <w:sz w:val="20"/>
                <w:szCs w:val="20"/>
                <w:color w:val="1C2790"/>
              </w:rPr>
              <w:t>among Hydrofarm Holdings Group, Inc., Hydrofarm, LLC, Field 16, LLC, Aurora Innovations, LLC, Innovative</w:t>
            </w:r>
          </w:p>
        </w:tc>
      </w:tr>
      <w:tr>
        <w:trPr>
          <w:trHeight w:val="204"/>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140" w:type="dxa"/>
            <w:vAlign w:val="bottom"/>
            <w:tcBorders>
              <w:top w:val="single" w:sz="8" w:color="1C2790"/>
            </w:tcBorders>
            <w:gridSpan w:val="37"/>
          </w:tcPr>
          <w:p>
            <w:pPr>
              <w:spacing w:after="0" w:line="205" w:lineRule="exact"/>
              <w:rPr>
                <w:sz w:val="20"/>
                <w:szCs w:val="20"/>
                <w:color w:val="auto"/>
              </w:rPr>
            </w:pPr>
            <w:r>
              <w:rPr>
                <w:rFonts w:ascii="Times New Roman" w:cs="Times New Roman" w:eastAsia="Times New Roman" w:hAnsi="Times New Roman"/>
                <w:sz w:val="20"/>
                <w:szCs w:val="20"/>
                <w:color w:val="1C2790"/>
              </w:rPr>
              <w:t>Growers Equipment, Inc., Manufacturing &amp; Supply Chain Services, Inc., Hydrofarm Investment Corp.,</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4"/>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340" w:type="dxa"/>
            <w:vAlign w:val="bottom"/>
            <w:tcBorders>
              <w:top w:val="single" w:sz="8" w:color="1C2790"/>
            </w:tcBorders>
            <w:gridSpan w:val="6"/>
          </w:tcPr>
          <w:p>
            <w:pPr>
              <w:spacing w:after="0" w:line="205" w:lineRule="exact"/>
              <w:rPr>
                <w:sz w:val="20"/>
                <w:szCs w:val="20"/>
                <w:color w:val="auto"/>
              </w:rPr>
            </w:pPr>
            <w:r>
              <w:rPr>
                <w:rFonts w:ascii="Times New Roman" w:cs="Times New Roman" w:eastAsia="Times New Roman" w:hAnsi="Times New Roman"/>
                <w:sz w:val="20"/>
                <w:szCs w:val="20"/>
                <w:color w:val="1C2790"/>
                <w:w w:val="99"/>
              </w:rPr>
              <w:t>Hydrofarm Holdings LLC, EHH Holdings, LLC, Sunblaster LLC, Hydrofarm Canada, LLC, Sunblaster</w:t>
            </w:r>
          </w:p>
        </w:tc>
        <w:tc>
          <w:tcPr>
            <w:tcW w:w="960" w:type="dxa"/>
            <w:vAlign w:val="bottom"/>
            <w:gridSpan w:val="39"/>
          </w:tcPr>
          <w:p>
            <w:pPr>
              <w:jc w:val="center"/>
              <w:ind w:right="200"/>
              <w:spacing w:after="0" w:line="205" w:lineRule="exact"/>
              <w:rPr>
                <w:sz w:val="20"/>
                <w:szCs w:val="20"/>
                <w:color w:val="auto"/>
              </w:rPr>
            </w:pPr>
            <w:r>
              <w:rPr>
                <w:rFonts w:ascii="Times New Roman" w:cs="Times New Roman" w:eastAsia="Times New Roman" w:hAnsi="Times New Roman"/>
                <w:sz w:val="20"/>
                <w:szCs w:val="20"/>
                <w:color w:val="1C2790"/>
                <w:w w:val="98"/>
              </w:rPr>
              <w:t>Holdings</w:t>
            </w:r>
          </w:p>
        </w:tc>
      </w:tr>
      <w:tr>
        <w:trPr>
          <w:trHeight w:val="204"/>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80" w:type="dxa"/>
            <w:vAlign w:val="bottom"/>
            <w:tcBorders>
              <w:top w:val="single" w:sz="8" w:color="1C2790"/>
            </w:tcBorders>
            <w:gridSpan w:val="44"/>
          </w:tcPr>
          <w:p>
            <w:pPr>
              <w:spacing w:after="0" w:line="205" w:lineRule="exact"/>
              <w:rPr>
                <w:sz w:val="20"/>
                <w:szCs w:val="20"/>
                <w:color w:val="auto"/>
              </w:rPr>
            </w:pPr>
            <w:r>
              <w:rPr>
                <w:rFonts w:ascii="Times New Roman" w:cs="Times New Roman" w:eastAsia="Times New Roman" w:hAnsi="Times New Roman"/>
                <w:sz w:val="20"/>
                <w:szCs w:val="20"/>
                <w:color w:val="1C2790"/>
              </w:rPr>
              <w:t>ULC, Eddi’s Wholesale Garden Supplies Ltd., House &amp; Garden Holdings, LLC, Gotham Properties LLC, Aurora</w:t>
            </w:r>
          </w:p>
        </w:tc>
        <w:tc>
          <w:tcPr>
            <w:tcW w:w="2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180" w:type="dxa"/>
            <w:vAlign w:val="bottom"/>
            <w:tcBorders>
              <w:top w:val="single" w:sz="8" w:color="1C2790"/>
            </w:tcBorders>
            <w:gridSpan w:val="39"/>
          </w:tcPr>
          <w:p>
            <w:pPr>
              <w:spacing w:after="0" w:line="204" w:lineRule="exact"/>
              <w:rPr>
                <w:sz w:val="20"/>
                <w:szCs w:val="20"/>
                <w:color w:val="auto"/>
              </w:rPr>
            </w:pPr>
            <w:r>
              <w:rPr>
                <w:rFonts w:ascii="Times New Roman" w:cs="Times New Roman" w:eastAsia="Times New Roman" w:hAnsi="Times New Roman"/>
                <w:sz w:val="20"/>
                <w:szCs w:val="20"/>
                <w:color w:val="1C2790"/>
              </w:rPr>
              <w:t>International, LLC, Aurora Peat Products ULC, Greenstar Plant Products Inc., Innovative Ag Installation, Inc.,</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r>
      <w:tr>
        <w:trPr>
          <w:trHeight w:val="204"/>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60" w:type="dxa"/>
            <w:vAlign w:val="bottom"/>
            <w:tcBorders>
              <w:top w:val="single" w:sz="8" w:color="1C2790"/>
              <w:bottom w:val="single" w:sz="8" w:color="1C2790"/>
            </w:tcBorders>
            <w:gridSpan w:val="23"/>
          </w:tcPr>
          <w:p>
            <w:pPr>
              <w:spacing w:after="0" w:line="205" w:lineRule="exact"/>
              <w:rPr>
                <w:sz w:val="20"/>
                <w:szCs w:val="20"/>
                <w:color w:val="auto"/>
              </w:rPr>
            </w:pPr>
            <w:r>
              <w:rPr>
                <w:rFonts w:ascii="Times New Roman" w:cs="Times New Roman" w:eastAsia="Times New Roman" w:hAnsi="Times New Roman"/>
                <w:sz w:val="20"/>
                <w:szCs w:val="20"/>
                <w:color w:val="1C2790"/>
                <w:w w:val="98"/>
              </w:rPr>
              <w:t>Innovative Racking Systems, Inc., Innovative Shipping Solutions, Inc., Innovative Growers Equipment Canada,</w:t>
            </w:r>
          </w:p>
        </w:tc>
        <w:tc>
          <w:tcPr>
            <w:tcW w:w="20" w:type="dxa"/>
            <w:vAlign w:val="bottom"/>
            <w:tcBorders>
              <w:bottom w:val="single" w:sz="8" w:color="1C2790"/>
            </w:tcBorders>
          </w:tcPr>
          <w:p>
            <w:pPr>
              <w:spacing w:after="0"/>
              <w:rPr>
                <w:sz w:val="17"/>
                <w:szCs w:val="17"/>
                <w:color w:val="auto"/>
              </w:rPr>
            </w:pPr>
          </w:p>
        </w:tc>
        <w:tc>
          <w:tcPr>
            <w:tcW w:w="20" w:type="dxa"/>
            <w:vAlign w:val="bottom"/>
            <w:tcBorders>
              <w:bottom w:val="single" w:sz="8" w:color="1C2790"/>
            </w:tcBorders>
          </w:tcPr>
          <w:p>
            <w:pPr>
              <w:spacing w:after="0"/>
              <w:rPr>
                <w:sz w:val="17"/>
                <w:szCs w:val="17"/>
                <w:color w:val="auto"/>
              </w:rPr>
            </w:pPr>
          </w:p>
        </w:tc>
        <w:tc>
          <w:tcPr>
            <w:tcW w:w="20" w:type="dxa"/>
            <w:vAlign w:val="bottom"/>
            <w:tcBorders>
              <w:bottom w:val="single" w:sz="8" w:color="1C2790"/>
            </w:tcBorders>
          </w:tcPr>
          <w:p>
            <w:pPr>
              <w:spacing w:after="0"/>
              <w:rPr>
                <w:sz w:val="17"/>
                <w:szCs w:val="17"/>
                <w:color w:val="auto"/>
              </w:rPr>
            </w:pPr>
          </w:p>
        </w:tc>
        <w:tc>
          <w:tcPr>
            <w:tcW w:w="20" w:type="dxa"/>
            <w:vAlign w:val="bottom"/>
            <w:tcBorders>
              <w:bottom w:val="single" w:sz="8" w:color="1C2790"/>
            </w:tcBorders>
          </w:tcPr>
          <w:p>
            <w:pPr>
              <w:spacing w:after="0"/>
              <w:rPr>
                <w:sz w:val="17"/>
                <w:szCs w:val="17"/>
                <w:color w:val="auto"/>
              </w:rPr>
            </w:pPr>
          </w:p>
        </w:tc>
        <w:tc>
          <w:tcPr>
            <w:tcW w:w="20" w:type="dxa"/>
            <w:vAlign w:val="bottom"/>
            <w:tcBorders>
              <w:bottom w:val="single" w:sz="8" w:color="1C2790"/>
            </w:tcBorders>
          </w:tcPr>
          <w:p>
            <w:pPr>
              <w:spacing w:after="0"/>
              <w:rPr>
                <w:sz w:val="17"/>
                <w:szCs w:val="17"/>
                <w:color w:val="auto"/>
              </w:rPr>
            </w:pPr>
          </w:p>
        </w:tc>
        <w:tc>
          <w:tcPr>
            <w:tcW w:w="20" w:type="dxa"/>
            <w:vAlign w:val="bottom"/>
            <w:tcBorders>
              <w:bottom w:val="single" w:sz="8" w:color="1C2790"/>
            </w:tcBorders>
          </w:tcPr>
          <w:p>
            <w:pPr>
              <w:spacing w:after="0"/>
              <w:rPr>
                <w:sz w:val="17"/>
                <w:szCs w:val="17"/>
                <w:color w:val="auto"/>
              </w:rPr>
            </w:pPr>
          </w:p>
        </w:tc>
        <w:tc>
          <w:tcPr>
            <w:tcW w:w="20" w:type="dxa"/>
            <w:vAlign w:val="bottom"/>
            <w:tcBorders>
              <w:bottom w:val="single" w:sz="8" w:color="1C2790"/>
            </w:tcBorders>
          </w:tcPr>
          <w:p>
            <w:pPr>
              <w:spacing w:after="0"/>
              <w:rPr>
                <w:sz w:val="17"/>
                <w:szCs w:val="17"/>
                <w:color w:val="auto"/>
              </w:rPr>
            </w:pPr>
          </w:p>
        </w:tc>
        <w:tc>
          <w:tcPr>
            <w:tcW w:w="20" w:type="dxa"/>
            <w:vAlign w:val="bottom"/>
            <w:tcBorders>
              <w:bottom w:val="single" w:sz="8" w:color="1C2790"/>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r>
      <w:tr>
        <w:trPr>
          <w:trHeight w:val="204"/>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300" w:type="dxa"/>
            <w:vAlign w:val="bottom"/>
            <w:gridSpan w:val="45"/>
          </w:tcPr>
          <w:p>
            <w:pPr>
              <w:spacing w:after="0" w:line="205" w:lineRule="exact"/>
              <w:rPr>
                <w:sz w:val="20"/>
                <w:szCs w:val="20"/>
                <w:color w:val="auto"/>
              </w:rPr>
            </w:pPr>
            <w:r>
              <w:rPr>
                <w:rFonts w:ascii="Times New Roman" w:cs="Times New Roman" w:eastAsia="Times New Roman" w:hAnsi="Times New Roman"/>
                <w:sz w:val="20"/>
                <w:szCs w:val="20"/>
                <w:color w:val="1C2790"/>
              </w:rPr>
              <w:t>Inc., JPMorgan Chase Bank, N.A. and JPMorgan Chase Bank, N.A. (incorporated by reference to Exhibit 10.1 of</w:t>
            </w:r>
          </w:p>
        </w:tc>
      </w:tr>
      <w:tr>
        <w:trPr>
          <w:trHeight w:val="204"/>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920" w:type="dxa"/>
            <w:vAlign w:val="bottom"/>
            <w:tcBorders>
              <w:top w:val="single" w:sz="8" w:color="1C2790"/>
              <w:bottom w:val="single" w:sz="8" w:color="1C2790"/>
            </w:tcBorders>
            <w:gridSpan w:val="26"/>
          </w:tcPr>
          <w:p>
            <w:pPr>
              <w:spacing w:after="0" w:line="205" w:lineRule="exact"/>
              <w:rPr>
                <w:sz w:val="20"/>
                <w:szCs w:val="20"/>
                <w:color w:val="auto"/>
              </w:rPr>
            </w:pPr>
            <w:r>
              <w:rPr>
                <w:rFonts w:ascii="Times New Roman" w:cs="Times New Roman" w:eastAsia="Times New Roman" w:hAnsi="Times New Roman"/>
                <w:sz w:val="20"/>
                <w:szCs w:val="20"/>
                <w:color w:val="1C2790"/>
              </w:rPr>
              <w:t>the Company’s Current Report on Form 8-K (File No. 001-39773), filed with the SEC on December 29, 2022).</w:t>
            </w:r>
          </w:p>
        </w:tc>
        <w:tc>
          <w:tcPr>
            <w:tcW w:w="280" w:type="dxa"/>
            <w:vAlign w:val="bottom"/>
            <w:tcBorders>
              <w:top w:val="single" w:sz="8" w:color="1C2790"/>
            </w:tcBorders>
            <w:gridSpan w:val="14"/>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r>
      <w:tr>
        <w:trPr>
          <w:trHeight w:val="267"/>
        </w:trPr>
        <w:tc>
          <w:tcPr>
            <w:tcW w:w="8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10.6</w:t>
            </w: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300" w:type="dxa"/>
            <w:vAlign w:val="bottom"/>
            <w:gridSpan w:val="45"/>
          </w:tcPr>
          <w:p>
            <w:pPr>
              <w:spacing w:after="0"/>
              <w:rPr>
                <w:sz w:val="20"/>
                <w:szCs w:val="20"/>
                <w:color w:val="auto"/>
              </w:rPr>
            </w:pPr>
            <w:r>
              <w:rPr>
                <w:rFonts w:ascii="Times New Roman" w:cs="Times New Roman" w:eastAsia="Times New Roman" w:hAnsi="Times New Roman"/>
                <w:sz w:val="20"/>
                <w:szCs w:val="20"/>
                <w:color w:val="1C2790"/>
              </w:rPr>
              <w:t>Fifth Amendment to Credit Agreement, dated March 31, 2023, by and among Hydrofarm Holdings Group, Inc.,</w:t>
            </w:r>
          </w:p>
        </w:tc>
      </w:tr>
      <w:tr>
        <w:trPr>
          <w:trHeight w:val="204"/>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980" w:type="dxa"/>
            <w:vAlign w:val="bottom"/>
            <w:tcBorders>
              <w:top w:val="single" w:sz="8" w:color="1C2790"/>
              <w:bottom w:val="single" w:sz="8" w:color="1C2790"/>
            </w:tcBorders>
            <w:gridSpan w:val="29"/>
          </w:tcPr>
          <w:p>
            <w:pPr>
              <w:spacing w:after="0" w:line="205" w:lineRule="exact"/>
              <w:rPr>
                <w:sz w:val="20"/>
                <w:szCs w:val="20"/>
                <w:color w:val="auto"/>
              </w:rPr>
            </w:pPr>
            <w:r>
              <w:rPr>
                <w:rFonts w:ascii="Times New Roman" w:cs="Times New Roman" w:eastAsia="Times New Roman" w:hAnsi="Times New Roman"/>
                <w:sz w:val="20"/>
                <w:szCs w:val="20"/>
                <w:color w:val="1C2790"/>
                <w:w w:val="99"/>
              </w:rPr>
              <w:t>Hydrofarm, LLC, Field 16, LLC, Innovative Growers Equipment, Inc., Manufacturing &amp; Supply Chain Services,</w:t>
            </w:r>
          </w:p>
        </w:tc>
        <w:tc>
          <w:tcPr>
            <w:tcW w:w="20" w:type="dxa"/>
            <w:vAlign w:val="bottom"/>
            <w:tcBorders>
              <w:bottom w:val="single" w:sz="8" w:color="1C2790"/>
            </w:tcBorders>
          </w:tcPr>
          <w:p>
            <w:pPr>
              <w:spacing w:after="0"/>
              <w:rPr>
                <w:sz w:val="17"/>
                <w:szCs w:val="17"/>
                <w:color w:val="auto"/>
              </w:rPr>
            </w:pPr>
          </w:p>
        </w:tc>
        <w:tc>
          <w:tcPr>
            <w:tcW w:w="40" w:type="dxa"/>
            <w:vAlign w:val="bottom"/>
            <w:tcBorders>
              <w:bottom w:val="single" w:sz="8" w:color="1C2790"/>
            </w:tcBorders>
            <w:gridSpan w:val="2"/>
          </w:tcPr>
          <w:p>
            <w:pPr>
              <w:spacing w:after="0"/>
              <w:rPr>
                <w:sz w:val="17"/>
                <w:szCs w:val="17"/>
                <w:color w:val="auto"/>
              </w:rPr>
            </w:pPr>
          </w:p>
        </w:tc>
        <w:tc>
          <w:tcPr>
            <w:tcW w:w="40" w:type="dxa"/>
            <w:vAlign w:val="bottom"/>
            <w:tcBorders>
              <w:bottom w:val="single" w:sz="8" w:color="1C2790"/>
            </w:tcBorders>
            <w:gridSpan w:val="2"/>
          </w:tcPr>
          <w:p>
            <w:pPr>
              <w:spacing w:after="0"/>
              <w:rPr>
                <w:sz w:val="17"/>
                <w:szCs w:val="17"/>
                <w:color w:val="auto"/>
              </w:rPr>
            </w:pPr>
          </w:p>
        </w:tc>
        <w:tc>
          <w:tcPr>
            <w:tcW w:w="20" w:type="dxa"/>
            <w:vAlign w:val="bottom"/>
            <w:tcBorders>
              <w:bottom w:val="single" w:sz="8" w:color="1C2790"/>
            </w:tcBorders>
          </w:tcPr>
          <w:p>
            <w:pPr>
              <w:spacing w:after="0"/>
              <w:rPr>
                <w:sz w:val="17"/>
                <w:szCs w:val="17"/>
                <w:color w:val="auto"/>
              </w:rPr>
            </w:pPr>
          </w:p>
        </w:tc>
        <w:tc>
          <w:tcPr>
            <w:tcW w:w="40" w:type="dxa"/>
            <w:vAlign w:val="bottom"/>
            <w:tcBorders>
              <w:bottom w:val="single" w:sz="8" w:color="1C2790"/>
            </w:tcBorders>
            <w:gridSpan w:val="2"/>
          </w:tcPr>
          <w:p>
            <w:pPr>
              <w:spacing w:after="0"/>
              <w:rPr>
                <w:sz w:val="17"/>
                <w:szCs w:val="17"/>
                <w:color w:val="auto"/>
              </w:rPr>
            </w:pPr>
          </w:p>
        </w:tc>
        <w:tc>
          <w:tcPr>
            <w:tcW w:w="20" w:type="dxa"/>
            <w:vAlign w:val="bottom"/>
            <w:tcBorders>
              <w:bottom w:val="single" w:sz="8" w:color="1C2790"/>
            </w:tcBorders>
          </w:tcPr>
          <w:p>
            <w:pPr>
              <w:spacing w:after="0"/>
              <w:rPr>
                <w:sz w:val="17"/>
                <w:szCs w:val="17"/>
                <w:color w:val="auto"/>
              </w:rPr>
            </w:pPr>
          </w:p>
        </w:tc>
        <w:tc>
          <w:tcPr>
            <w:tcW w:w="6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r>
      <w:tr>
        <w:trPr>
          <w:trHeight w:val="204"/>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160" w:type="dxa"/>
            <w:vAlign w:val="bottom"/>
            <w:tcBorders>
              <w:bottom w:val="single" w:sz="8" w:color="1C2790"/>
            </w:tcBorders>
            <w:gridSpan w:val="38"/>
          </w:tcPr>
          <w:p>
            <w:pPr>
              <w:spacing w:after="0" w:line="205" w:lineRule="exact"/>
              <w:rPr>
                <w:sz w:val="20"/>
                <w:szCs w:val="20"/>
                <w:color w:val="auto"/>
              </w:rPr>
            </w:pPr>
            <w:r>
              <w:rPr>
                <w:rFonts w:ascii="Times New Roman" w:cs="Times New Roman" w:eastAsia="Times New Roman" w:hAnsi="Times New Roman"/>
                <w:sz w:val="20"/>
                <w:szCs w:val="20"/>
                <w:color w:val="1C2790"/>
              </w:rPr>
              <w:t>Inc., Hydrofarm Investment Corp., Hydrofarm Holdings LLC, EHH Holdings, LLC, Sunblaster LLC, Hydrofarm</w:t>
            </w:r>
          </w:p>
        </w:tc>
        <w:tc>
          <w:tcPr>
            <w:tcW w:w="60" w:type="dxa"/>
            <w:vAlign w:val="bottom"/>
            <w:tcBorders>
              <w:bottom w:val="single" w:sz="8" w:color="1C2790"/>
            </w:tcBorders>
            <w:gridSpan w:val="3"/>
          </w:tcPr>
          <w:p>
            <w:pPr>
              <w:spacing w:after="0"/>
              <w:rPr>
                <w:sz w:val="17"/>
                <w:szCs w:val="17"/>
                <w:color w:val="auto"/>
              </w:rPr>
            </w:pPr>
          </w:p>
        </w:tc>
        <w:tc>
          <w:tcPr>
            <w:tcW w:w="20" w:type="dxa"/>
            <w:vAlign w:val="bottom"/>
            <w:tcBorders>
              <w:bottom w:val="single" w:sz="8" w:color="1C2790"/>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r>
      <w:tr>
        <w:trPr>
          <w:trHeight w:val="204"/>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40" w:type="dxa"/>
            <w:vAlign w:val="bottom"/>
            <w:gridSpan w:val="42"/>
          </w:tcPr>
          <w:p>
            <w:pPr>
              <w:spacing w:after="0" w:line="205" w:lineRule="exact"/>
              <w:rPr>
                <w:sz w:val="20"/>
                <w:szCs w:val="20"/>
                <w:color w:val="auto"/>
              </w:rPr>
            </w:pPr>
            <w:r>
              <w:rPr>
                <w:rFonts w:ascii="Times New Roman" w:cs="Times New Roman" w:eastAsia="Times New Roman" w:hAnsi="Times New Roman"/>
                <w:sz w:val="20"/>
                <w:szCs w:val="20"/>
                <w:color w:val="1C2790"/>
              </w:rPr>
              <w:t>Canada, LLC, Sunblaster Holdings ULC, Eddi’s Wholesale Garden Supplies Ltd., House &amp; Garden Holdings,</w:t>
            </w: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20" w:type="dxa"/>
            <w:vAlign w:val="bottom"/>
            <w:tcBorders>
              <w:top w:val="single" w:sz="8" w:color="1C2790"/>
            </w:tcBorders>
            <w:gridSpan w:val="21"/>
          </w:tcPr>
          <w:p>
            <w:pPr>
              <w:spacing w:after="0" w:line="204" w:lineRule="exact"/>
              <w:rPr>
                <w:sz w:val="20"/>
                <w:szCs w:val="20"/>
                <w:color w:val="auto"/>
              </w:rPr>
            </w:pPr>
            <w:r>
              <w:rPr>
                <w:rFonts w:ascii="Times New Roman" w:cs="Times New Roman" w:eastAsia="Times New Roman" w:hAnsi="Times New Roman"/>
                <w:sz w:val="20"/>
                <w:szCs w:val="20"/>
                <w:color w:val="1C2790"/>
                <w:w w:val="98"/>
              </w:rPr>
              <w:t>LLC, Gotham Properties LLC, Aurora International, LLC, Aurora Peat Products ULC, Greenstar Plant Products</w:t>
            </w:r>
          </w:p>
        </w:tc>
        <w:tc>
          <w:tcPr>
            <w:tcW w:w="60" w:type="dxa"/>
            <w:vAlign w:val="bottom"/>
            <w:gridSpan w:val="3"/>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80" w:type="dxa"/>
            <w:vAlign w:val="bottom"/>
            <w:gridSpan w:val="4"/>
          </w:tcPr>
          <w:p>
            <w:pPr>
              <w:spacing w:after="0"/>
              <w:rPr>
                <w:sz w:val="17"/>
                <w:szCs w:val="17"/>
                <w:color w:val="auto"/>
              </w:rPr>
            </w:pPr>
          </w:p>
        </w:tc>
        <w:tc>
          <w:tcPr>
            <w:tcW w:w="40" w:type="dxa"/>
            <w:vAlign w:val="bottom"/>
            <w:gridSpan w:val="2"/>
          </w:tcPr>
          <w:p>
            <w:pPr>
              <w:spacing w:after="0"/>
              <w:rPr>
                <w:sz w:val="17"/>
                <w:szCs w:val="17"/>
                <w:color w:val="auto"/>
              </w:rPr>
            </w:pPr>
          </w:p>
        </w:tc>
        <w:tc>
          <w:tcPr>
            <w:tcW w:w="40" w:type="dxa"/>
            <w:vAlign w:val="bottom"/>
            <w:gridSpan w:val="2"/>
          </w:tcPr>
          <w:p>
            <w:pPr>
              <w:spacing w:after="0"/>
              <w:rPr>
                <w:sz w:val="17"/>
                <w:szCs w:val="17"/>
                <w:color w:val="auto"/>
              </w:rPr>
            </w:pPr>
          </w:p>
        </w:tc>
      </w:tr>
      <w:tr>
        <w:trPr>
          <w:trHeight w:val="204"/>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20" w:type="dxa"/>
            <w:vAlign w:val="bottom"/>
            <w:tcBorders>
              <w:top w:val="single" w:sz="8" w:color="1C2790"/>
            </w:tcBorders>
            <w:gridSpan w:val="31"/>
          </w:tcPr>
          <w:p>
            <w:pPr>
              <w:spacing w:after="0" w:line="205" w:lineRule="exact"/>
              <w:rPr>
                <w:sz w:val="20"/>
                <w:szCs w:val="20"/>
                <w:color w:val="auto"/>
              </w:rPr>
            </w:pPr>
            <w:r>
              <w:rPr>
                <w:rFonts w:ascii="Times New Roman" w:cs="Times New Roman" w:eastAsia="Times New Roman" w:hAnsi="Times New Roman"/>
                <w:sz w:val="20"/>
                <w:szCs w:val="20"/>
                <w:color w:val="1C2790"/>
              </w:rPr>
              <w:t>Inc., Innovative AG Installation, Inc., Innovative Racking Systems, Inc., Innovative Shipping Solutions, Inc.,</w:t>
            </w: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80" w:type="dxa"/>
            <w:vAlign w:val="bottom"/>
            <w:gridSpan w:val="4"/>
          </w:tcPr>
          <w:p>
            <w:pPr>
              <w:spacing w:after="0"/>
              <w:rPr>
                <w:sz w:val="17"/>
                <w:szCs w:val="17"/>
                <w:color w:val="auto"/>
              </w:rPr>
            </w:pPr>
          </w:p>
        </w:tc>
        <w:tc>
          <w:tcPr>
            <w:tcW w:w="40" w:type="dxa"/>
            <w:vAlign w:val="bottom"/>
            <w:gridSpan w:val="2"/>
          </w:tcPr>
          <w:p>
            <w:pPr>
              <w:spacing w:after="0"/>
              <w:rPr>
                <w:sz w:val="17"/>
                <w:szCs w:val="17"/>
                <w:color w:val="auto"/>
              </w:rPr>
            </w:pPr>
          </w:p>
        </w:tc>
        <w:tc>
          <w:tcPr>
            <w:tcW w:w="40" w:type="dxa"/>
            <w:vAlign w:val="bottom"/>
            <w:gridSpan w:val="2"/>
          </w:tcPr>
          <w:p>
            <w:pPr>
              <w:spacing w:after="0"/>
              <w:rPr>
                <w:sz w:val="17"/>
                <w:szCs w:val="17"/>
                <w:color w:val="auto"/>
              </w:rPr>
            </w:pPr>
          </w:p>
        </w:tc>
      </w:tr>
      <w:tr>
        <w:trPr>
          <w:trHeight w:val="204"/>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20" w:type="dxa"/>
            <w:vAlign w:val="bottom"/>
            <w:tcBorders>
              <w:top w:val="single" w:sz="8" w:color="1C2790"/>
              <w:bottom w:val="single" w:sz="8" w:color="1C2790"/>
            </w:tcBorders>
            <w:gridSpan w:val="11"/>
          </w:tcPr>
          <w:p>
            <w:pPr>
              <w:spacing w:after="0" w:line="205" w:lineRule="exact"/>
              <w:rPr>
                <w:sz w:val="20"/>
                <w:szCs w:val="20"/>
                <w:color w:val="auto"/>
              </w:rPr>
            </w:pPr>
            <w:r>
              <w:rPr>
                <w:rFonts w:ascii="Times New Roman" w:cs="Times New Roman" w:eastAsia="Times New Roman" w:hAnsi="Times New Roman"/>
                <w:sz w:val="20"/>
                <w:szCs w:val="20"/>
                <w:color w:val="1C2790"/>
                <w:w w:val="99"/>
              </w:rPr>
              <w:t>Innovative Growers Equipment Canada, Inc., JPMorgan Chase Bank, N.A., as lender, and JPMorgan Chase</w:t>
            </w:r>
          </w:p>
        </w:tc>
        <w:tc>
          <w:tcPr>
            <w:tcW w:w="120" w:type="dxa"/>
            <w:vAlign w:val="bottom"/>
            <w:tcBorders>
              <w:top w:val="single" w:sz="8" w:color="1C2790"/>
            </w:tcBorders>
            <w:gridSpan w:val="6"/>
          </w:tcPr>
          <w:p>
            <w:pPr>
              <w:spacing w:after="0"/>
              <w:rPr>
                <w:sz w:val="17"/>
                <w:szCs w:val="17"/>
                <w:color w:val="auto"/>
              </w:rPr>
            </w:pPr>
          </w:p>
        </w:tc>
        <w:tc>
          <w:tcPr>
            <w:tcW w:w="40" w:type="dxa"/>
            <w:vAlign w:val="bottom"/>
            <w:gridSpan w:val="2"/>
          </w:tcPr>
          <w:p>
            <w:pPr>
              <w:spacing w:after="0"/>
              <w:rPr>
                <w:sz w:val="17"/>
                <w:szCs w:val="17"/>
                <w:color w:val="auto"/>
              </w:rPr>
            </w:pPr>
          </w:p>
        </w:tc>
        <w:tc>
          <w:tcPr>
            <w:tcW w:w="100" w:type="dxa"/>
            <w:vAlign w:val="bottom"/>
            <w:gridSpan w:val="5"/>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80" w:type="dxa"/>
            <w:vAlign w:val="bottom"/>
            <w:gridSpan w:val="4"/>
          </w:tcPr>
          <w:p>
            <w:pPr>
              <w:spacing w:after="0"/>
              <w:rPr>
                <w:sz w:val="17"/>
                <w:szCs w:val="17"/>
                <w:color w:val="auto"/>
              </w:rPr>
            </w:pPr>
          </w:p>
        </w:tc>
        <w:tc>
          <w:tcPr>
            <w:tcW w:w="40" w:type="dxa"/>
            <w:vAlign w:val="bottom"/>
            <w:gridSpan w:val="2"/>
          </w:tcPr>
          <w:p>
            <w:pPr>
              <w:spacing w:after="0"/>
              <w:rPr>
                <w:sz w:val="17"/>
                <w:szCs w:val="17"/>
                <w:color w:val="auto"/>
              </w:rPr>
            </w:pPr>
          </w:p>
        </w:tc>
        <w:tc>
          <w:tcPr>
            <w:tcW w:w="40" w:type="dxa"/>
            <w:vAlign w:val="bottom"/>
            <w:gridSpan w:val="2"/>
          </w:tcPr>
          <w:p>
            <w:pPr>
              <w:spacing w:after="0"/>
              <w:rPr>
                <w:sz w:val="17"/>
                <w:szCs w:val="17"/>
                <w:color w:val="auto"/>
              </w:rPr>
            </w:pPr>
          </w:p>
        </w:tc>
      </w:tr>
      <w:tr>
        <w:trPr>
          <w:trHeight w:val="204"/>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300" w:type="dxa"/>
            <w:vAlign w:val="bottom"/>
            <w:gridSpan w:val="45"/>
          </w:tcPr>
          <w:p>
            <w:pPr>
              <w:spacing w:after="0" w:line="205" w:lineRule="exact"/>
              <w:rPr>
                <w:sz w:val="20"/>
                <w:szCs w:val="20"/>
                <w:color w:val="auto"/>
              </w:rPr>
            </w:pPr>
            <w:r>
              <w:rPr>
                <w:rFonts w:ascii="Times New Roman" w:cs="Times New Roman" w:eastAsia="Times New Roman" w:hAnsi="Times New Roman"/>
                <w:sz w:val="20"/>
                <w:szCs w:val="20"/>
                <w:color w:val="1C2790"/>
              </w:rPr>
              <w:t>Bank, N.A., as administrative agent (incorporated by reference to Exhibit 10.1 of the Company’s Current Report</w:t>
            </w:r>
          </w:p>
        </w:tc>
      </w:tr>
      <w:tr>
        <w:trPr>
          <w:trHeight w:val="204"/>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60" w:type="dxa"/>
            <w:vAlign w:val="bottom"/>
            <w:tcBorders>
              <w:top w:val="single" w:sz="8" w:color="1C2790"/>
              <w:bottom w:val="single" w:sz="8" w:color="1C2790"/>
            </w:tcBorders>
            <w:gridSpan w:val="4"/>
          </w:tcPr>
          <w:p>
            <w:pPr>
              <w:spacing w:after="0" w:line="205" w:lineRule="exact"/>
              <w:rPr>
                <w:sz w:val="20"/>
                <w:szCs w:val="20"/>
                <w:color w:val="auto"/>
              </w:rPr>
            </w:pPr>
            <w:r>
              <w:rPr>
                <w:rFonts w:ascii="Times New Roman" w:cs="Times New Roman" w:eastAsia="Times New Roman" w:hAnsi="Times New Roman"/>
                <w:sz w:val="20"/>
                <w:szCs w:val="20"/>
                <w:color w:val="1C2790"/>
                <w:w w:val="99"/>
              </w:rPr>
              <w:t>on Form 8-K filed with the SEC on April 6, 2023).</w:t>
            </w:r>
          </w:p>
        </w:tc>
        <w:tc>
          <w:tcPr>
            <w:tcW w:w="5040" w:type="dxa"/>
            <w:vAlign w:val="bottom"/>
            <w:tcBorders>
              <w:top w:val="single" w:sz="8" w:color="1C2790"/>
            </w:tcBorders>
            <w:gridSpan w:val="31"/>
          </w:tcPr>
          <w:p>
            <w:pPr>
              <w:spacing w:after="0"/>
              <w:rPr>
                <w:sz w:val="17"/>
                <w:szCs w:val="17"/>
                <w:color w:val="auto"/>
              </w:rPr>
            </w:pPr>
          </w:p>
        </w:tc>
        <w:tc>
          <w:tcPr>
            <w:tcW w:w="40" w:type="dxa"/>
            <w:vAlign w:val="bottom"/>
            <w:gridSpan w:val="2"/>
          </w:tcPr>
          <w:p>
            <w:pPr>
              <w:spacing w:after="0"/>
              <w:rPr>
                <w:sz w:val="17"/>
                <w:szCs w:val="17"/>
                <w:color w:val="auto"/>
              </w:rPr>
            </w:pPr>
          </w:p>
        </w:tc>
        <w:tc>
          <w:tcPr>
            <w:tcW w:w="80" w:type="dxa"/>
            <w:vAlign w:val="bottom"/>
            <w:gridSpan w:val="4"/>
          </w:tcPr>
          <w:p>
            <w:pPr>
              <w:spacing w:after="0"/>
              <w:rPr>
                <w:sz w:val="17"/>
                <w:szCs w:val="17"/>
                <w:color w:val="auto"/>
              </w:rPr>
            </w:pPr>
          </w:p>
        </w:tc>
        <w:tc>
          <w:tcPr>
            <w:tcW w:w="40" w:type="dxa"/>
            <w:vAlign w:val="bottom"/>
            <w:gridSpan w:val="2"/>
          </w:tcPr>
          <w:p>
            <w:pPr>
              <w:spacing w:after="0"/>
              <w:rPr>
                <w:sz w:val="17"/>
                <w:szCs w:val="17"/>
                <w:color w:val="auto"/>
              </w:rPr>
            </w:pPr>
          </w:p>
        </w:tc>
        <w:tc>
          <w:tcPr>
            <w:tcW w:w="40" w:type="dxa"/>
            <w:vAlign w:val="bottom"/>
            <w:gridSpan w:val="2"/>
          </w:tcPr>
          <w:p>
            <w:pPr>
              <w:spacing w:after="0"/>
              <w:rPr>
                <w:sz w:val="17"/>
                <w:szCs w:val="17"/>
                <w:color w:val="auto"/>
              </w:rPr>
            </w:pPr>
          </w:p>
        </w:tc>
      </w:tr>
      <w:tr>
        <w:trPr>
          <w:trHeight w:val="267"/>
        </w:trPr>
        <w:tc>
          <w:tcPr>
            <w:tcW w:w="8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10.7</w:t>
            </w: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300" w:type="dxa"/>
            <w:vAlign w:val="bottom"/>
            <w:gridSpan w:val="45"/>
          </w:tcPr>
          <w:p>
            <w:pPr>
              <w:spacing w:after="0"/>
              <w:rPr>
                <w:sz w:val="20"/>
                <w:szCs w:val="20"/>
                <w:color w:val="auto"/>
              </w:rPr>
            </w:pPr>
            <w:r>
              <w:rPr>
                <w:rFonts w:ascii="Times New Roman" w:cs="Times New Roman" w:eastAsia="Times New Roman" w:hAnsi="Times New Roman"/>
                <w:sz w:val="20"/>
                <w:szCs w:val="20"/>
                <w:color w:val="1C2790"/>
              </w:rPr>
              <w:t>Sixth Amendment to Credit Agreement, dated November 1, 2024, by and among Hydrofarm Holdings Group,</w:t>
            </w:r>
          </w:p>
        </w:tc>
      </w:tr>
      <w:tr>
        <w:trPr>
          <w:trHeight w:val="204"/>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700" w:type="dxa"/>
            <w:vAlign w:val="bottom"/>
            <w:tcBorders>
              <w:top w:val="single" w:sz="8" w:color="1C2790"/>
              <w:bottom w:val="single" w:sz="8" w:color="1C2790"/>
            </w:tcBorders>
            <w:gridSpan w:val="15"/>
          </w:tcPr>
          <w:p>
            <w:pPr>
              <w:spacing w:after="0" w:line="205" w:lineRule="exact"/>
              <w:rPr>
                <w:sz w:val="20"/>
                <w:szCs w:val="20"/>
                <w:color w:val="auto"/>
              </w:rPr>
            </w:pPr>
            <w:r>
              <w:rPr>
                <w:rFonts w:ascii="Times New Roman" w:cs="Times New Roman" w:eastAsia="Times New Roman" w:hAnsi="Times New Roman"/>
                <w:sz w:val="20"/>
                <w:szCs w:val="20"/>
                <w:color w:val="1C2790"/>
              </w:rPr>
              <w:t>Inc., Hydrofarm, LLC, Field 16, LLC, Innovative Growers Equipment, Inc., Manufacturing &amp; Supply Chain</w:t>
            </w:r>
          </w:p>
        </w:tc>
        <w:tc>
          <w:tcPr>
            <w:tcW w:w="80" w:type="dxa"/>
            <w:vAlign w:val="bottom"/>
            <w:tcBorders>
              <w:top w:val="single" w:sz="8" w:color="1C2790"/>
            </w:tcBorders>
            <w:gridSpan w:val="4"/>
          </w:tcPr>
          <w:p>
            <w:pPr>
              <w:spacing w:after="0"/>
              <w:rPr>
                <w:sz w:val="17"/>
                <w:szCs w:val="17"/>
                <w:color w:val="auto"/>
              </w:rPr>
            </w:pPr>
          </w:p>
        </w:tc>
        <w:tc>
          <w:tcPr>
            <w:tcW w:w="100" w:type="dxa"/>
            <w:vAlign w:val="bottom"/>
            <w:gridSpan w:val="5"/>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40" w:type="dxa"/>
            <w:vAlign w:val="bottom"/>
            <w:gridSpan w:val="2"/>
          </w:tcPr>
          <w:p>
            <w:pPr>
              <w:spacing w:after="0"/>
              <w:rPr>
                <w:sz w:val="17"/>
                <w:szCs w:val="17"/>
                <w:color w:val="auto"/>
              </w:rPr>
            </w:pPr>
          </w:p>
        </w:tc>
        <w:tc>
          <w:tcPr>
            <w:tcW w:w="60" w:type="dxa"/>
            <w:vAlign w:val="bottom"/>
            <w:gridSpan w:val="3"/>
          </w:tcPr>
          <w:p>
            <w:pPr>
              <w:spacing w:after="0"/>
              <w:rPr>
                <w:sz w:val="17"/>
                <w:szCs w:val="17"/>
                <w:color w:val="auto"/>
              </w:rPr>
            </w:pPr>
          </w:p>
        </w:tc>
        <w:tc>
          <w:tcPr>
            <w:tcW w:w="80" w:type="dxa"/>
            <w:vAlign w:val="bottom"/>
            <w:gridSpan w:val="4"/>
          </w:tcPr>
          <w:p>
            <w:pPr>
              <w:spacing w:after="0"/>
              <w:rPr>
                <w:sz w:val="17"/>
                <w:szCs w:val="17"/>
                <w:color w:val="auto"/>
              </w:rPr>
            </w:pPr>
          </w:p>
        </w:tc>
        <w:tc>
          <w:tcPr>
            <w:tcW w:w="40" w:type="dxa"/>
            <w:vAlign w:val="bottom"/>
            <w:gridSpan w:val="2"/>
          </w:tcPr>
          <w:p>
            <w:pPr>
              <w:spacing w:after="0"/>
              <w:rPr>
                <w:sz w:val="17"/>
                <w:szCs w:val="17"/>
                <w:color w:val="auto"/>
              </w:rPr>
            </w:pPr>
          </w:p>
        </w:tc>
        <w:tc>
          <w:tcPr>
            <w:tcW w:w="40" w:type="dxa"/>
            <w:vAlign w:val="bottom"/>
            <w:gridSpan w:val="2"/>
          </w:tcPr>
          <w:p>
            <w:pPr>
              <w:spacing w:after="0"/>
              <w:rPr>
                <w:sz w:val="17"/>
                <w:szCs w:val="17"/>
                <w:color w:val="auto"/>
              </w:rPr>
            </w:pPr>
          </w:p>
        </w:tc>
      </w:tr>
      <w:tr>
        <w:trPr>
          <w:trHeight w:val="204"/>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300" w:type="dxa"/>
            <w:vAlign w:val="bottom"/>
            <w:gridSpan w:val="45"/>
          </w:tcPr>
          <w:p>
            <w:pPr>
              <w:spacing w:after="0" w:line="205" w:lineRule="exact"/>
              <w:rPr>
                <w:sz w:val="20"/>
                <w:szCs w:val="20"/>
                <w:color w:val="auto"/>
              </w:rPr>
            </w:pPr>
            <w:r>
              <w:rPr>
                <w:rFonts w:ascii="Times New Roman" w:cs="Times New Roman" w:eastAsia="Times New Roman" w:hAnsi="Times New Roman"/>
                <w:sz w:val="20"/>
                <w:szCs w:val="20"/>
                <w:color w:val="1C2790"/>
              </w:rPr>
              <w:t>Services, Inc., Hydrofarm Investment Corp., Hydrofarm Holdings LLC, EHH Holdings, LLC, Sunblaster LLC,</w:t>
            </w:r>
          </w:p>
        </w:tc>
      </w:tr>
      <w:tr>
        <w:trPr>
          <w:trHeight w:val="203"/>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920" w:type="dxa"/>
            <w:vAlign w:val="bottom"/>
            <w:tcBorders>
              <w:top w:val="single" w:sz="8" w:color="1C2790"/>
              <w:bottom w:val="single" w:sz="8" w:color="1C2790"/>
            </w:tcBorders>
            <w:gridSpan w:val="26"/>
          </w:tcPr>
          <w:p>
            <w:pPr>
              <w:spacing w:after="0" w:line="204" w:lineRule="exact"/>
              <w:rPr>
                <w:sz w:val="20"/>
                <w:szCs w:val="20"/>
                <w:color w:val="auto"/>
              </w:rPr>
            </w:pPr>
            <w:r>
              <w:rPr>
                <w:rFonts w:ascii="Times New Roman" w:cs="Times New Roman" w:eastAsia="Times New Roman" w:hAnsi="Times New Roman"/>
                <w:sz w:val="20"/>
                <w:szCs w:val="20"/>
                <w:color w:val="1C2790"/>
                <w:w w:val="99"/>
              </w:rPr>
              <w:t>Hydrofarm Canada, LLC, Sunblaster Holdings ULC, Eddi’s Wholesale Garden Supplies Ltd., House &amp; Garden</w:t>
            </w:r>
          </w:p>
        </w:tc>
        <w:tc>
          <w:tcPr>
            <w:tcW w:w="20" w:type="dxa"/>
            <w:vAlign w:val="bottom"/>
            <w:tcBorders>
              <w:bottom w:val="single" w:sz="8" w:color="1C2790"/>
            </w:tcBorders>
          </w:tcPr>
          <w:p>
            <w:pPr>
              <w:spacing w:after="0"/>
              <w:rPr>
                <w:sz w:val="17"/>
                <w:szCs w:val="17"/>
                <w:color w:val="auto"/>
              </w:rPr>
            </w:pPr>
          </w:p>
        </w:tc>
        <w:tc>
          <w:tcPr>
            <w:tcW w:w="20" w:type="dxa"/>
            <w:vAlign w:val="bottom"/>
            <w:tcBorders>
              <w:bottom w:val="single" w:sz="8" w:color="1C2790"/>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40" w:type="dxa"/>
            <w:vAlign w:val="bottom"/>
            <w:gridSpan w:val="2"/>
          </w:tcPr>
          <w:p>
            <w:pPr>
              <w:spacing w:after="0"/>
              <w:rPr>
                <w:sz w:val="17"/>
                <w:szCs w:val="17"/>
                <w:color w:val="auto"/>
              </w:rPr>
            </w:pPr>
          </w:p>
        </w:tc>
        <w:tc>
          <w:tcPr>
            <w:tcW w:w="60" w:type="dxa"/>
            <w:vAlign w:val="bottom"/>
            <w:gridSpan w:val="3"/>
          </w:tcPr>
          <w:p>
            <w:pPr>
              <w:spacing w:after="0"/>
              <w:rPr>
                <w:sz w:val="17"/>
                <w:szCs w:val="17"/>
                <w:color w:val="auto"/>
              </w:rPr>
            </w:pPr>
          </w:p>
        </w:tc>
        <w:tc>
          <w:tcPr>
            <w:tcW w:w="80" w:type="dxa"/>
            <w:vAlign w:val="bottom"/>
            <w:gridSpan w:val="4"/>
          </w:tcPr>
          <w:p>
            <w:pPr>
              <w:spacing w:after="0"/>
              <w:rPr>
                <w:sz w:val="17"/>
                <w:szCs w:val="17"/>
                <w:color w:val="auto"/>
              </w:rPr>
            </w:pPr>
          </w:p>
        </w:tc>
        <w:tc>
          <w:tcPr>
            <w:tcW w:w="40" w:type="dxa"/>
            <w:vAlign w:val="bottom"/>
            <w:gridSpan w:val="2"/>
          </w:tcPr>
          <w:p>
            <w:pPr>
              <w:spacing w:after="0"/>
              <w:rPr>
                <w:sz w:val="17"/>
                <w:szCs w:val="17"/>
                <w:color w:val="auto"/>
              </w:rPr>
            </w:pPr>
          </w:p>
        </w:tc>
        <w:tc>
          <w:tcPr>
            <w:tcW w:w="40" w:type="dxa"/>
            <w:vAlign w:val="bottom"/>
            <w:gridSpan w:val="2"/>
          </w:tcPr>
          <w:p>
            <w:pPr>
              <w:spacing w:after="0"/>
              <w:rPr>
                <w:sz w:val="17"/>
                <w:szCs w:val="17"/>
                <w:color w:val="auto"/>
              </w:rPr>
            </w:pPr>
          </w:p>
        </w:tc>
      </w:tr>
      <w:tr>
        <w:trPr>
          <w:trHeight w:val="204"/>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960" w:type="dxa"/>
            <w:vAlign w:val="bottom"/>
            <w:tcBorders>
              <w:bottom w:val="single" w:sz="8" w:color="1C2790"/>
            </w:tcBorders>
            <w:gridSpan w:val="28"/>
          </w:tcPr>
          <w:p>
            <w:pPr>
              <w:spacing w:after="0" w:line="205" w:lineRule="exact"/>
              <w:rPr>
                <w:sz w:val="20"/>
                <w:szCs w:val="20"/>
                <w:color w:val="auto"/>
              </w:rPr>
            </w:pPr>
            <w:r>
              <w:rPr>
                <w:rFonts w:ascii="Times New Roman" w:cs="Times New Roman" w:eastAsia="Times New Roman" w:hAnsi="Times New Roman"/>
                <w:sz w:val="20"/>
                <w:szCs w:val="20"/>
                <w:color w:val="1C2790"/>
                <w:w w:val="98"/>
              </w:rPr>
              <w:t>Holdings, LLC, Aurora International, LLC, Aurora Peat Products ULC, Greenstar Plant Products Inc., Innovative</w:t>
            </w:r>
          </w:p>
        </w:tc>
        <w:tc>
          <w:tcPr>
            <w:tcW w:w="20" w:type="dxa"/>
            <w:vAlign w:val="bottom"/>
            <w:tcBorders>
              <w:bottom w:val="single" w:sz="8" w:color="1C2790"/>
            </w:tcBorders>
          </w:tcPr>
          <w:p>
            <w:pPr>
              <w:spacing w:after="0"/>
              <w:rPr>
                <w:sz w:val="17"/>
                <w:szCs w:val="17"/>
                <w:color w:val="auto"/>
              </w:rPr>
            </w:pPr>
          </w:p>
        </w:tc>
        <w:tc>
          <w:tcPr>
            <w:tcW w:w="20" w:type="dxa"/>
            <w:vAlign w:val="bottom"/>
            <w:tcBorders>
              <w:bottom w:val="single" w:sz="8" w:color="1C2790"/>
            </w:tcBorders>
          </w:tcPr>
          <w:p>
            <w:pPr>
              <w:spacing w:after="0"/>
              <w:rPr>
                <w:sz w:val="17"/>
                <w:szCs w:val="17"/>
                <w:color w:val="auto"/>
              </w:rPr>
            </w:pPr>
          </w:p>
        </w:tc>
        <w:tc>
          <w:tcPr>
            <w:tcW w:w="40" w:type="dxa"/>
            <w:vAlign w:val="bottom"/>
            <w:tcBorders>
              <w:bottom w:val="single" w:sz="8" w:color="1C2790"/>
            </w:tcBorders>
            <w:gridSpan w:val="2"/>
          </w:tcPr>
          <w:p>
            <w:pPr>
              <w:spacing w:after="0"/>
              <w:rPr>
                <w:sz w:val="17"/>
                <w:szCs w:val="17"/>
                <w:color w:val="auto"/>
              </w:rPr>
            </w:pPr>
          </w:p>
        </w:tc>
        <w:tc>
          <w:tcPr>
            <w:tcW w:w="40" w:type="dxa"/>
            <w:vAlign w:val="bottom"/>
            <w:tcBorders>
              <w:bottom w:val="single" w:sz="8" w:color="1C2790"/>
            </w:tcBorders>
            <w:gridSpan w:val="2"/>
          </w:tcPr>
          <w:p>
            <w:pPr>
              <w:spacing w:after="0"/>
              <w:rPr>
                <w:sz w:val="17"/>
                <w:szCs w:val="17"/>
                <w:color w:val="auto"/>
              </w:rPr>
            </w:pPr>
          </w:p>
        </w:tc>
        <w:tc>
          <w:tcPr>
            <w:tcW w:w="60" w:type="dxa"/>
            <w:vAlign w:val="bottom"/>
            <w:tcBorders>
              <w:bottom w:val="single" w:sz="8" w:color="1C2790"/>
            </w:tcBorders>
            <w:gridSpan w:val="3"/>
          </w:tcPr>
          <w:p>
            <w:pPr>
              <w:spacing w:after="0"/>
              <w:rPr>
                <w:sz w:val="17"/>
                <w:szCs w:val="17"/>
                <w:color w:val="auto"/>
              </w:rPr>
            </w:pPr>
          </w:p>
        </w:tc>
        <w:tc>
          <w:tcPr>
            <w:tcW w:w="80" w:type="dxa"/>
            <w:vAlign w:val="bottom"/>
            <w:tcBorders>
              <w:bottom w:val="single" w:sz="8" w:color="1C2790"/>
            </w:tcBorders>
            <w:gridSpan w:val="4"/>
          </w:tcPr>
          <w:p>
            <w:pPr>
              <w:spacing w:after="0"/>
              <w:rPr>
                <w:sz w:val="17"/>
                <w:szCs w:val="17"/>
                <w:color w:val="auto"/>
              </w:rPr>
            </w:pPr>
          </w:p>
        </w:tc>
        <w:tc>
          <w:tcPr>
            <w:tcW w:w="40" w:type="dxa"/>
            <w:vAlign w:val="bottom"/>
            <w:gridSpan w:val="2"/>
          </w:tcPr>
          <w:p>
            <w:pPr>
              <w:spacing w:after="0"/>
              <w:rPr>
                <w:sz w:val="17"/>
                <w:szCs w:val="17"/>
                <w:color w:val="auto"/>
              </w:rPr>
            </w:pPr>
          </w:p>
        </w:tc>
        <w:tc>
          <w:tcPr>
            <w:tcW w:w="40" w:type="dxa"/>
            <w:vAlign w:val="bottom"/>
            <w:gridSpan w:val="2"/>
          </w:tcPr>
          <w:p>
            <w:pPr>
              <w:spacing w:after="0"/>
              <w:rPr>
                <w:sz w:val="17"/>
                <w:szCs w:val="17"/>
                <w:color w:val="auto"/>
              </w:rPr>
            </w:pPr>
          </w:p>
        </w:tc>
      </w:tr>
      <w:tr>
        <w:trPr>
          <w:trHeight w:val="204"/>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20" w:type="dxa"/>
            <w:vAlign w:val="bottom"/>
            <w:tcBorders>
              <w:bottom w:val="single" w:sz="8" w:color="1C2790"/>
            </w:tcBorders>
            <w:gridSpan w:val="41"/>
          </w:tcPr>
          <w:p>
            <w:pPr>
              <w:spacing w:after="0" w:line="205" w:lineRule="exact"/>
              <w:rPr>
                <w:sz w:val="20"/>
                <w:szCs w:val="20"/>
                <w:color w:val="auto"/>
              </w:rPr>
            </w:pPr>
            <w:r>
              <w:rPr>
                <w:rFonts w:ascii="Times New Roman" w:cs="Times New Roman" w:eastAsia="Times New Roman" w:hAnsi="Times New Roman"/>
                <w:sz w:val="20"/>
                <w:szCs w:val="20"/>
                <w:color w:val="1C2790"/>
              </w:rPr>
              <w:t>AG Installation, Inc., Innovative Racking Systems, Inc., Innovative Shipping Solutions, Inc., Innovative Growers</w:t>
            </w:r>
          </w:p>
        </w:tc>
        <w:tc>
          <w:tcPr>
            <w:tcW w:w="40" w:type="dxa"/>
            <w:vAlign w:val="bottom"/>
            <w:tcBorders>
              <w:bottom w:val="single" w:sz="8" w:color="1C2790"/>
            </w:tcBorders>
            <w:gridSpan w:val="2"/>
          </w:tcPr>
          <w:p>
            <w:pPr>
              <w:spacing w:after="0"/>
              <w:rPr>
                <w:sz w:val="17"/>
                <w:szCs w:val="17"/>
                <w:color w:val="auto"/>
              </w:rPr>
            </w:pPr>
          </w:p>
        </w:tc>
        <w:tc>
          <w:tcPr>
            <w:tcW w:w="40" w:type="dxa"/>
            <w:vAlign w:val="bottom"/>
            <w:gridSpan w:val="2"/>
          </w:tcPr>
          <w:p>
            <w:pPr>
              <w:spacing w:after="0"/>
              <w:rPr>
                <w:sz w:val="17"/>
                <w:szCs w:val="17"/>
                <w:color w:val="auto"/>
              </w:rPr>
            </w:pPr>
          </w:p>
        </w:tc>
      </w:tr>
      <w:tr>
        <w:trPr>
          <w:trHeight w:val="204"/>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60" w:type="dxa"/>
            <w:vAlign w:val="bottom"/>
            <w:gridSpan w:val="43"/>
          </w:tcPr>
          <w:p>
            <w:pPr>
              <w:spacing w:after="0" w:line="205" w:lineRule="exact"/>
              <w:rPr>
                <w:sz w:val="20"/>
                <w:szCs w:val="20"/>
                <w:color w:val="auto"/>
              </w:rPr>
            </w:pPr>
            <w:r>
              <w:rPr>
                <w:rFonts w:ascii="Times New Roman" w:cs="Times New Roman" w:eastAsia="Times New Roman" w:hAnsi="Times New Roman"/>
                <w:sz w:val="20"/>
                <w:szCs w:val="20"/>
                <w:color w:val="1C2790"/>
              </w:rPr>
              <w:t>Equipment Canada, Inc., and JPMorgan Chase Bank, N.A., as lender and administrative agent (incorporated by</w:t>
            </w:r>
          </w:p>
        </w:tc>
        <w:tc>
          <w:tcPr>
            <w:tcW w:w="40" w:type="dxa"/>
            <w:vAlign w:val="bottom"/>
            <w:gridSpan w:val="2"/>
          </w:tcPr>
          <w:p>
            <w:pPr>
              <w:spacing w:after="0"/>
              <w:rPr>
                <w:sz w:val="17"/>
                <w:szCs w:val="17"/>
                <w:color w:val="auto"/>
              </w:rPr>
            </w:pPr>
          </w:p>
        </w:tc>
      </w:tr>
      <w:tr>
        <w:trPr>
          <w:trHeight w:val="204"/>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940" w:type="dxa"/>
            <w:vAlign w:val="bottom"/>
            <w:tcBorders>
              <w:top w:val="single" w:sz="8" w:color="1C2790"/>
              <w:bottom w:val="single" w:sz="8" w:color="1C2790"/>
            </w:tcBorders>
            <w:gridSpan w:val="27"/>
          </w:tcPr>
          <w:p>
            <w:pPr>
              <w:spacing w:after="0" w:line="205" w:lineRule="exact"/>
              <w:rPr>
                <w:sz w:val="20"/>
                <w:szCs w:val="20"/>
                <w:color w:val="auto"/>
              </w:rPr>
            </w:pPr>
            <w:r>
              <w:rPr>
                <w:rFonts w:ascii="Times New Roman" w:cs="Times New Roman" w:eastAsia="Times New Roman" w:hAnsi="Times New Roman"/>
                <w:sz w:val="20"/>
                <w:szCs w:val="20"/>
                <w:color w:val="1C2790"/>
                <w:w w:val="99"/>
              </w:rPr>
              <w:t>reference to Exhibit 10.5 of the Company’s Quarterly Report on Form 10-Q filed with the SEC on November 7,</w:t>
            </w:r>
          </w:p>
        </w:tc>
        <w:tc>
          <w:tcPr>
            <w:tcW w:w="40" w:type="dxa"/>
            <w:vAlign w:val="bottom"/>
            <w:tcBorders>
              <w:bottom w:val="single" w:sz="8" w:color="1C2790"/>
            </w:tcBorders>
            <w:gridSpan w:val="2"/>
          </w:tcPr>
          <w:p>
            <w:pPr>
              <w:spacing w:after="0"/>
              <w:rPr>
                <w:sz w:val="17"/>
                <w:szCs w:val="17"/>
                <w:color w:val="auto"/>
              </w:rPr>
            </w:pPr>
          </w:p>
        </w:tc>
        <w:tc>
          <w:tcPr>
            <w:tcW w:w="20" w:type="dxa"/>
            <w:vAlign w:val="bottom"/>
            <w:tcBorders>
              <w:bottom w:val="single" w:sz="8" w:color="1C2790"/>
            </w:tcBorders>
          </w:tcPr>
          <w:p>
            <w:pPr>
              <w:spacing w:after="0"/>
              <w:rPr>
                <w:sz w:val="17"/>
                <w:szCs w:val="17"/>
                <w:color w:val="auto"/>
              </w:rPr>
            </w:pPr>
          </w:p>
        </w:tc>
        <w:tc>
          <w:tcPr>
            <w:tcW w:w="40" w:type="dxa"/>
            <w:vAlign w:val="bottom"/>
            <w:gridSpan w:val="2"/>
          </w:tcPr>
          <w:p>
            <w:pPr>
              <w:spacing w:after="0"/>
              <w:rPr>
                <w:sz w:val="17"/>
                <w:szCs w:val="17"/>
                <w:color w:val="auto"/>
              </w:rPr>
            </w:pPr>
          </w:p>
        </w:tc>
        <w:tc>
          <w:tcPr>
            <w:tcW w:w="40" w:type="dxa"/>
            <w:vAlign w:val="bottom"/>
            <w:gridSpan w:val="2"/>
          </w:tcPr>
          <w:p>
            <w:pPr>
              <w:spacing w:after="0"/>
              <w:rPr>
                <w:sz w:val="17"/>
                <w:szCs w:val="17"/>
                <w:color w:val="auto"/>
              </w:rPr>
            </w:pPr>
          </w:p>
        </w:tc>
        <w:tc>
          <w:tcPr>
            <w:tcW w:w="60" w:type="dxa"/>
            <w:vAlign w:val="bottom"/>
            <w:gridSpan w:val="3"/>
          </w:tcPr>
          <w:p>
            <w:pPr>
              <w:spacing w:after="0"/>
              <w:rPr>
                <w:sz w:val="17"/>
                <w:szCs w:val="17"/>
                <w:color w:val="auto"/>
              </w:rPr>
            </w:pPr>
          </w:p>
        </w:tc>
        <w:tc>
          <w:tcPr>
            <w:tcW w:w="160" w:type="dxa"/>
            <w:vAlign w:val="bottom"/>
            <w:gridSpan w:val="8"/>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240" w:type="dxa"/>
            <w:vAlign w:val="bottom"/>
            <w:gridSpan w:val="2"/>
          </w:tcPr>
          <w:p>
            <w:pPr>
              <w:spacing w:after="0"/>
              <w:rPr>
                <w:sz w:val="17"/>
                <w:szCs w:val="17"/>
                <w:color w:val="auto"/>
              </w:rPr>
            </w:pPr>
          </w:p>
        </w:tc>
        <w:tc>
          <w:tcPr>
            <w:tcW w:w="520" w:type="dxa"/>
            <w:vAlign w:val="bottom"/>
            <w:tcBorders>
              <w:bottom w:val="single" w:sz="8" w:color="1C2790"/>
            </w:tcBorders>
          </w:tcPr>
          <w:p>
            <w:pPr>
              <w:spacing w:after="0" w:line="204" w:lineRule="exact"/>
              <w:rPr>
                <w:sz w:val="20"/>
                <w:szCs w:val="20"/>
                <w:color w:val="auto"/>
              </w:rPr>
            </w:pPr>
            <w:r>
              <w:rPr>
                <w:rFonts w:ascii="Times New Roman" w:cs="Times New Roman" w:eastAsia="Times New Roman" w:hAnsi="Times New Roman"/>
                <w:sz w:val="20"/>
                <w:szCs w:val="20"/>
                <w:color w:val="1C2790"/>
                <w:w w:val="96"/>
              </w:rPr>
              <w:t>2024).</w:t>
            </w:r>
          </w:p>
        </w:tc>
        <w:tc>
          <w:tcPr>
            <w:tcW w:w="18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68"/>
        </w:trPr>
        <w:tc>
          <w:tcPr>
            <w:tcW w:w="8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10.8</w:t>
            </w: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300" w:type="dxa"/>
            <w:vAlign w:val="bottom"/>
            <w:gridSpan w:val="45"/>
          </w:tcPr>
          <w:p>
            <w:pPr>
              <w:spacing w:after="0"/>
              <w:rPr>
                <w:sz w:val="20"/>
                <w:szCs w:val="20"/>
                <w:color w:val="auto"/>
              </w:rPr>
            </w:pPr>
            <w:r>
              <w:rPr>
                <w:rFonts w:ascii="Times New Roman" w:cs="Times New Roman" w:eastAsia="Times New Roman" w:hAnsi="Times New Roman"/>
                <w:sz w:val="20"/>
                <w:szCs w:val="20"/>
                <w:color w:val="1C2790"/>
              </w:rPr>
              <w:t>Seventh Amendment to Credit Agreement and Limited Consent and Waiver, dated May 9, 2025 by and among</w:t>
            </w:r>
          </w:p>
        </w:tc>
      </w:tr>
      <w:tr>
        <w:trPr>
          <w:trHeight w:val="203"/>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40" w:type="dxa"/>
            <w:vAlign w:val="bottom"/>
            <w:tcBorders>
              <w:top w:val="single" w:sz="8" w:color="1C2790"/>
            </w:tcBorders>
            <w:gridSpan w:val="22"/>
          </w:tcPr>
          <w:p>
            <w:pPr>
              <w:spacing w:after="0" w:line="204" w:lineRule="exact"/>
              <w:rPr>
                <w:sz w:val="20"/>
                <w:szCs w:val="20"/>
                <w:color w:val="auto"/>
              </w:rPr>
            </w:pPr>
            <w:r>
              <w:rPr>
                <w:rFonts w:ascii="Times New Roman" w:cs="Times New Roman" w:eastAsia="Times New Roman" w:hAnsi="Times New Roman"/>
                <w:sz w:val="20"/>
                <w:szCs w:val="20"/>
                <w:color w:val="1C2790"/>
              </w:rPr>
              <w:t>Hydrofarm Holdings Group, Inc., Hydrofarm, LLC, Field 16, LLC, Aurora Innovations, LLC, Innovative</w:t>
            </w:r>
          </w:p>
        </w:tc>
        <w:tc>
          <w:tcPr>
            <w:tcW w:w="40" w:type="dxa"/>
            <w:vAlign w:val="bottom"/>
            <w:gridSpan w:val="2"/>
          </w:tcPr>
          <w:p>
            <w:pPr>
              <w:spacing w:after="0"/>
              <w:rPr>
                <w:sz w:val="17"/>
                <w:szCs w:val="17"/>
                <w:color w:val="auto"/>
              </w:rPr>
            </w:pPr>
          </w:p>
        </w:tc>
        <w:tc>
          <w:tcPr>
            <w:tcW w:w="120" w:type="dxa"/>
            <w:vAlign w:val="bottom"/>
            <w:gridSpan w:val="6"/>
          </w:tcPr>
          <w:p>
            <w:pPr>
              <w:spacing w:after="0"/>
              <w:rPr>
                <w:sz w:val="17"/>
                <w:szCs w:val="17"/>
                <w:color w:val="auto"/>
              </w:rPr>
            </w:pPr>
          </w:p>
        </w:tc>
        <w:tc>
          <w:tcPr>
            <w:tcW w:w="40" w:type="dxa"/>
            <w:vAlign w:val="bottom"/>
            <w:gridSpan w:val="2"/>
          </w:tcPr>
          <w:p>
            <w:pPr>
              <w:spacing w:after="0"/>
              <w:rPr>
                <w:sz w:val="17"/>
                <w:szCs w:val="17"/>
                <w:color w:val="auto"/>
              </w:rPr>
            </w:pPr>
          </w:p>
        </w:tc>
        <w:tc>
          <w:tcPr>
            <w:tcW w:w="40" w:type="dxa"/>
            <w:vAlign w:val="bottom"/>
            <w:gridSpan w:val="2"/>
          </w:tcPr>
          <w:p>
            <w:pPr>
              <w:spacing w:after="0"/>
              <w:rPr>
                <w:sz w:val="17"/>
                <w:szCs w:val="17"/>
                <w:color w:val="auto"/>
              </w:rPr>
            </w:pPr>
          </w:p>
        </w:tc>
        <w:tc>
          <w:tcPr>
            <w:tcW w:w="60" w:type="dxa"/>
            <w:vAlign w:val="bottom"/>
            <w:gridSpan w:val="3"/>
          </w:tcPr>
          <w:p>
            <w:pPr>
              <w:spacing w:after="0"/>
              <w:rPr>
                <w:sz w:val="17"/>
                <w:szCs w:val="17"/>
                <w:color w:val="auto"/>
              </w:rPr>
            </w:pPr>
          </w:p>
        </w:tc>
        <w:tc>
          <w:tcPr>
            <w:tcW w:w="160" w:type="dxa"/>
            <w:vAlign w:val="bottom"/>
            <w:gridSpan w:val="8"/>
          </w:tcPr>
          <w:p>
            <w:pPr>
              <w:spacing w:after="0"/>
              <w:rPr>
                <w:sz w:val="17"/>
                <w:szCs w:val="17"/>
                <w:color w:val="auto"/>
              </w:rPr>
            </w:pPr>
          </w:p>
        </w:tc>
      </w:tr>
      <w:tr>
        <w:trPr>
          <w:trHeight w:val="204"/>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20" w:type="dxa"/>
            <w:vAlign w:val="bottom"/>
            <w:tcBorders>
              <w:top w:val="single" w:sz="8" w:color="1C2790"/>
            </w:tcBorders>
            <w:gridSpan w:val="7"/>
          </w:tcPr>
          <w:p>
            <w:pPr>
              <w:spacing w:after="0" w:line="205" w:lineRule="exact"/>
              <w:rPr>
                <w:sz w:val="20"/>
                <w:szCs w:val="20"/>
                <w:color w:val="auto"/>
              </w:rPr>
            </w:pPr>
            <w:r>
              <w:rPr>
                <w:rFonts w:ascii="Times New Roman" w:cs="Times New Roman" w:eastAsia="Times New Roman" w:hAnsi="Times New Roman"/>
                <w:sz w:val="20"/>
                <w:szCs w:val="20"/>
                <w:color w:val="1C2790"/>
              </w:rPr>
              <w:t>Growers Equipment, Inc., Manufacturing &amp; Supply Chain Services, Inc., Hydrofarm Investment Corp.,</w:t>
            </w:r>
          </w:p>
        </w:tc>
        <w:tc>
          <w:tcPr>
            <w:tcW w:w="20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gridSpan w:val="12"/>
          </w:tcPr>
          <w:p>
            <w:pPr>
              <w:spacing w:after="0"/>
              <w:rPr>
                <w:sz w:val="17"/>
                <w:szCs w:val="17"/>
                <w:color w:val="auto"/>
              </w:rPr>
            </w:pPr>
          </w:p>
        </w:tc>
        <w:tc>
          <w:tcPr>
            <w:tcW w:w="120" w:type="dxa"/>
            <w:vAlign w:val="bottom"/>
            <w:gridSpan w:val="6"/>
          </w:tcPr>
          <w:p>
            <w:pPr>
              <w:spacing w:after="0"/>
              <w:rPr>
                <w:sz w:val="17"/>
                <w:szCs w:val="17"/>
                <w:color w:val="auto"/>
              </w:rPr>
            </w:pPr>
          </w:p>
        </w:tc>
        <w:tc>
          <w:tcPr>
            <w:tcW w:w="40" w:type="dxa"/>
            <w:vAlign w:val="bottom"/>
            <w:gridSpan w:val="2"/>
          </w:tcPr>
          <w:p>
            <w:pPr>
              <w:spacing w:after="0"/>
              <w:rPr>
                <w:sz w:val="17"/>
                <w:szCs w:val="17"/>
                <w:color w:val="auto"/>
              </w:rPr>
            </w:pPr>
          </w:p>
        </w:tc>
        <w:tc>
          <w:tcPr>
            <w:tcW w:w="40" w:type="dxa"/>
            <w:vAlign w:val="bottom"/>
            <w:gridSpan w:val="2"/>
          </w:tcPr>
          <w:p>
            <w:pPr>
              <w:spacing w:after="0"/>
              <w:rPr>
                <w:sz w:val="17"/>
                <w:szCs w:val="17"/>
                <w:color w:val="auto"/>
              </w:rPr>
            </w:pPr>
          </w:p>
        </w:tc>
        <w:tc>
          <w:tcPr>
            <w:tcW w:w="60" w:type="dxa"/>
            <w:vAlign w:val="bottom"/>
            <w:gridSpan w:val="3"/>
          </w:tcPr>
          <w:p>
            <w:pPr>
              <w:spacing w:after="0"/>
              <w:rPr>
                <w:sz w:val="17"/>
                <w:szCs w:val="17"/>
                <w:color w:val="auto"/>
              </w:rPr>
            </w:pPr>
          </w:p>
        </w:tc>
        <w:tc>
          <w:tcPr>
            <w:tcW w:w="160" w:type="dxa"/>
            <w:vAlign w:val="bottom"/>
            <w:gridSpan w:val="8"/>
          </w:tcPr>
          <w:p>
            <w:pPr>
              <w:spacing w:after="0"/>
              <w:rPr>
                <w:sz w:val="17"/>
                <w:szCs w:val="17"/>
                <w:color w:val="auto"/>
              </w:rPr>
            </w:pPr>
          </w:p>
        </w:tc>
      </w:tr>
      <w:tr>
        <w:trPr>
          <w:trHeight w:val="204"/>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340" w:type="dxa"/>
            <w:vAlign w:val="bottom"/>
            <w:tcBorders>
              <w:top w:val="single" w:sz="8" w:color="1C2790"/>
            </w:tcBorders>
            <w:gridSpan w:val="6"/>
          </w:tcPr>
          <w:p>
            <w:pPr>
              <w:spacing w:after="0" w:line="205" w:lineRule="exact"/>
              <w:rPr>
                <w:sz w:val="20"/>
                <w:szCs w:val="20"/>
                <w:color w:val="auto"/>
              </w:rPr>
            </w:pPr>
            <w:r>
              <w:rPr>
                <w:rFonts w:ascii="Times New Roman" w:cs="Times New Roman" w:eastAsia="Times New Roman" w:hAnsi="Times New Roman"/>
                <w:sz w:val="20"/>
                <w:szCs w:val="20"/>
                <w:color w:val="1C2790"/>
                <w:w w:val="99"/>
              </w:rPr>
              <w:t>Hydrofarm Holdings LLC, EHH Holdings, LLC, Sunblaster LLC, Hydrofarm Canada, LLC, Sunblaster</w:t>
            </w:r>
          </w:p>
        </w:tc>
        <w:tc>
          <w:tcPr>
            <w:tcW w:w="960" w:type="dxa"/>
            <w:vAlign w:val="bottom"/>
            <w:gridSpan w:val="39"/>
          </w:tcPr>
          <w:p>
            <w:pPr>
              <w:jc w:val="center"/>
              <w:ind w:right="200"/>
              <w:spacing w:after="0" w:line="205" w:lineRule="exact"/>
              <w:rPr>
                <w:sz w:val="20"/>
                <w:szCs w:val="20"/>
                <w:color w:val="auto"/>
              </w:rPr>
            </w:pPr>
            <w:r>
              <w:rPr>
                <w:rFonts w:ascii="Times New Roman" w:cs="Times New Roman" w:eastAsia="Times New Roman" w:hAnsi="Times New Roman"/>
                <w:sz w:val="20"/>
                <w:szCs w:val="20"/>
                <w:color w:val="1C2790"/>
                <w:w w:val="98"/>
              </w:rPr>
              <w:t>Holdings</w:t>
            </w:r>
          </w:p>
        </w:tc>
      </w:tr>
      <w:tr>
        <w:trPr>
          <w:trHeight w:val="204"/>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40" w:type="dxa"/>
            <w:vAlign w:val="bottom"/>
            <w:tcBorders>
              <w:top w:val="single" w:sz="8" w:color="1C2790"/>
              <w:bottom w:val="single" w:sz="8" w:color="1C2790"/>
            </w:tcBorders>
            <w:gridSpan w:val="12"/>
          </w:tcPr>
          <w:p>
            <w:pPr>
              <w:spacing w:after="0" w:line="205" w:lineRule="exact"/>
              <w:rPr>
                <w:sz w:val="20"/>
                <w:szCs w:val="20"/>
                <w:color w:val="auto"/>
              </w:rPr>
            </w:pPr>
            <w:r>
              <w:rPr>
                <w:rFonts w:ascii="Times New Roman" w:cs="Times New Roman" w:eastAsia="Times New Roman" w:hAnsi="Times New Roman"/>
                <w:sz w:val="20"/>
                <w:szCs w:val="20"/>
                <w:color w:val="1C2790"/>
                <w:w w:val="99"/>
              </w:rPr>
              <w:t>ULC, Eddi’s Wholesale Garden Supplies Ltd., House &amp; Garden Holdings, LLC, Aurora International, LLC,</w:t>
            </w:r>
          </w:p>
        </w:tc>
        <w:tc>
          <w:tcPr>
            <w:tcW w:w="640" w:type="dxa"/>
            <w:vAlign w:val="bottom"/>
            <w:tcBorders>
              <w:top w:val="single" w:sz="8" w:color="1C2790"/>
            </w:tcBorders>
            <w:gridSpan w:val="32"/>
          </w:tcPr>
          <w:p>
            <w:pPr>
              <w:spacing w:after="0"/>
              <w:rPr>
                <w:sz w:val="17"/>
                <w:szCs w:val="17"/>
                <w:color w:val="auto"/>
              </w:rPr>
            </w:pPr>
          </w:p>
        </w:tc>
        <w:tc>
          <w:tcPr>
            <w:tcW w:w="20" w:type="dxa"/>
            <w:vAlign w:val="bottom"/>
          </w:tcPr>
          <w:p>
            <w:pPr>
              <w:spacing w:after="0"/>
              <w:rPr>
                <w:sz w:val="17"/>
                <w:szCs w:val="17"/>
                <w:color w:val="auto"/>
              </w:rPr>
            </w:pPr>
          </w:p>
        </w:tc>
      </w:tr>
      <w:tr>
        <w:trPr>
          <w:trHeight w:val="204"/>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300" w:type="dxa"/>
            <w:vAlign w:val="bottom"/>
            <w:gridSpan w:val="45"/>
          </w:tcPr>
          <w:p>
            <w:pPr>
              <w:spacing w:after="0" w:line="205" w:lineRule="exact"/>
              <w:rPr>
                <w:sz w:val="20"/>
                <w:szCs w:val="20"/>
                <w:color w:val="auto"/>
              </w:rPr>
            </w:pPr>
            <w:r>
              <w:rPr>
                <w:rFonts w:ascii="Times New Roman" w:cs="Times New Roman" w:eastAsia="Times New Roman" w:hAnsi="Times New Roman"/>
                <w:sz w:val="20"/>
                <w:szCs w:val="20"/>
                <w:color w:val="1C2790"/>
              </w:rPr>
              <w:t>Aurora Peat Products ULC, Greenstar Plant Products Inc., Innovative Ag Installation, Inc., Innovative Racking</w:t>
            </w:r>
          </w:p>
        </w:tc>
      </w:tr>
      <w:tr>
        <w:trPr>
          <w:trHeight w:val="203"/>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20" w:type="dxa"/>
            <w:vAlign w:val="bottom"/>
            <w:tcBorders>
              <w:top w:val="single" w:sz="8" w:color="1C2790"/>
              <w:bottom w:val="single" w:sz="8" w:color="1C2790"/>
            </w:tcBorders>
            <w:gridSpan w:val="11"/>
          </w:tcPr>
          <w:p>
            <w:pPr>
              <w:spacing w:after="0" w:line="204" w:lineRule="exact"/>
              <w:rPr>
                <w:sz w:val="20"/>
                <w:szCs w:val="20"/>
                <w:color w:val="auto"/>
              </w:rPr>
            </w:pPr>
            <w:r>
              <w:rPr>
                <w:rFonts w:ascii="Times New Roman" w:cs="Times New Roman" w:eastAsia="Times New Roman" w:hAnsi="Times New Roman"/>
                <w:sz w:val="20"/>
                <w:szCs w:val="20"/>
                <w:color w:val="1C2790"/>
                <w:w w:val="99"/>
              </w:rPr>
              <w:t>Systems, Inc., Innovative Shipping Solutions, Inc., Innovative Growers Equipment Canada, Inc., JPMorgan</w:t>
            </w:r>
          </w:p>
        </w:tc>
        <w:tc>
          <w:tcPr>
            <w:tcW w:w="260" w:type="dxa"/>
            <w:vAlign w:val="bottom"/>
            <w:tcBorders>
              <w:top w:val="single" w:sz="8" w:color="1C2790"/>
            </w:tcBorders>
            <w:gridSpan w:val="13"/>
          </w:tcPr>
          <w:p>
            <w:pPr>
              <w:spacing w:after="0"/>
              <w:rPr>
                <w:sz w:val="17"/>
                <w:szCs w:val="17"/>
                <w:color w:val="auto"/>
              </w:rPr>
            </w:pPr>
          </w:p>
        </w:tc>
        <w:tc>
          <w:tcPr>
            <w:tcW w:w="120" w:type="dxa"/>
            <w:vAlign w:val="bottom"/>
            <w:gridSpan w:val="6"/>
          </w:tcPr>
          <w:p>
            <w:pPr>
              <w:spacing w:after="0"/>
              <w:rPr>
                <w:sz w:val="17"/>
                <w:szCs w:val="17"/>
                <w:color w:val="auto"/>
              </w:rPr>
            </w:pPr>
          </w:p>
        </w:tc>
        <w:tc>
          <w:tcPr>
            <w:tcW w:w="40" w:type="dxa"/>
            <w:vAlign w:val="bottom"/>
            <w:gridSpan w:val="2"/>
          </w:tcPr>
          <w:p>
            <w:pPr>
              <w:spacing w:after="0"/>
              <w:rPr>
                <w:sz w:val="17"/>
                <w:szCs w:val="17"/>
                <w:color w:val="auto"/>
              </w:rPr>
            </w:pPr>
          </w:p>
        </w:tc>
        <w:tc>
          <w:tcPr>
            <w:tcW w:w="40" w:type="dxa"/>
            <w:vAlign w:val="bottom"/>
            <w:gridSpan w:val="2"/>
          </w:tcPr>
          <w:p>
            <w:pPr>
              <w:spacing w:after="0"/>
              <w:rPr>
                <w:sz w:val="17"/>
                <w:szCs w:val="17"/>
                <w:color w:val="auto"/>
              </w:rPr>
            </w:pPr>
          </w:p>
        </w:tc>
        <w:tc>
          <w:tcPr>
            <w:tcW w:w="60" w:type="dxa"/>
            <w:vAlign w:val="bottom"/>
            <w:gridSpan w:val="3"/>
          </w:tcPr>
          <w:p>
            <w:pPr>
              <w:spacing w:after="0"/>
              <w:rPr>
                <w:sz w:val="17"/>
                <w:szCs w:val="17"/>
                <w:color w:val="auto"/>
              </w:rPr>
            </w:pPr>
          </w:p>
        </w:tc>
        <w:tc>
          <w:tcPr>
            <w:tcW w:w="160" w:type="dxa"/>
            <w:vAlign w:val="bottom"/>
            <w:gridSpan w:val="8"/>
          </w:tcPr>
          <w:p>
            <w:pPr>
              <w:spacing w:after="0"/>
              <w:rPr>
                <w:sz w:val="17"/>
                <w:szCs w:val="17"/>
                <w:color w:val="auto"/>
              </w:rPr>
            </w:pPr>
          </w:p>
        </w:tc>
      </w:tr>
      <w:tr>
        <w:trPr>
          <w:trHeight w:val="204"/>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300" w:type="dxa"/>
            <w:vAlign w:val="bottom"/>
            <w:gridSpan w:val="45"/>
          </w:tcPr>
          <w:p>
            <w:pPr>
              <w:spacing w:after="0" w:line="205" w:lineRule="exact"/>
              <w:rPr>
                <w:sz w:val="20"/>
                <w:szCs w:val="20"/>
                <w:color w:val="auto"/>
              </w:rPr>
            </w:pPr>
            <w:r>
              <w:rPr>
                <w:rFonts w:ascii="Times New Roman" w:cs="Times New Roman" w:eastAsia="Times New Roman" w:hAnsi="Times New Roman"/>
                <w:sz w:val="20"/>
                <w:szCs w:val="20"/>
                <w:color w:val="1C2790"/>
              </w:rPr>
              <w:t>Chase Bank, N.A. and JPMorgan Chase Bank, N.A (incorporated by reference to Exhibit 10.3 of the Company's</w:t>
            </w:r>
          </w:p>
        </w:tc>
      </w:tr>
      <w:tr>
        <w:trPr>
          <w:trHeight w:val="204"/>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40" w:type="dxa"/>
            <w:vAlign w:val="bottom"/>
            <w:tcBorders>
              <w:top w:val="single" w:sz="8" w:color="1C2790"/>
            </w:tcBorders>
            <w:gridSpan w:val="32"/>
          </w:tcPr>
          <w:p>
            <w:pPr>
              <w:spacing w:after="0" w:line="205" w:lineRule="exact"/>
              <w:rPr>
                <w:sz w:val="20"/>
                <w:szCs w:val="20"/>
                <w:color w:val="auto"/>
              </w:rPr>
            </w:pPr>
            <w:r>
              <w:rPr>
                <w:rFonts w:ascii="Times New Roman" w:cs="Times New Roman" w:eastAsia="Times New Roman" w:hAnsi="Times New Roman"/>
                <w:sz w:val="20"/>
                <w:szCs w:val="20"/>
                <w:color w:val="1C2790"/>
              </w:rPr>
              <w:t>Form 10-Q filed with the SEC on May 13, 2025).</w:t>
            </w:r>
          </w:p>
        </w:tc>
        <w:tc>
          <w:tcPr>
            <w:tcW w:w="40" w:type="dxa"/>
            <w:vAlign w:val="bottom"/>
            <w:gridSpan w:val="2"/>
          </w:tcPr>
          <w:p>
            <w:pPr>
              <w:spacing w:after="0"/>
              <w:rPr>
                <w:sz w:val="17"/>
                <w:szCs w:val="17"/>
                <w:color w:val="auto"/>
              </w:rPr>
            </w:pPr>
          </w:p>
        </w:tc>
        <w:tc>
          <w:tcPr>
            <w:tcW w:w="60" w:type="dxa"/>
            <w:vAlign w:val="bottom"/>
            <w:gridSpan w:val="3"/>
          </w:tcPr>
          <w:p>
            <w:pPr>
              <w:spacing w:after="0"/>
              <w:rPr>
                <w:sz w:val="17"/>
                <w:szCs w:val="17"/>
                <w:color w:val="auto"/>
              </w:rPr>
            </w:pPr>
          </w:p>
        </w:tc>
        <w:tc>
          <w:tcPr>
            <w:tcW w:w="160" w:type="dxa"/>
            <w:vAlign w:val="bottom"/>
            <w:gridSpan w:val="8"/>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60" w:type="dxa"/>
            <w:vAlign w:val="bottom"/>
            <w:gridSpan w:val="3"/>
            <w:shd w:val="clear" w:color="auto" w:fill="1C2790"/>
          </w:tcPr>
          <w:p>
            <w:pPr>
              <w:spacing w:after="0" w:line="20" w:lineRule="exact"/>
              <w:rPr>
                <w:sz w:val="1"/>
                <w:szCs w:val="1"/>
                <w:color w:val="auto"/>
              </w:rPr>
            </w:pPr>
          </w:p>
        </w:tc>
        <w:tc>
          <w:tcPr>
            <w:tcW w:w="5040" w:type="dxa"/>
            <w:vAlign w:val="bottom"/>
            <w:gridSpan w:val="2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268"/>
        </w:trPr>
        <w:tc>
          <w:tcPr>
            <w:tcW w:w="8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10.9+</w:t>
            </w: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300" w:type="dxa"/>
            <w:vAlign w:val="bottom"/>
            <w:gridSpan w:val="45"/>
          </w:tcPr>
          <w:p>
            <w:pPr>
              <w:spacing w:after="0"/>
              <w:rPr>
                <w:sz w:val="20"/>
                <w:szCs w:val="20"/>
                <w:color w:val="auto"/>
              </w:rPr>
            </w:pPr>
            <w:r>
              <w:rPr>
                <w:rFonts w:ascii="Times New Roman" w:cs="Times New Roman" w:eastAsia="Times New Roman" w:hAnsi="Times New Roman"/>
                <w:sz w:val="20"/>
                <w:szCs w:val="20"/>
                <w:color w:val="1C2790"/>
              </w:rPr>
              <w:t>Credit and Guaranty Agreement, dated as of October 25, 2021, by and among Hydrofarm Holdings Group, Inc.,</w:t>
            </w:r>
          </w:p>
        </w:tc>
      </w:tr>
      <w:tr>
        <w:trPr>
          <w:trHeight w:val="203"/>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tcBorders>
              <w:top w:val="single" w:sz="8" w:color="1C2790"/>
              <w:bottom w:val="single" w:sz="8" w:color="1C2790"/>
            </w:tcBorders>
            <w:gridSpan w:val="30"/>
          </w:tcPr>
          <w:p>
            <w:pPr>
              <w:spacing w:after="0" w:line="204" w:lineRule="exact"/>
              <w:rPr>
                <w:sz w:val="20"/>
                <w:szCs w:val="20"/>
                <w:color w:val="auto"/>
              </w:rPr>
            </w:pPr>
            <w:r>
              <w:rPr>
                <w:rFonts w:ascii="Times New Roman" w:cs="Times New Roman" w:eastAsia="Times New Roman" w:hAnsi="Times New Roman"/>
                <w:sz w:val="20"/>
                <w:szCs w:val="20"/>
                <w:color w:val="1C2790"/>
                <w:w w:val="99"/>
              </w:rPr>
              <w:t>the other credit parties party thereto, the lenders party thereto and JPMorgan Chase Bank, N.A. (incorporated by</w:t>
            </w:r>
          </w:p>
        </w:tc>
        <w:tc>
          <w:tcPr>
            <w:tcW w:w="80" w:type="dxa"/>
            <w:vAlign w:val="bottom"/>
            <w:tcBorders>
              <w:bottom w:val="single" w:sz="8" w:color="1C2790"/>
            </w:tcBorders>
            <w:gridSpan w:val="4"/>
          </w:tcPr>
          <w:p>
            <w:pPr>
              <w:spacing w:after="0"/>
              <w:rPr>
                <w:sz w:val="17"/>
                <w:szCs w:val="17"/>
                <w:color w:val="auto"/>
              </w:rPr>
            </w:pPr>
          </w:p>
        </w:tc>
        <w:tc>
          <w:tcPr>
            <w:tcW w:w="60" w:type="dxa"/>
            <w:vAlign w:val="bottom"/>
            <w:gridSpan w:val="3"/>
          </w:tcPr>
          <w:p>
            <w:pPr>
              <w:spacing w:after="0"/>
              <w:rPr>
                <w:sz w:val="17"/>
                <w:szCs w:val="17"/>
                <w:color w:val="auto"/>
              </w:rPr>
            </w:pPr>
          </w:p>
        </w:tc>
        <w:tc>
          <w:tcPr>
            <w:tcW w:w="160" w:type="dxa"/>
            <w:vAlign w:val="bottom"/>
            <w:gridSpan w:val="8"/>
          </w:tcPr>
          <w:p>
            <w:pPr>
              <w:spacing w:after="0"/>
              <w:rPr>
                <w:sz w:val="17"/>
                <w:szCs w:val="17"/>
                <w:color w:val="auto"/>
              </w:rPr>
            </w:pPr>
          </w:p>
        </w:tc>
      </w:tr>
      <w:tr>
        <w:trPr>
          <w:trHeight w:val="204"/>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80" w:type="dxa"/>
            <w:vAlign w:val="bottom"/>
            <w:tcBorders>
              <w:bottom w:val="single" w:sz="8" w:color="1C2790"/>
            </w:tcBorders>
            <w:gridSpan w:val="34"/>
          </w:tcPr>
          <w:p>
            <w:pPr>
              <w:spacing w:after="0" w:line="205" w:lineRule="exact"/>
              <w:rPr>
                <w:sz w:val="20"/>
                <w:szCs w:val="20"/>
                <w:color w:val="auto"/>
              </w:rPr>
            </w:pPr>
            <w:r>
              <w:rPr>
                <w:rFonts w:ascii="Times New Roman" w:cs="Times New Roman" w:eastAsia="Times New Roman" w:hAnsi="Times New Roman"/>
                <w:sz w:val="20"/>
                <w:szCs w:val="20"/>
                <w:color w:val="1C2790"/>
              </w:rPr>
              <w:t>reference to Exhibit 10.3 of the Company’s Quarterly Report on Form 10-Q filed with the SEC on November 15,</w:t>
            </w:r>
          </w:p>
        </w:tc>
        <w:tc>
          <w:tcPr>
            <w:tcW w:w="60" w:type="dxa"/>
            <w:vAlign w:val="bottom"/>
            <w:tcBorders>
              <w:bottom w:val="single" w:sz="8" w:color="1C2790"/>
            </w:tcBorders>
            <w:gridSpan w:val="3"/>
          </w:tcPr>
          <w:p>
            <w:pPr>
              <w:spacing w:after="0"/>
              <w:rPr>
                <w:sz w:val="17"/>
                <w:szCs w:val="17"/>
                <w:color w:val="auto"/>
              </w:rPr>
            </w:pPr>
          </w:p>
        </w:tc>
        <w:tc>
          <w:tcPr>
            <w:tcW w:w="20" w:type="dxa"/>
            <w:vAlign w:val="bottom"/>
            <w:tcBorders>
              <w:bottom w:val="single" w:sz="8" w:color="1C2790"/>
            </w:tcBorders>
          </w:tcPr>
          <w:p>
            <w:pPr>
              <w:spacing w:after="0"/>
              <w:rPr>
                <w:sz w:val="17"/>
                <w:szCs w:val="17"/>
                <w:color w:val="auto"/>
              </w:rPr>
            </w:pPr>
          </w:p>
        </w:tc>
        <w:tc>
          <w:tcPr>
            <w:tcW w:w="140" w:type="dxa"/>
            <w:vAlign w:val="bottom"/>
            <w:gridSpan w:val="7"/>
          </w:tcPr>
          <w:p>
            <w:pPr>
              <w:spacing w:after="0"/>
              <w:rPr>
                <w:sz w:val="17"/>
                <w:szCs w:val="17"/>
                <w:color w:val="auto"/>
              </w:rPr>
            </w:pPr>
          </w:p>
        </w:tc>
      </w:tr>
    </w:tbl>
    <w:p>
      <w:pPr>
        <w:spacing w:after="0" w:line="200" w:lineRule="exact"/>
        <w:rPr>
          <w:sz w:val="20"/>
          <w:szCs w:val="20"/>
          <w:color w:val="auto"/>
        </w:rPr>
      </w:pPr>
    </w:p>
    <w:p>
      <w:pPr>
        <w:sectPr>
          <w:pgSz w:w="12240" w:h="15840" w:orient="portrait"/>
          <w:cols w:equalWidth="0" w:num="1">
            <w:col w:w="10260"/>
          </w:cols>
          <w:pgMar w:left="940" w:top="430" w:right="1040" w:bottom="0" w:gutter="0" w:footer="0" w:header="0"/>
        </w:sectPr>
      </w:pPr>
    </w:p>
    <w:p>
      <w:pPr>
        <w:spacing w:after="0" w:line="256"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20"/>
          <w:szCs w:val="20"/>
          <w:color w:val="auto"/>
        </w:rPr>
        <w:t>97</w:t>
      </w:r>
    </w:p>
    <w:p>
      <w:pPr>
        <w:sectPr>
          <w:pgSz w:w="12240" w:h="15840" w:orient="portrait"/>
          <w:cols w:equalWidth="0" w:num="1">
            <w:col w:w="10260"/>
          </w:cols>
          <w:pgMar w:left="940" w:top="430" w:right="1040" w:bottom="0" w:gutter="0" w:footer="0" w:header="0"/>
          <w:type w:val="continuous"/>
        </w:sectPr>
      </w:pPr>
    </w:p>
    <w:bookmarkStart w:id="99" w:name="page100"/>
    <w:bookmarkEnd w:id="99"/>
    <w:p>
      <w:pPr>
        <w:ind w:left="60"/>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160" w:type="dxa"/>
            <w:vAlign w:val="bottom"/>
            <w:tcBorders>
              <w:bottom w:val="single" w:sz="8" w:color="auto"/>
            </w:tcBorders>
            <w:gridSpan w:val="38"/>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420"/>
        </w:trPr>
        <w:tc>
          <w:tcPr>
            <w:tcW w:w="86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520" w:type="dxa"/>
            <w:vAlign w:val="bottom"/>
            <w:tcBorders>
              <w:bottom w:val="single" w:sz="8" w:color="1C2790"/>
            </w:tcBorders>
          </w:tcPr>
          <w:p>
            <w:pPr>
              <w:spacing w:after="0"/>
              <w:rPr>
                <w:sz w:val="20"/>
                <w:szCs w:val="20"/>
                <w:color w:val="auto"/>
              </w:rPr>
            </w:pPr>
            <w:r>
              <w:rPr>
                <w:rFonts w:ascii="Times New Roman" w:cs="Times New Roman" w:eastAsia="Times New Roman" w:hAnsi="Times New Roman"/>
                <w:sz w:val="20"/>
                <w:szCs w:val="20"/>
                <w:color w:val="1C2790"/>
                <w:w w:val="96"/>
              </w:rPr>
              <w:t>2021).</w:t>
            </w: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7"/>
        </w:trPr>
        <w:tc>
          <w:tcPr>
            <w:tcW w:w="8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10.10</w:t>
            </w: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160" w:type="dxa"/>
            <w:vAlign w:val="bottom"/>
            <w:gridSpan w:val="38"/>
          </w:tcPr>
          <w:p>
            <w:pPr>
              <w:spacing w:after="0"/>
              <w:rPr>
                <w:sz w:val="20"/>
                <w:szCs w:val="20"/>
                <w:color w:val="auto"/>
              </w:rPr>
            </w:pPr>
            <w:r>
              <w:rPr>
                <w:rFonts w:ascii="Times New Roman" w:cs="Times New Roman" w:eastAsia="Times New Roman" w:hAnsi="Times New Roman"/>
                <w:sz w:val="20"/>
                <w:szCs w:val="20"/>
                <w:color w:val="1C2790"/>
              </w:rPr>
              <w:t>Amendment No. 1 to Credit and Guaranty Agreement, dated as of June 27, 2023, by and among Hydrofarm</w:t>
            </w:r>
          </w:p>
        </w:tc>
      </w:tr>
      <w:tr>
        <w:trPr>
          <w:trHeight w:val="204"/>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20" w:type="dxa"/>
            <w:vAlign w:val="bottom"/>
            <w:tcBorders>
              <w:top w:val="single" w:sz="8" w:color="1C2790"/>
            </w:tcBorders>
            <w:gridSpan w:val="20"/>
          </w:tcPr>
          <w:p>
            <w:pPr>
              <w:spacing w:after="0" w:line="205" w:lineRule="exact"/>
              <w:rPr>
                <w:sz w:val="20"/>
                <w:szCs w:val="20"/>
                <w:color w:val="auto"/>
              </w:rPr>
            </w:pPr>
            <w:r>
              <w:rPr>
                <w:rFonts w:ascii="Times New Roman" w:cs="Times New Roman" w:eastAsia="Times New Roman" w:hAnsi="Times New Roman"/>
                <w:sz w:val="20"/>
                <w:szCs w:val="20"/>
                <w:color w:val="1C2790"/>
              </w:rPr>
              <w:t>Holdings Group, Inc., the subsidiaries of Hydrofarm Holdings Group, Inc. party thereto from time to time,</w:t>
            </w:r>
          </w:p>
        </w:tc>
        <w:tc>
          <w:tcPr>
            <w:tcW w:w="540" w:type="dxa"/>
            <w:vAlign w:val="bottom"/>
            <w:gridSpan w:val="18"/>
          </w:tcPr>
          <w:p>
            <w:pPr>
              <w:spacing w:after="0" w:line="205" w:lineRule="exact"/>
              <w:rPr>
                <w:sz w:val="20"/>
                <w:szCs w:val="20"/>
                <w:color w:val="auto"/>
              </w:rPr>
            </w:pPr>
            <w:r>
              <w:rPr>
                <w:rFonts w:ascii="Times New Roman" w:cs="Times New Roman" w:eastAsia="Times New Roman" w:hAnsi="Times New Roman"/>
                <w:sz w:val="20"/>
                <w:szCs w:val="20"/>
                <w:color w:val="1C2790"/>
              </w:rPr>
              <w:t>the</w:t>
            </w:r>
          </w:p>
        </w:tc>
      </w:tr>
      <w:tr>
        <w:trPr>
          <w:trHeight w:val="204"/>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20" w:type="dxa"/>
            <w:vAlign w:val="bottom"/>
            <w:tcBorders>
              <w:top w:val="single" w:sz="8" w:color="1C2790"/>
            </w:tcBorders>
            <w:gridSpan w:val="26"/>
          </w:tcPr>
          <w:p>
            <w:pPr>
              <w:spacing w:after="0" w:line="205" w:lineRule="exact"/>
              <w:rPr>
                <w:sz w:val="20"/>
                <w:szCs w:val="20"/>
                <w:color w:val="auto"/>
              </w:rPr>
            </w:pPr>
            <w:r>
              <w:rPr>
                <w:rFonts w:ascii="Times New Roman" w:cs="Times New Roman" w:eastAsia="Times New Roman" w:hAnsi="Times New Roman"/>
                <w:sz w:val="20"/>
                <w:szCs w:val="20"/>
                <w:color w:val="1C2790"/>
              </w:rPr>
              <w:t>lenders party thereto and JP Morgan Chase Bank, N.A., as administrative agent and as collateral Agent.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60" w:type="dxa"/>
            <w:vAlign w:val="bottom"/>
            <w:tcBorders>
              <w:top w:val="single" w:sz="8" w:color="1C2790"/>
            </w:tcBorders>
            <w:gridSpan w:val="16"/>
          </w:tcPr>
          <w:p>
            <w:pPr>
              <w:spacing w:after="0" w:line="204" w:lineRule="exact"/>
              <w:rPr>
                <w:sz w:val="20"/>
                <w:szCs w:val="20"/>
                <w:color w:val="auto"/>
              </w:rPr>
            </w:pPr>
            <w:r>
              <w:rPr>
                <w:rFonts w:ascii="Times New Roman" w:cs="Times New Roman" w:eastAsia="Times New Roman" w:hAnsi="Times New Roman"/>
                <w:sz w:val="20"/>
                <w:szCs w:val="20"/>
                <w:color w:val="1C2790"/>
                <w:w w:val="99"/>
              </w:rPr>
              <w:t>(incorporated by reference to Exhibit 10.1 of the Company’s Current Report on Form 8-K filed with the</w:t>
            </w:r>
          </w:p>
        </w:tc>
        <w:tc>
          <w:tcPr>
            <w:tcW w:w="900" w:type="dxa"/>
            <w:vAlign w:val="bottom"/>
            <w:gridSpan w:val="22"/>
          </w:tcPr>
          <w:p>
            <w:pPr>
              <w:jc w:val="right"/>
              <w:ind w:right="180"/>
              <w:spacing w:after="0" w:line="204" w:lineRule="exact"/>
              <w:rPr>
                <w:sz w:val="20"/>
                <w:szCs w:val="20"/>
                <w:color w:val="auto"/>
              </w:rPr>
            </w:pPr>
            <w:r>
              <w:rPr>
                <w:rFonts w:ascii="Times New Roman" w:cs="Times New Roman" w:eastAsia="Times New Roman" w:hAnsi="Times New Roman"/>
                <w:sz w:val="20"/>
                <w:szCs w:val="20"/>
                <w:color w:val="1C2790"/>
              </w:rPr>
              <w:t>SEC on</w:t>
            </w:r>
          </w:p>
        </w:tc>
      </w:tr>
      <w:tr>
        <w:trPr>
          <w:trHeight w:val="204"/>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980" w:type="dxa"/>
            <w:vAlign w:val="bottom"/>
            <w:tcBorders>
              <w:top w:val="single" w:sz="8" w:color="1C2790"/>
            </w:tcBorders>
            <w:gridSpan w:val="32"/>
          </w:tcPr>
          <w:p>
            <w:pPr>
              <w:spacing w:after="0" w:line="205" w:lineRule="exact"/>
              <w:rPr>
                <w:sz w:val="20"/>
                <w:szCs w:val="20"/>
                <w:color w:val="auto"/>
              </w:rPr>
            </w:pPr>
            <w:r>
              <w:rPr>
                <w:rFonts w:ascii="Times New Roman" w:cs="Times New Roman" w:eastAsia="Times New Roman" w:hAnsi="Times New Roman"/>
                <w:sz w:val="20"/>
                <w:szCs w:val="20"/>
                <w:color w:val="1C2790"/>
              </w:rPr>
              <w:t>July 3, 2023).</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2"/>
            <w:shd w:val="clear" w:color="auto" w:fill="1C279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8"/>
        </w:trPr>
        <w:tc>
          <w:tcPr>
            <w:tcW w:w="8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10.11+</w:t>
            </w: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160" w:type="dxa"/>
            <w:vAlign w:val="bottom"/>
            <w:gridSpan w:val="38"/>
          </w:tcPr>
          <w:p>
            <w:pPr>
              <w:spacing w:after="0"/>
              <w:rPr>
                <w:sz w:val="20"/>
                <w:szCs w:val="20"/>
                <w:color w:val="auto"/>
              </w:rPr>
            </w:pPr>
            <w:r>
              <w:rPr>
                <w:rFonts w:ascii="Times New Roman" w:cs="Times New Roman" w:eastAsia="Times New Roman" w:hAnsi="Times New Roman"/>
                <w:sz w:val="20"/>
                <w:szCs w:val="20"/>
                <w:color w:val="1C2790"/>
              </w:rPr>
              <w:t>Unit Purchase and Contribution Agreement, dated as of April 26, 2021, by and among Hydrofarm Holdings</w:t>
            </w: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gridSpan w:val="3"/>
            <w:shd w:val="clear" w:color="auto" w:fill="1C2790"/>
          </w:tcPr>
          <w:p>
            <w:pPr>
              <w:spacing w:after="0" w:line="20" w:lineRule="exact"/>
              <w:rPr>
                <w:sz w:val="1"/>
                <w:szCs w:val="1"/>
                <w:color w:val="auto"/>
              </w:rPr>
            </w:pPr>
          </w:p>
        </w:tc>
        <w:tc>
          <w:tcPr>
            <w:tcW w:w="80" w:type="dxa"/>
            <w:vAlign w:val="bottom"/>
            <w:tcBorders>
              <w:left w:val="single" w:sz="8" w:color="1C2790"/>
            </w:tcBorders>
            <w:shd w:val="clear" w:color="auto" w:fill="1C2790"/>
          </w:tcPr>
          <w:p>
            <w:pPr>
              <w:spacing w:after="0" w:line="20" w:lineRule="exact"/>
              <w:rPr>
                <w:sz w:val="1"/>
                <w:szCs w:val="1"/>
                <w:color w:val="auto"/>
              </w:rPr>
            </w:pPr>
          </w:p>
        </w:tc>
        <w:tc>
          <w:tcPr>
            <w:tcW w:w="260" w:type="dxa"/>
            <w:vAlign w:val="bottom"/>
            <w:shd w:val="clear" w:color="auto" w:fill="1C2790"/>
          </w:tcPr>
          <w:p>
            <w:pPr>
              <w:spacing w:after="0" w:line="20" w:lineRule="exact"/>
              <w:rPr>
                <w:sz w:val="1"/>
                <w:szCs w:val="1"/>
                <w:color w:val="auto"/>
              </w:rPr>
            </w:pPr>
          </w:p>
        </w:tc>
        <w:tc>
          <w:tcPr>
            <w:tcW w:w="220" w:type="dxa"/>
            <w:vAlign w:val="bottom"/>
            <w:shd w:val="clear" w:color="auto" w:fill="1C2790"/>
          </w:tcPr>
          <w:p>
            <w:pPr>
              <w:spacing w:after="0" w:line="20" w:lineRule="exact"/>
              <w:rPr>
                <w:sz w:val="1"/>
                <w:szCs w:val="1"/>
                <w:color w:val="auto"/>
              </w:rPr>
            </w:pPr>
          </w:p>
        </w:tc>
        <w:tc>
          <w:tcPr>
            <w:tcW w:w="1080" w:type="dxa"/>
            <w:vAlign w:val="bottom"/>
            <w:shd w:val="clear" w:color="auto" w:fill="1C2790"/>
          </w:tcPr>
          <w:p>
            <w:pPr>
              <w:spacing w:after="0" w:line="20" w:lineRule="exact"/>
              <w:rPr>
                <w:sz w:val="1"/>
                <w:szCs w:val="1"/>
                <w:color w:val="auto"/>
              </w:rPr>
            </w:pPr>
          </w:p>
        </w:tc>
        <w:tc>
          <w:tcPr>
            <w:tcW w:w="760" w:type="dxa"/>
            <w:vAlign w:val="bottom"/>
            <w:shd w:val="clear" w:color="auto" w:fill="1C2790"/>
          </w:tcPr>
          <w:p>
            <w:pPr>
              <w:spacing w:after="0" w:line="20" w:lineRule="exact"/>
              <w:rPr>
                <w:sz w:val="1"/>
                <w:szCs w:val="1"/>
                <w:color w:val="auto"/>
              </w:rPr>
            </w:pPr>
          </w:p>
        </w:tc>
        <w:tc>
          <w:tcPr>
            <w:tcW w:w="260" w:type="dxa"/>
            <w:vAlign w:val="bottom"/>
            <w:shd w:val="clear" w:color="auto" w:fill="1C2790"/>
          </w:tcPr>
          <w:p>
            <w:pPr>
              <w:spacing w:after="0" w:line="20" w:lineRule="exact"/>
              <w:rPr>
                <w:sz w:val="1"/>
                <w:szCs w:val="1"/>
                <w:color w:val="auto"/>
              </w:rPr>
            </w:pPr>
          </w:p>
        </w:tc>
        <w:tc>
          <w:tcPr>
            <w:tcW w:w="160" w:type="dxa"/>
            <w:vAlign w:val="bottom"/>
            <w:shd w:val="clear" w:color="auto" w:fill="1C2790"/>
          </w:tcPr>
          <w:p>
            <w:pPr>
              <w:spacing w:after="0" w:line="20" w:lineRule="exact"/>
              <w:rPr>
                <w:sz w:val="1"/>
                <w:szCs w:val="1"/>
                <w:color w:val="auto"/>
              </w:rPr>
            </w:pPr>
          </w:p>
        </w:tc>
        <w:tc>
          <w:tcPr>
            <w:tcW w:w="620" w:type="dxa"/>
            <w:vAlign w:val="bottom"/>
            <w:shd w:val="clear" w:color="auto" w:fill="1C2790"/>
          </w:tcPr>
          <w:p>
            <w:pPr>
              <w:spacing w:after="0" w:line="20" w:lineRule="exact"/>
              <w:rPr>
                <w:sz w:val="1"/>
                <w:szCs w:val="1"/>
                <w:color w:val="auto"/>
              </w:rPr>
            </w:pPr>
          </w:p>
        </w:tc>
        <w:tc>
          <w:tcPr>
            <w:tcW w:w="1340" w:type="dxa"/>
            <w:vAlign w:val="bottom"/>
            <w:shd w:val="clear" w:color="auto" w:fill="1C2790"/>
          </w:tcPr>
          <w:p>
            <w:pPr>
              <w:spacing w:after="0" w:line="20" w:lineRule="exact"/>
              <w:rPr>
                <w:sz w:val="1"/>
                <w:szCs w:val="1"/>
                <w:color w:val="auto"/>
              </w:rPr>
            </w:pPr>
          </w:p>
        </w:tc>
        <w:tc>
          <w:tcPr>
            <w:tcW w:w="400" w:type="dxa"/>
            <w:vAlign w:val="bottom"/>
            <w:shd w:val="clear" w:color="auto" w:fill="1C2790"/>
          </w:tcPr>
          <w:p>
            <w:pPr>
              <w:spacing w:after="0" w:line="20" w:lineRule="exact"/>
              <w:rPr>
                <w:sz w:val="1"/>
                <w:szCs w:val="1"/>
                <w:color w:val="auto"/>
              </w:rPr>
            </w:pPr>
          </w:p>
        </w:tc>
        <w:tc>
          <w:tcPr>
            <w:tcW w:w="1380" w:type="dxa"/>
            <w:vAlign w:val="bottom"/>
            <w:shd w:val="clear" w:color="auto" w:fill="1C2790"/>
          </w:tcPr>
          <w:p>
            <w:pPr>
              <w:spacing w:after="0" w:line="20" w:lineRule="exact"/>
              <w:rPr>
                <w:sz w:val="1"/>
                <w:szCs w:val="1"/>
                <w:color w:val="auto"/>
              </w:rPr>
            </w:pPr>
          </w:p>
        </w:tc>
        <w:tc>
          <w:tcPr>
            <w:tcW w:w="20" w:type="dxa"/>
            <w:vAlign w:val="bottom"/>
            <w:shd w:val="clear" w:color="auto" w:fill="1C2790"/>
          </w:tcPr>
          <w:p>
            <w:pPr>
              <w:spacing w:after="0" w:line="20" w:lineRule="exact"/>
              <w:rPr>
                <w:sz w:val="1"/>
                <w:szCs w:val="1"/>
                <w:color w:val="auto"/>
              </w:rPr>
            </w:pPr>
          </w:p>
        </w:tc>
        <w:tc>
          <w:tcPr>
            <w:tcW w:w="420" w:type="dxa"/>
            <w:vAlign w:val="bottom"/>
            <w:gridSpan w:val="2"/>
            <w:shd w:val="clear" w:color="auto" w:fill="1C2790"/>
          </w:tcPr>
          <w:p>
            <w:pPr>
              <w:spacing w:after="0" w:line="20" w:lineRule="exact"/>
              <w:rPr>
                <w:sz w:val="1"/>
                <w:szCs w:val="1"/>
                <w:color w:val="auto"/>
              </w:rPr>
            </w:pPr>
          </w:p>
        </w:tc>
        <w:tc>
          <w:tcPr>
            <w:tcW w:w="80" w:type="dxa"/>
            <w:vAlign w:val="bottom"/>
            <w:shd w:val="clear" w:color="auto" w:fill="1C2790"/>
          </w:tcPr>
          <w:p>
            <w:pPr>
              <w:spacing w:after="0" w:line="20" w:lineRule="exact"/>
              <w:rPr>
                <w:sz w:val="1"/>
                <w:szCs w:val="1"/>
                <w:color w:val="auto"/>
              </w:rPr>
            </w:pPr>
          </w:p>
        </w:tc>
        <w:tc>
          <w:tcPr>
            <w:tcW w:w="80" w:type="dxa"/>
            <w:vAlign w:val="bottom"/>
            <w:shd w:val="clear" w:color="auto" w:fill="1C279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3"/>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20" w:type="dxa"/>
            <w:vAlign w:val="bottom"/>
            <w:tcBorders>
              <w:bottom w:val="single" w:sz="8" w:color="1C2790"/>
            </w:tcBorders>
            <w:gridSpan w:val="33"/>
          </w:tcPr>
          <w:p>
            <w:pPr>
              <w:spacing w:after="0" w:line="204" w:lineRule="exact"/>
              <w:rPr>
                <w:sz w:val="20"/>
                <w:szCs w:val="20"/>
                <w:color w:val="auto"/>
              </w:rPr>
            </w:pPr>
            <w:r>
              <w:rPr>
                <w:rFonts w:ascii="Times New Roman" w:cs="Times New Roman" w:eastAsia="Times New Roman" w:hAnsi="Times New Roman"/>
                <w:sz w:val="20"/>
                <w:szCs w:val="20"/>
                <w:color w:val="1C2790"/>
                <w:w w:val="99"/>
              </w:rPr>
              <w:t>Group, Inc., Field 16, LLC, F16 Holding LLC and the members of F16 Holding LLC (incorporated by reference</w:t>
            </w:r>
          </w:p>
        </w:tc>
        <w:tc>
          <w:tcPr>
            <w:tcW w:w="140" w:type="dxa"/>
            <w:vAlign w:val="bottom"/>
            <w:gridSpan w:val="5"/>
          </w:tcPr>
          <w:p>
            <w:pPr>
              <w:spacing w:after="0"/>
              <w:rPr>
                <w:sz w:val="17"/>
                <w:szCs w:val="17"/>
                <w:color w:val="auto"/>
              </w:rPr>
            </w:pPr>
          </w:p>
        </w:tc>
      </w:tr>
      <w:tr>
        <w:trPr>
          <w:trHeight w:val="204"/>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160" w:type="dxa"/>
            <w:vAlign w:val="bottom"/>
            <w:gridSpan w:val="38"/>
          </w:tcPr>
          <w:p>
            <w:pPr>
              <w:spacing w:after="0" w:line="205" w:lineRule="exact"/>
              <w:rPr>
                <w:sz w:val="20"/>
                <w:szCs w:val="20"/>
                <w:color w:val="auto"/>
              </w:rPr>
            </w:pPr>
            <w:r>
              <w:rPr>
                <w:rFonts w:ascii="Times New Roman" w:cs="Times New Roman" w:eastAsia="Times New Roman" w:hAnsi="Times New Roman"/>
                <w:sz w:val="20"/>
                <w:szCs w:val="20"/>
                <w:color w:val="1C2790"/>
              </w:rPr>
              <w:t>to Exhibit 10.38 of the Company’s Registration Statement on Form S-1 (File No. 333-255510) filed with the SEC</w:t>
            </w:r>
          </w:p>
        </w:tc>
      </w:tr>
      <w:tr>
        <w:trPr>
          <w:trHeight w:val="204"/>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100" w:type="dxa"/>
            <w:vAlign w:val="bottom"/>
            <w:tcBorders>
              <w:top w:val="single" w:sz="8" w:color="1C2790"/>
            </w:tcBorders>
            <w:gridSpan w:val="36"/>
          </w:tcPr>
          <w:p>
            <w:pPr>
              <w:spacing w:after="0" w:line="205" w:lineRule="exact"/>
              <w:rPr>
                <w:sz w:val="20"/>
                <w:szCs w:val="20"/>
                <w:color w:val="auto"/>
              </w:rPr>
            </w:pPr>
            <w:r>
              <w:rPr>
                <w:rFonts w:ascii="Times New Roman" w:cs="Times New Roman" w:eastAsia="Times New Roman" w:hAnsi="Times New Roman"/>
                <w:sz w:val="20"/>
                <w:szCs w:val="20"/>
                <w:color w:val="1C2790"/>
              </w:rPr>
              <w:t>on April 26, 2021).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gridSpan w:val="3"/>
            <w:shd w:val="clear" w:color="auto" w:fill="1C2790"/>
          </w:tcPr>
          <w:p>
            <w:pPr>
              <w:spacing w:after="0" w:line="20" w:lineRule="exact"/>
              <w:rPr>
                <w:sz w:val="1"/>
                <w:szCs w:val="1"/>
                <w:color w:val="auto"/>
              </w:rPr>
            </w:pPr>
          </w:p>
        </w:tc>
        <w:tc>
          <w:tcPr>
            <w:tcW w:w="80" w:type="dxa"/>
            <w:vAlign w:val="bottom"/>
            <w:tcBorders>
              <w:left w:val="single" w:sz="8" w:color="1C2790"/>
            </w:tcBorders>
            <w:shd w:val="clear" w:color="auto" w:fill="1C279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7"/>
        </w:trPr>
        <w:tc>
          <w:tcPr>
            <w:tcW w:w="8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10.12**</w:t>
            </w: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160" w:type="dxa"/>
            <w:vAlign w:val="bottom"/>
            <w:gridSpan w:val="38"/>
          </w:tcPr>
          <w:p>
            <w:pPr>
              <w:spacing w:after="0"/>
              <w:rPr>
                <w:sz w:val="20"/>
                <w:szCs w:val="20"/>
                <w:color w:val="auto"/>
              </w:rPr>
            </w:pPr>
            <w:r>
              <w:rPr>
                <w:rFonts w:ascii="Times New Roman" w:cs="Times New Roman" w:eastAsia="Times New Roman" w:hAnsi="Times New Roman"/>
                <w:sz w:val="20"/>
                <w:szCs w:val="20"/>
                <w:color w:val="1C2790"/>
              </w:rPr>
              <w:t>Employment Agreement, dated November 12, 2025, by and between Hydrofarm Holdings Group, Inc. and</w:t>
            </w: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gridSpan w:val="3"/>
            <w:shd w:val="clear" w:color="auto" w:fill="1C2790"/>
          </w:tcPr>
          <w:p>
            <w:pPr>
              <w:spacing w:after="0" w:line="20" w:lineRule="exact"/>
              <w:rPr>
                <w:sz w:val="1"/>
                <w:szCs w:val="1"/>
                <w:color w:val="auto"/>
              </w:rPr>
            </w:pPr>
          </w:p>
        </w:tc>
        <w:tc>
          <w:tcPr>
            <w:tcW w:w="340" w:type="dxa"/>
            <w:vAlign w:val="bottom"/>
            <w:tcBorders>
              <w:left w:val="single" w:sz="8" w:color="1C2790"/>
            </w:tcBorders>
            <w:gridSpan w:val="2"/>
            <w:shd w:val="clear" w:color="auto" w:fill="1C2790"/>
          </w:tcPr>
          <w:p>
            <w:pPr>
              <w:spacing w:after="0" w:line="20" w:lineRule="exact"/>
              <w:rPr>
                <w:sz w:val="1"/>
                <w:szCs w:val="1"/>
                <w:color w:val="auto"/>
              </w:rPr>
            </w:pPr>
          </w:p>
        </w:tc>
        <w:tc>
          <w:tcPr>
            <w:tcW w:w="220" w:type="dxa"/>
            <w:vAlign w:val="bottom"/>
            <w:shd w:val="clear" w:color="auto" w:fill="1C2790"/>
          </w:tcPr>
          <w:p>
            <w:pPr>
              <w:spacing w:after="0" w:line="20" w:lineRule="exact"/>
              <w:rPr>
                <w:sz w:val="1"/>
                <w:szCs w:val="1"/>
                <w:color w:val="auto"/>
              </w:rPr>
            </w:pPr>
          </w:p>
        </w:tc>
        <w:tc>
          <w:tcPr>
            <w:tcW w:w="1080" w:type="dxa"/>
            <w:vAlign w:val="bottom"/>
            <w:shd w:val="clear" w:color="auto" w:fill="1C2790"/>
          </w:tcPr>
          <w:p>
            <w:pPr>
              <w:spacing w:after="0" w:line="20" w:lineRule="exact"/>
              <w:rPr>
                <w:sz w:val="1"/>
                <w:szCs w:val="1"/>
                <w:color w:val="auto"/>
              </w:rPr>
            </w:pPr>
          </w:p>
        </w:tc>
        <w:tc>
          <w:tcPr>
            <w:tcW w:w="760" w:type="dxa"/>
            <w:vAlign w:val="bottom"/>
            <w:shd w:val="clear" w:color="auto" w:fill="1C2790"/>
          </w:tcPr>
          <w:p>
            <w:pPr>
              <w:spacing w:after="0" w:line="20" w:lineRule="exact"/>
              <w:rPr>
                <w:sz w:val="1"/>
                <w:szCs w:val="1"/>
                <w:color w:val="auto"/>
              </w:rPr>
            </w:pPr>
          </w:p>
        </w:tc>
        <w:tc>
          <w:tcPr>
            <w:tcW w:w="260" w:type="dxa"/>
            <w:vAlign w:val="bottom"/>
            <w:shd w:val="clear" w:color="auto" w:fill="1C2790"/>
          </w:tcPr>
          <w:p>
            <w:pPr>
              <w:spacing w:after="0" w:line="20" w:lineRule="exact"/>
              <w:rPr>
                <w:sz w:val="1"/>
                <w:szCs w:val="1"/>
                <w:color w:val="auto"/>
              </w:rPr>
            </w:pPr>
          </w:p>
        </w:tc>
        <w:tc>
          <w:tcPr>
            <w:tcW w:w="160" w:type="dxa"/>
            <w:vAlign w:val="bottom"/>
            <w:shd w:val="clear" w:color="auto" w:fill="1C2790"/>
          </w:tcPr>
          <w:p>
            <w:pPr>
              <w:spacing w:after="0" w:line="20" w:lineRule="exact"/>
              <w:rPr>
                <w:sz w:val="1"/>
                <w:szCs w:val="1"/>
                <w:color w:val="auto"/>
              </w:rPr>
            </w:pPr>
          </w:p>
        </w:tc>
        <w:tc>
          <w:tcPr>
            <w:tcW w:w="620" w:type="dxa"/>
            <w:vAlign w:val="bottom"/>
            <w:shd w:val="clear" w:color="auto" w:fill="1C2790"/>
          </w:tcPr>
          <w:p>
            <w:pPr>
              <w:spacing w:after="0" w:line="20" w:lineRule="exact"/>
              <w:rPr>
                <w:sz w:val="1"/>
                <w:szCs w:val="1"/>
                <w:color w:val="auto"/>
              </w:rPr>
            </w:pPr>
          </w:p>
        </w:tc>
        <w:tc>
          <w:tcPr>
            <w:tcW w:w="1340" w:type="dxa"/>
            <w:vAlign w:val="bottom"/>
            <w:shd w:val="clear" w:color="auto" w:fill="1C2790"/>
          </w:tcPr>
          <w:p>
            <w:pPr>
              <w:spacing w:after="0" w:line="20" w:lineRule="exact"/>
              <w:rPr>
                <w:sz w:val="1"/>
                <w:szCs w:val="1"/>
                <w:color w:val="auto"/>
              </w:rPr>
            </w:pPr>
          </w:p>
        </w:tc>
        <w:tc>
          <w:tcPr>
            <w:tcW w:w="400" w:type="dxa"/>
            <w:vAlign w:val="bottom"/>
            <w:shd w:val="clear" w:color="auto" w:fill="1C2790"/>
          </w:tcPr>
          <w:p>
            <w:pPr>
              <w:spacing w:after="0" w:line="20" w:lineRule="exact"/>
              <w:rPr>
                <w:sz w:val="1"/>
                <w:szCs w:val="1"/>
                <w:color w:val="auto"/>
              </w:rPr>
            </w:pPr>
          </w:p>
        </w:tc>
        <w:tc>
          <w:tcPr>
            <w:tcW w:w="1380" w:type="dxa"/>
            <w:vAlign w:val="bottom"/>
            <w:shd w:val="clear" w:color="auto" w:fill="1C2790"/>
          </w:tcPr>
          <w:p>
            <w:pPr>
              <w:spacing w:after="0" w:line="20" w:lineRule="exact"/>
              <w:rPr>
                <w:sz w:val="1"/>
                <w:szCs w:val="1"/>
                <w:color w:val="auto"/>
              </w:rPr>
            </w:pPr>
          </w:p>
        </w:tc>
        <w:tc>
          <w:tcPr>
            <w:tcW w:w="20" w:type="dxa"/>
            <w:vAlign w:val="bottom"/>
            <w:shd w:val="clear" w:color="auto" w:fill="1C2790"/>
          </w:tcPr>
          <w:p>
            <w:pPr>
              <w:spacing w:after="0" w:line="20" w:lineRule="exact"/>
              <w:rPr>
                <w:sz w:val="1"/>
                <w:szCs w:val="1"/>
                <w:color w:val="auto"/>
              </w:rPr>
            </w:pPr>
          </w:p>
        </w:tc>
        <w:tc>
          <w:tcPr>
            <w:tcW w:w="420" w:type="dxa"/>
            <w:vAlign w:val="bottom"/>
            <w:gridSpan w:val="2"/>
            <w:shd w:val="clear" w:color="auto" w:fill="1C2790"/>
          </w:tcPr>
          <w:p>
            <w:pPr>
              <w:spacing w:after="0" w:line="20" w:lineRule="exact"/>
              <w:rPr>
                <w:sz w:val="1"/>
                <w:szCs w:val="1"/>
                <w:color w:val="auto"/>
              </w:rPr>
            </w:pPr>
          </w:p>
        </w:tc>
        <w:tc>
          <w:tcPr>
            <w:tcW w:w="80" w:type="dxa"/>
            <w:vAlign w:val="bottom"/>
            <w:shd w:val="clear" w:color="auto" w:fill="1C2790"/>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4"/>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160" w:type="dxa"/>
            <w:vAlign w:val="bottom"/>
            <w:gridSpan w:val="38"/>
          </w:tcPr>
          <w:p>
            <w:pPr>
              <w:spacing w:after="0" w:line="205" w:lineRule="exact"/>
              <w:rPr>
                <w:sz w:val="20"/>
                <w:szCs w:val="20"/>
                <w:color w:val="auto"/>
              </w:rPr>
            </w:pPr>
            <w:r>
              <w:rPr>
                <w:rFonts w:ascii="Times New Roman" w:cs="Times New Roman" w:eastAsia="Times New Roman" w:hAnsi="Times New Roman"/>
                <w:sz w:val="20"/>
                <w:szCs w:val="20"/>
                <w:color w:val="1C2790"/>
              </w:rPr>
              <w:t>William Toler (incorporated by reference to Exhibit 10.1 to the Company’s Current Report on Form 8-K (File</w:t>
            </w:r>
          </w:p>
        </w:tc>
      </w:tr>
      <w:tr>
        <w:trPr>
          <w:trHeight w:val="204"/>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80" w:type="dxa"/>
            <w:vAlign w:val="bottom"/>
            <w:tcBorders>
              <w:top w:val="single" w:sz="8" w:color="1C2790"/>
              <w:bottom w:val="single" w:sz="8" w:color="1C2790"/>
            </w:tcBorders>
            <w:gridSpan w:val="11"/>
          </w:tcPr>
          <w:p>
            <w:pPr>
              <w:spacing w:after="0" w:line="205" w:lineRule="exact"/>
              <w:rPr>
                <w:sz w:val="20"/>
                <w:szCs w:val="20"/>
                <w:color w:val="auto"/>
              </w:rPr>
            </w:pPr>
            <w:r>
              <w:rPr>
                <w:rFonts w:ascii="Times New Roman" w:cs="Times New Roman" w:eastAsia="Times New Roman" w:hAnsi="Times New Roman"/>
                <w:sz w:val="20"/>
                <w:szCs w:val="20"/>
                <w:color w:val="1C2790"/>
                <w:w w:val="99"/>
              </w:rPr>
              <w:t>No. 001-39773), filed with the SEC on November 12, 2025).</w:t>
            </w:r>
          </w:p>
        </w:tc>
        <w:tc>
          <w:tcPr>
            <w:tcW w:w="3880" w:type="dxa"/>
            <w:vAlign w:val="bottom"/>
            <w:tcBorders>
              <w:top w:val="single" w:sz="8" w:color="1C2790"/>
            </w:tcBorders>
            <w:gridSpan w:val="13"/>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r>
      <w:tr>
        <w:trPr>
          <w:trHeight w:val="267"/>
        </w:trPr>
        <w:tc>
          <w:tcPr>
            <w:tcW w:w="8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10.13**</w:t>
            </w: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920" w:type="dxa"/>
            <w:vAlign w:val="bottom"/>
            <w:tcBorders>
              <w:bottom w:val="single" w:sz="8" w:color="1C2790"/>
            </w:tcBorders>
            <w:gridSpan w:val="30"/>
          </w:tcPr>
          <w:p>
            <w:pPr>
              <w:spacing w:after="0"/>
              <w:rPr>
                <w:sz w:val="20"/>
                <w:szCs w:val="20"/>
                <w:color w:val="auto"/>
              </w:rPr>
            </w:pPr>
            <w:r>
              <w:rPr>
                <w:rFonts w:ascii="Times New Roman" w:cs="Times New Roman" w:eastAsia="Times New Roman" w:hAnsi="Times New Roman"/>
                <w:sz w:val="20"/>
                <w:szCs w:val="20"/>
                <w:color w:val="1C2790"/>
                <w:w w:val="99"/>
              </w:rPr>
              <w:t>Offer Letter, dated February 26, 2020, by and between Hydrofarm Holdings Group, Inc. and B. John Lindeman</w:t>
            </w:r>
          </w:p>
        </w:tc>
        <w:tc>
          <w:tcPr>
            <w:tcW w:w="240" w:type="dxa"/>
            <w:vAlign w:val="bottom"/>
            <w:gridSpan w:val="8"/>
          </w:tcPr>
          <w:p>
            <w:pPr>
              <w:spacing w:after="0"/>
              <w:rPr>
                <w:sz w:val="23"/>
                <w:szCs w:val="23"/>
                <w:color w:val="auto"/>
              </w:rPr>
            </w:pPr>
          </w:p>
        </w:tc>
      </w:tr>
      <w:tr>
        <w:trPr>
          <w:trHeight w:val="204"/>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160" w:type="dxa"/>
            <w:vAlign w:val="bottom"/>
            <w:gridSpan w:val="38"/>
          </w:tcPr>
          <w:p>
            <w:pPr>
              <w:spacing w:after="0" w:line="205" w:lineRule="exact"/>
              <w:rPr>
                <w:sz w:val="20"/>
                <w:szCs w:val="20"/>
                <w:color w:val="auto"/>
              </w:rPr>
            </w:pPr>
            <w:r>
              <w:rPr>
                <w:rFonts w:ascii="Times New Roman" w:cs="Times New Roman" w:eastAsia="Times New Roman" w:hAnsi="Times New Roman"/>
                <w:sz w:val="20"/>
                <w:szCs w:val="20"/>
                <w:color w:val="1C2790"/>
              </w:rPr>
              <w:t>(incorporated by reference to Exhibit 10.33 to the Company’s Registration Statement on Form S-1 (File No. 333-</w:t>
            </w:r>
          </w:p>
        </w:tc>
      </w:tr>
      <w:tr>
        <w:trPr>
          <w:trHeight w:val="204"/>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60" w:type="dxa"/>
            <w:vAlign w:val="bottom"/>
            <w:tcBorders>
              <w:top w:val="single" w:sz="8" w:color="1C2790"/>
              <w:bottom w:val="single" w:sz="8" w:color="1C2790"/>
            </w:tcBorders>
            <w:gridSpan w:val="10"/>
          </w:tcPr>
          <w:p>
            <w:pPr>
              <w:spacing w:after="0" w:line="205" w:lineRule="exact"/>
              <w:rPr>
                <w:sz w:val="20"/>
                <w:szCs w:val="20"/>
                <w:color w:val="auto"/>
              </w:rPr>
            </w:pPr>
            <w:r>
              <w:rPr>
                <w:rFonts w:ascii="Times New Roman" w:cs="Times New Roman" w:eastAsia="Times New Roman" w:hAnsi="Times New Roman"/>
                <w:sz w:val="20"/>
                <w:szCs w:val="20"/>
                <w:color w:val="1C2790"/>
                <w:w w:val="99"/>
              </w:rPr>
              <w:t>250037)</w:t>
            </w:r>
            <w:r>
              <w:rPr>
                <w:rFonts w:ascii="Times New Roman" w:cs="Times New Roman" w:eastAsia="Times New Roman" w:hAnsi="Times New Roman"/>
                <w:sz w:val="20"/>
                <w:szCs w:val="20"/>
                <w:u w:val="single" w:color="auto"/>
                <w:color w:val="1C2790"/>
                <w:w w:val="99"/>
              </w:rPr>
              <w:t>,</w:t>
            </w:r>
            <w:r>
              <w:rPr>
                <w:rFonts w:ascii="Times New Roman" w:cs="Times New Roman" w:eastAsia="Times New Roman" w:hAnsi="Times New Roman"/>
                <w:sz w:val="20"/>
                <w:szCs w:val="20"/>
                <w:color w:val="1C2790"/>
                <w:w w:val="99"/>
              </w:rPr>
              <w:t xml:space="preserve"> filed with the SEC on November 12, 2020).</w:t>
            </w:r>
          </w:p>
        </w:tc>
        <w:tc>
          <w:tcPr>
            <w:tcW w:w="4800" w:type="dxa"/>
            <w:vAlign w:val="bottom"/>
            <w:tcBorders>
              <w:top w:val="single" w:sz="8" w:color="1C2790"/>
            </w:tcBorders>
            <w:gridSpan w:val="24"/>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r>
      <w:tr>
        <w:trPr>
          <w:trHeight w:val="267"/>
        </w:trPr>
        <w:tc>
          <w:tcPr>
            <w:tcW w:w="8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10.14**</w:t>
            </w: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160" w:type="dxa"/>
            <w:vAlign w:val="bottom"/>
            <w:gridSpan w:val="38"/>
          </w:tcPr>
          <w:p>
            <w:pPr>
              <w:spacing w:after="0"/>
              <w:rPr>
                <w:sz w:val="20"/>
                <w:szCs w:val="20"/>
                <w:color w:val="auto"/>
              </w:rPr>
            </w:pPr>
            <w:r>
              <w:rPr>
                <w:rFonts w:ascii="Times New Roman" w:cs="Times New Roman" w:eastAsia="Times New Roman" w:hAnsi="Times New Roman"/>
                <w:sz w:val="20"/>
                <w:szCs w:val="20"/>
                <w:color w:val="1C2790"/>
              </w:rPr>
              <w:t>Amendment to Offer Letter dated April 14, 2025 by and between Hydrofarm Holdings Group, Inc. and B. John</w:t>
            </w:r>
          </w:p>
        </w:tc>
      </w:tr>
      <w:tr>
        <w:trPr>
          <w:trHeight w:val="204"/>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80" w:type="dxa"/>
            <w:vAlign w:val="bottom"/>
            <w:tcBorders>
              <w:top w:val="single" w:sz="8" w:color="1C2790"/>
            </w:tcBorders>
            <w:gridSpan w:val="27"/>
          </w:tcPr>
          <w:p>
            <w:pPr>
              <w:spacing w:after="0" w:line="205" w:lineRule="exact"/>
              <w:rPr>
                <w:sz w:val="20"/>
                <w:szCs w:val="20"/>
                <w:color w:val="auto"/>
              </w:rPr>
            </w:pPr>
            <w:r>
              <w:rPr>
                <w:rFonts w:ascii="Times New Roman" w:cs="Times New Roman" w:eastAsia="Times New Roman" w:hAnsi="Times New Roman"/>
                <w:sz w:val="20"/>
                <w:szCs w:val="20"/>
                <w:color w:val="1C2790"/>
              </w:rPr>
              <w:t>Lindeman (incorporated by reference to Exhibit 10.1 of the Company’s Current Report on Form 8-K (File No</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60" w:type="dxa"/>
            <w:vAlign w:val="bottom"/>
            <w:gridSpan w:val="2"/>
          </w:tcPr>
          <w:p>
            <w:pPr>
              <w:spacing w:after="0"/>
              <w:rPr>
                <w:sz w:val="17"/>
                <w:szCs w:val="17"/>
                <w:color w:val="auto"/>
              </w:rPr>
            </w:pPr>
          </w:p>
        </w:tc>
        <w:tc>
          <w:tcPr>
            <w:tcW w:w="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r>
      <w:tr>
        <w:trPr>
          <w:trHeight w:val="204"/>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100" w:type="dxa"/>
            <w:vAlign w:val="bottom"/>
            <w:tcBorders>
              <w:top w:val="single" w:sz="8" w:color="1C2790"/>
              <w:bottom w:val="single" w:sz="8" w:color="1C2790"/>
            </w:tcBorders>
            <w:gridSpan w:val="9"/>
          </w:tcPr>
          <w:p>
            <w:pPr>
              <w:spacing w:after="0" w:line="205" w:lineRule="exact"/>
              <w:rPr>
                <w:sz w:val="20"/>
                <w:szCs w:val="20"/>
                <w:color w:val="auto"/>
              </w:rPr>
            </w:pPr>
            <w:r>
              <w:rPr>
                <w:rFonts w:ascii="Times New Roman" w:cs="Times New Roman" w:eastAsia="Times New Roman" w:hAnsi="Times New Roman"/>
                <w:sz w:val="20"/>
                <w:szCs w:val="20"/>
                <w:color w:val="1C2790"/>
                <w:w w:val="99"/>
              </w:rPr>
              <w:t>001-39773), filed with the SEC on April 17, 2025).</w:t>
            </w:r>
          </w:p>
        </w:tc>
        <w:tc>
          <w:tcPr>
            <w:tcW w:w="4680" w:type="dxa"/>
            <w:vAlign w:val="bottom"/>
            <w:tcBorders>
              <w:top w:val="single" w:sz="8" w:color="1C2790"/>
            </w:tcBorders>
            <w:gridSpan w:val="16"/>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60" w:type="dxa"/>
            <w:vAlign w:val="bottom"/>
            <w:gridSpan w:val="2"/>
          </w:tcPr>
          <w:p>
            <w:pPr>
              <w:spacing w:after="0"/>
              <w:rPr>
                <w:sz w:val="17"/>
                <w:szCs w:val="17"/>
                <w:color w:val="auto"/>
              </w:rPr>
            </w:pPr>
          </w:p>
        </w:tc>
        <w:tc>
          <w:tcPr>
            <w:tcW w:w="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r>
      <w:tr>
        <w:trPr>
          <w:trHeight w:val="267"/>
        </w:trPr>
        <w:tc>
          <w:tcPr>
            <w:tcW w:w="8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10.15**</w:t>
            </w: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160" w:type="dxa"/>
            <w:vAlign w:val="bottom"/>
            <w:gridSpan w:val="38"/>
          </w:tcPr>
          <w:p>
            <w:pPr>
              <w:spacing w:after="0"/>
              <w:rPr>
                <w:sz w:val="20"/>
                <w:szCs w:val="20"/>
                <w:color w:val="auto"/>
              </w:rPr>
            </w:pPr>
            <w:r>
              <w:rPr>
                <w:rFonts w:ascii="Times New Roman" w:cs="Times New Roman" w:eastAsia="Times New Roman" w:hAnsi="Times New Roman"/>
                <w:sz w:val="20"/>
                <w:szCs w:val="20"/>
                <w:color w:val="1C2790"/>
              </w:rPr>
              <w:t>Offer Letter dated March 1, 2022 by and between Hydrofarm Holdings Group Inc. and Mark Parker</w:t>
            </w:r>
          </w:p>
        </w:tc>
      </w:tr>
      <w:tr>
        <w:trPr>
          <w:trHeight w:val="204"/>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0" w:type="dxa"/>
            <w:vAlign w:val="bottom"/>
            <w:tcBorders>
              <w:top w:val="single" w:sz="8" w:color="1C2790"/>
            </w:tcBorders>
            <w:gridSpan w:val="14"/>
          </w:tcPr>
          <w:p>
            <w:pPr>
              <w:spacing w:after="0" w:line="205" w:lineRule="exact"/>
              <w:rPr>
                <w:sz w:val="20"/>
                <w:szCs w:val="20"/>
                <w:color w:val="auto"/>
              </w:rPr>
            </w:pPr>
            <w:r>
              <w:rPr>
                <w:rFonts w:ascii="Times New Roman" w:cs="Times New Roman" w:eastAsia="Times New Roman" w:hAnsi="Times New Roman"/>
                <w:sz w:val="20"/>
                <w:szCs w:val="20"/>
                <w:color w:val="1C2790"/>
              </w:rPr>
              <w:t>(incorporated by reference to Exhibit 10.2 of the Company's Form 10-Q filed with the SEC on May</w:t>
            </w:r>
          </w:p>
        </w:tc>
        <w:tc>
          <w:tcPr>
            <w:tcW w:w="900" w:type="dxa"/>
            <w:vAlign w:val="bottom"/>
            <w:gridSpan w:val="14"/>
          </w:tcPr>
          <w:p>
            <w:pPr>
              <w:jc w:val="right"/>
              <w:ind w:right="60"/>
              <w:spacing w:after="0" w:line="205" w:lineRule="exact"/>
              <w:rPr>
                <w:sz w:val="20"/>
                <w:szCs w:val="20"/>
                <w:color w:val="auto"/>
              </w:rPr>
            </w:pPr>
            <w:r>
              <w:rPr>
                <w:rFonts w:ascii="Times New Roman" w:cs="Times New Roman" w:eastAsia="Times New Roman" w:hAnsi="Times New Roman"/>
                <w:sz w:val="20"/>
                <w:szCs w:val="20"/>
                <w:color w:val="1C2790"/>
              </w:rPr>
              <w:t>13, 2025).</w:t>
            </w: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60" w:type="dxa"/>
            <w:vAlign w:val="bottom"/>
            <w:gridSpan w:val="2"/>
          </w:tcPr>
          <w:p>
            <w:pPr>
              <w:spacing w:after="0"/>
              <w:rPr>
                <w:sz w:val="17"/>
                <w:szCs w:val="17"/>
                <w:color w:val="auto"/>
              </w:rPr>
            </w:pPr>
          </w:p>
        </w:tc>
        <w:tc>
          <w:tcPr>
            <w:tcW w:w="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gridSpan w:val="3"/>
            <w:shd w:val="clear" w:color="auto" w:fill="1C2790"/>
          </w:tcPr>
          <w:p>
            <w:pPr>
              <w:spacing w:after="0" w:line="20" w:lineRule="exact"/>
              <w:rPr>
                <w:sz w:val="1"/>
                <w:szCs w:val="1"/>
                <w:color w:val="auto"/>
              </w:rPr>
            </w:pPr>
          </w:p>
        </w:tc>
        <w:tc>
          <w:tcPr>
            <w:tcW w:w="340" w:type="dxa"/>
            <w:vAlign w:val="bottom"/>
            <w:tcBorders>
              <w:left w:val="single" w:sz="8" w:color="1C2790"/>
            </w:tcBorders>
            <w:gridSpan w:val="2"/>
            <w:shd w:val="clear" w:color="auto" w:fill="1C2790"/>
          </w:tcPr>
          <w:p>
            <w:pPr>
              <w:spacing w:after="0" w:line="20" w:lineRule="exact"/>
              <w:rPr>
                <w:sz w:val="1"/>
                <w:szCs w:val="1"/>
                <w:color w:val="auto"/>
              </w:rPr>
            </w:pPr>
          </w:p>
        </w:tc>
        <w:tc>
          <w:tcPr>
            <w:tcW w:w="220" w:type="dxa"/>
            <w:vAlign w:val="bottom"/>
            <w:shd w:val="clear" w:color="auto" w:fill="1C2790"/>
          </w:tcPr>
          <w:p>
            <w:pPr>
              <w:spacing w:after="0" w:line="20" w:lineRule="exact"/>
              <w:rPr>
                <w:sz w:val="1"/>
                <w:szCs w:val="1"/>
                <w:color w:val="auto"/>
              </w:rPr>
            </w:pPr>
          </w:p>
        </w:tc>
        <w:tc>
          <w:tcPr>
            <w:tcW w:w="1080" w:type="dxa"/>
            <w:vAlign w:val="bottom"/>
            <w:shd w:val="clear" w:color="auto" w:fill="1C2790"/>
          </w:tcPr>
          <w:p>
            <w:pPr>
              <w:spacing w:after="0" w:line="20" w:lineRule="exact"/>
              <w:rPr>
                <w:sz w:val="1"/>
                <w:szCs w:val="1"/>
                <w:color w:val="auto"/>
              </w:rPr>
            </w:pPr>
          </w:p>
        </w:tc>
        <w:tc>
          <w:tcPr>
            <w:tcW w:w="760" w:type="dxa"/>
            <w:vAlign w:val="bottom"/>
            <w:shd w:val="clear" w:color="auto" w:fill="1C2790"/>
          </w:tcPr>
          <w:p>
            <w:pPr>
              <w:spacing w:after="0" w:line="20" w:lineRule="exact"/>
              <w:rPr>
                <w:sz w:val="1"/>
                <w:szCs w:val="1"/>
                <w:color w:val="auto"/>
              </w:rPr>
            </w:pPr>
          </w:p>
        </w:tc>
        <w:tc>
          <w:tcPr>
            <w:tcW w:w="2380" w:type="dxa"/>
            <w:vAlign w:val="bottom"/>
            <w:gridSpan w:val="4"/>
            <w:shd w:val="clear" w:color="auto" w:fill="1C2790"/>
          </w:tcPr>
          <w:p>
            <w:pPr>
              <w:spacing w:after="0" w:line="20" w:lineRule="exact"/>
              <w:rPr>
                <w:sz w:val="1"/>
                <w:szCs w:val="1"/>
                <w:color w:val="auto"/>
              </w:rPr>
            </w:pPr>
          </w:p>
        </w:tc>
        <w:tc>
          <w:tcPr>
            <w:tcW w:w="400" w:type="dxa"/>
            <w:vAlign w:val="bottom"/>
            <w:shd w:val="clear" w:color="auto" w:fill="1C2790"/>
          </w:tcPr>
          <w:p>
            <w:pPr>
              <w:spacing w:after="0" w:line="20" w:lineRule="exact"/>
              <w:rPr>
                <w:sz w:val="1"/>
                <w:szCs w:val="1"/>
                <w:color w:val="auto"/>
              </w:rPr>
            </w:pPr>
          </w:p>
        </w:tc>
        <w:tc>
          <w:tcPr>
            <w:tcW w:w="1400" w:type="dxa"/>
            <w:vAlign w:val="bottom"/>
            <w:gridSpan w:val="2"/>
            <w:shd w:val="clear" w:color="auto" w:fill="1C2790"/>
          </w:tcPr>
          <w:p>
            <w:pPr>
              <w:spacing w:after="0" w:line="20" w:lineRule="exact"/>
              <w:rPr>
                <w:sz w:val="1"/>
                <w:szCs w:val="1"/>
                <w:color w:val="auto"/>
              </w:rPr>
            </w:pPr>
          </w:p>
        </w:tc>
        <w:tc>
          <w:tcPr>
            <w:tcW w:w="420" w:type="dxa"/>
            <w:vAlign w:val="bottom"/>
            <w:gridSpan w:val="2"/>
            <w:shd w:val="clear" w:color="auto" w:fill="1C2790"/>
          </w:tcPr>
          <w:p>
            <w:pPr>
              <w:spacing w:after="0" w:line="20" w:lineRule="exact"/>
              <w:rPr>
                <w:sz w:val="1"/>
                <w:szCs w:val="1"/>
                <w:color w:val="auto"/>
              </w:rPr>
            </w:pPr>
          </w:p>
        </w:tc>
        <w:tc>
          <w:tcPr>
            <w:tcW w:w="200" w:type="dxa"/>
            <w:vAlign w:val="bottom"/>
            <w:gridSpan w:val="4"/>
            <w:shd w:val="clear" w:color="auto" w:fill="1C2790"/>
          </w:tcPr>
          <w:p>
            <w:pPr>
              <w:spacing w:after="0" w:line="20" w:lineRule="exact"/>
              <w:rPr>
                <w:sz w:val="1"/>
                <w:szCs w:val="1"/>
                <w:color w:val="auto"/>
              </w:rPr>
            </w:pPr>
          </w:p>
        </w:tc>
        <w:tc>
          <w:tcPr>
            <w:tcW w:w="20" w:type="dxa"/>
            <w:vAlign w:val="bottom"/>
            <w:shd w:val="clear" w:color="auto" w:fill="1C2790"/>
          </w:tcPr>
          <w:p>
            <w:pPr>
              <w:spacing w:after="0" w:line="20" w:lineRule="exact"/>
              <w:rPr>
                <w:sz w:val="1"/>
                <w:szCs w:val="1"/>
                <w:color w:val="auto"/>
              </w:rPr>
            </w:pPr>
          </w:p>
        </w:tc>
        <w:tc>
          <w:tcPr>
            <w:tcW w:w="80" w:type="dxa"/>
            <w:vAlign w:val="bottom"/>
            <w:shd w:val="clear" w:color="auto" w:fill="1C2790"/>
          </w:tcPr>
          <w:p>
            <w:pPr>
              <w:spacing w:after="0" w:line="20" w:lineRule="exact"/>
              <w:rPr>
                <w:sz w:val="1"/>
                <w:szCs w:val="1"/>
                <w:color w:val="auto"/>
              </w:rPr>
            </w:pPr>
          </w:p>
        </w:tc>
        <w:tc>
          <w:tcPr>
            <w:tcW w:w="80" w:type="dxa"/>
            <w:vAlign w:val="bottom"/>
            <w:tcBorders>
              <w:right w:val="single" w:sz="8" w:color="1C2790"/>
            </w:tcBorders>
            <w:gridSpan w:val="3"/>
            <w:shd w:val="clear" w:color="auto" w:fill="1C279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7"/>
        </w:trPr>
        <w:tc>
          <w:tcPr>
            <w:tcW w:w="8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10.16**</w:t>
            </w: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160" w:type="dxa"/>
            <w:vAlign w:val="bottom"/>
            <w:gridSpan w:val="38"/>
          </w:tcPr>
          <w:p>
            <w:pPr>
              <w:spacing w:after="0"/>
              <w:rPr>
                <w:sz w:val="20"/>
                <w:szCs w:val="20"/>
                <w:color w:val="auto"/>
              </w:rPr>
            </w:pPr>
            <w:r>
              <w:rPr>
                <w:rFonts w:ascii="Times New Roman" w:cs="Times New Roman" w:eastAsia="Times New Roman" w:hAnsi="Times New Roman"/>
                <w:sz w:val="20"/>
                <w:szCs w:val="20"/>
                <w:color w:val="1C2790"/>
              </w:rPr>
              <w:t>Hydrofarm Holdings Group, Inc. 2018 Equity Incentive Plan (incorporated by reference to Exhibit 10.34 to the</w:t>
            </w:r>
          </w:p>
        </w:tc>
      </w:tr>
      <w:tr>
        <w:trPr>
          <w:trHeight w:val="204"/>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900" w:type="dxa"/>
            <w:vAlign w:val="bottom"/>
            <w:tcBorders>
              <w:top w:val="single" w:sz="8" w:color="1C2790"/>
            </w:tcBorders>
            <w:gridSpan w:val="28"/>
          </w:tcPr>
          <w:p>
            <w:pPr>
              <w:spacing w:after="0" w:line="205" w:lineRule="exact"/>
              <w:rPr>
                <w:sz w:val="20"/>
                <w:szCs w:val="20"/>
                <w:color w:val="auto"/>
              </w:rPr>
            </w:pPr>
            <w:r>
              <w:rPr>
                <w:rFonts w:ascii="Times New Roman" w:cs="Times New Roman" w:eastAsia="Times New Roman" w:hAnsi="Times New Roman"/>
                <w:sz w:val="20"/>
                <w:szCs w:val="20"/>
                <w:color w:val="1C2790"/>
              </w:rPr>
              <w:t>Company’s Registration Statement on Form S-1 (File No. 333-250037), filed with the SEC on November 12,</w:t>
            </w: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60" w:type="dxa"/>
            <w:vAlign w:val="bottom"/>
            <w:gridSpan w:val="2"/>
          </w:tcPr>
          <w:p>
            <w:pPr>
              <w:spacing w:after="0"/>
              <w:rPr>
                <w:sz w:val="17"/>
                <w:szCs w:val="17"/>
                <w:color w:val="auto"/>
              </w:rPr>
            </w:pPr>
          </w:p>
        </w:tc>
        <w:tc>
          <w:tcPr>
            <w:tcW w:w="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r>
      <w:tr>
        <w:trPr>
          <w:trHeight w:val="204"/>
        </w:trPr>
        <w:tc>
          <w:tcPr>
            <w:tcW w:w="860" w:type="dxa"/>
            <w:vAlign w:val="bottom"/>
          </w:tcPr>
          <w:p>
            <w:pPr>
              <w:spacing w:after="0"/>
              <w:rPr>
                <w:sz w:val="17"/>
                <w:szCs w:val="17"/>
                <w:color w:val="auto"/>
              </w:rPr>
            </w:pPr>
          </w:p>
        </w:tc>
        <w:tc>
          <w:tcPr>
            <w:tcW w:w="240" w:type="dxa"/>
            <w:vAlign w:val="bottom"/>
            <w:gridSpan w:val="2"/>
          </w:tcPr>
          <w:p>
            <w:pPr>
              <w:spacing w:after="0"/>
              <w:rPr>
                <w:sz w:val="17"/>
                <w:szCs w:val="17"/>
                <w:color w:val="auto"/>
              </w:rPr>
            </w:pPr>
          </w:p>
        </w:tc>
        <w:tc>
          <w:tcPr>
            <w:tcW w:w="520" w:type="dxa"/>
            <w:vAlign w:val="bottom"/>
            <w:tcBorders>
              <w:top w:val="single" w:sz="8" w:color="1C2790"/>
              <w:bottom w:val="single" w:sz="8" w:color="1C2790"/>
            </w:tcBorders>
          </w:tcPr>
          <w:p>
            <w:pPr>
              <w:spacing w:after="0" w:line="205" w:lineRule="exact"/>
              <w:rPr>
                <w:sz w:val="20"/>
                <w:szCs w:val="20"/>
                <w:color w:val="auto"/>
              </w:rPr>
            </w:pPr>
            <w:r>
              <w:rPr>
                <w:rFonts w:ascii="Times New Roman" w:cs="Times New Roman" w:eastAsia="Times New Roman" w:hAnsi="Times New Roman"/>
                <w:sz w:val="20"/>
                <w:szCs w:val="20"/>
                <w:color w:val="1C2790"/>
                <w:w w:val="96"/>
              </w:rPr>
              <w:t>2020).</w:t>
            </w:r>
          </w:p>
        </w:tc>
        <w:tc>
          <w:tcPr>
            <w:tcW w:w="580" w:type="dxa"/>
            <w:vAlign w:val="bottom"/>
            <w:tcBorders>
              <w:top w:val="single" w:sz="8" w:color="1C2790"/>
            </w:tcBorders>
          </w:tcPr>
          <w:p>
            <w:pPr>
              <w:spacing w:after="0"/>
              <w:rPr>
                <w:sz w:val="17"/>
                <w:szCs w:val="17"/>
                <w:color w:val="auto"/>
              </w:rPr>
            </w:pPr>
          </w:p>
        </w:tc>
        <w:tc>
          <w:tcPr>
            <w:tcW w:w="340" w:type="dxa"/>
            <w:vAlign w:val="bottom"/>
            <w:tcBorders>
              <w:top w:val="single" w:sz="8" w:color="1C2790"/>
            </w:tcBorders>
          </w:tcPr>
          <w:p>
            <w:pPr>
              <w:spacing w:after="0"/>
              <w:rPr>
                <w:sz w:val="17"/>
                <w:szCs w:val="17"/>
                <w:color w:val="auto"/>
              </w:rPr>
            </w:pPr>
          </w:p>
        </w:tc>
        <w:tc>
          <w:tcPr>
            <w:tcW w:w="80" w:type="dxa"/>
            <w:vAlign w:val="bottom"/>
            <w:tcBorders>
              <w:top w:val="single" w:sz="8" w:color="1C2790"/>
            </w:tcBorders>
          </w:tcPr>
          <w:p>
            <w:pPr>
              <w:spacing w:after="0"/>
              <w:rPr>
                <w:sz w:val="17"/>
                <w:szCs w:val="17"/>
                <w:color w:val="auto"/>
              </w:rPr>
            </w:pPr>
          </w:p>
        </w:tc>
        <w:tc>
          <w:tcPr>
            <w:tcW w:w="260" w:type="dxa"/>
            <w:vAlign w:val="bottom"/>
            <w:tcBorders>
              <w:top w:val="single" w:sz="8" w:color="1C2790"/>
            </w:tcBorders>
          </w:tcPr>
          <w:p>
            <w:pPr>
              <w:spacing w:after="0"/>
              <w:rPr>
                <w:sz w:val="17"/>
                <w:szCs w:val="17"/>
                <w:color w:val="auto"/>
              </w:rPr>
            </w:pPr>
          </w:p>
        </w:tc>
        <w:tc>
          <w:tcPr>
            <w:tcW w:w="220" w:type="dxa"/>
            <w:vAlign w:val="bottom"/>
            <w:tcBorders>
              <w:top w:val="single" w:sz="8" w:color="1C2790"/>
            </w:tcBorders>
          </w:tcPr>
          <w:p>
            <w:pPr>
              <w:spacing w:after="0"/>
              <w:rPr>
                <w:sz w:val="17"/>
                <w:szCs w:val="17"/>
                <w:color w:val="auto"/>
              </w:rPr>
            </w:pPr>
          </w:p>
        </w:tc>
        <w:tc>
          <w:tcPr>
            <w:tcW w:w="1080" w:type="dxa"/>
            <w:vAlign w:val="bottom"/>
            <w:tcBorders>
              <w:top w:val="single" w:sz="8" w:color="1C2790"/>
            </w:tcBorders>
          </w:tcPr>
          <w:p>
            <w:pPr>
              <w:spacing w:after="0"/>
              <w:rPr>
                <w:sz w:val="17"/>
                <w:szCs w:val="17"/>
                <w:color w:val="auto"/>
              </w:rPr>
            </w:pPr>
          </w:p>
        </w:tc>
        <w:tc>
          <w:tcPr>
            <w:tcW w:w="760" w:type="dxa"/>
            <w:vAlign w:val="bottom"/>
            <w:tcBorders>
              <w:top w:val="single" w:sz="8" w:color="1C2790"/>
            </w:tcBorders>
          </w:tcPr>
          <w:p>
            <w:pPr>
              <w:spacing w:after="0"/>
              <w:rPr>
                <w:sz w:val="17"/>
                <w:szCs w:val="17"/>
                <w:color w:val="auto"/>
              </w:rPr>
            </w:pPr>
          </w:p>
        </w:tc>
        <w:tc>
          <w:tcPr>
            <w:tcW w:w="260" w:type="dxa"/>
            <w:vAlign w:val="bottom"/>
            <w:tcBorders>
              <w:top w:val="single" w:sz="8" w:color="1C2790"/>
            </w:tcBorders>
          </w:tcPr>
          <w:p>
            <w:pPr>
              <w:spacing w:after="0"/>
              <w:rPr>
                <w:sz w:val="17"/>
                <w:szCs w:val="17"/>
                <w:color w:val="auto"/>
              </w:rPr>
            </w:pPr>
          </w:p>
        </w:tc>
        <w:tc>
          <w:tcPr>
            <w:tcW w:w="160" w:type="dxa"/>
            <w:vAlign w:val="bottom"/>
            <w:tcBorders>
              <w:top w:val="single" w:sz="8" w:color="1C2790"/>
            </w:tcBorders>
          </w:tcPr>
          <w:p>
            <w:pPr>
              <w:spacing w:after="0"/>
              <w:rPr>
                <w:sz w:val="17"/>
                <w:szCs w:val="17"/>
                <w:color w:val="auto"/>
              </w:rPr>
            </w:pPr>
          </w:p>
        </w:tc>
        <w:tc>
          <w:tcPr>
            <w:tcW w:w="620" w:type="dxa"/>
            <w:vAlign w:val="bottom"/>
            <w:tcBorders>
              <w:top w:val="single" w:sz="8" w:color="1C2790"/>
            </w:tcBorders>
          </w:tcPr>
          <w:p>
            <w:pPr>
              <w:spacing w:after="0"/>
              <w:rPr>
                <w:sz w:val="17"/>
                <w:szCs w:val="17"/>
                <w:color w:val="auto"/>
              </w:rPr>
            </w:pPr>
          </w:p>
        </w:tc>
        <w:tc>
          <w:tcPr>
            <w:tcW w:w="1340" w:type="dxa"/>
            <w:vAlign w:val="bottom"/>
            <w:tcBorders>
              <w:top w:val="single" w:sz="8" w:color="1C2790"/>
            </w:tcBorders>
          </w:tcPr>
          <w:p>
            <w:pPr>
              <w:spacing w:after="0"/>
              <w:rPr>
                <w:sz w:val="17"/>
                <w:szCs w:val="17"/>
                <w:color w:val="auto"/>
              </w:rPr>
            </w:pPr>
          </w:p>
        </w:tc>
        <w:tc>
          <w:tcPr>
            <w:tcW w:w="400" w:type="dxa"/>
            <w:vAlign w:val="bottom"/>
            <w:tcBorders>
              <w:top w:val="single" w:sz="8" w:color="1C2790"/>
            </w:tcBorders>
          </w:tcPr>
          <w:p>
            <w:pPr>
              <w:spacing w:after="0"/>
              <w:rPr>
                <w:sz w:val="17"/>
                <w:szCs w:val="17"/>
                <w:color w:val="auto"/>
              </w:rPr>
            </w:pPr>
          </w:p>
        </w:tc>
        <w:tc>
          <w:tcPr>
            <w:tcW w:w="1380" w:type="dxa"/>
            <w:vAlign w:val="bottom"/>
            <w:tcBorders>
              <w:top w:val="single" w:sz="8" w:color="1C2790"/>
            </w:tcBorders>
          </w:tcPr>
          <w:p>
            <w:pPr>
              <w:spacing w:after="0"/>
              <w:rPr>
                <w:sz w:val="17"/>
                <w:szCs w:val="17"/>
                <w:color w:val="auto"/>
              </w:rPr>
            </w:pPr>
          </w:p>
        </w:tc>
        <w:tc>
          <w:tcPr>
            <w:tcW w:w="20" w:type="dxa"/>
            <w:vAlign w:val="bottom"/>
            <w:tcBorders>
              <w:top w:val="single" w:sz="8" w:color="1C2790"/>
            </w:tcBorders>
          </w:tcPr>
          <w:p>
            <w:pPr>
              <w:spacing w:after="0"/>
              <w:rPr>
                <w:sz w:val="17"/>
                <w:szCs w:val="17"/>
                <w:color w:val="auto"/>
              </w:rPr>
            </w:pPr>
          </w:p>
        </w:tc>
        <w:tc>
          <w:tcPr>
            <w:tcW w:w="240" w:type="dxa"/>
            <w:vAlign w:val="bottom"/>
            <w:tcBorders>
              <w:top w:val="single" w:sz="8" w:color="1C2790"/>
            </w:tcBorders>
          </w:tcPr>
          <w:p>
            <w:pPr>
              <w:spacing w:after="0"/>
              <w:rPr>
                <w:sz w:val="17"/>
                <w:szCs w:val="17"/>
                <w:color w:val="auto"/>
              </w:rPr>
            </w:pPr>
          </w:p>
        </w:tc>
        <w:tc>
          <w:tcPr>
            <w:tcW w:w="180" w:type="dxa"/>
            <w:vAlign w:val="bottom"/>
            <w:tcBorders>
              <w:top w:val="single" w:sz="8" w:color="1C2790"/>
            </w:tcBorders>
          </w:tcPr>
          <w:p>
            <w:pPr>
              <w:spacing w:after="0"/>
              <w:rPr>
                <w:sz w:val="17"/>
                <w:szCs w:val="17"/>
                <w:color w:val="auto"/>
              </w:rPr>
            </w:pPr>
          </w:p>
        </w:tc>
        <w:tc>
          <w:tcPr>
            <w:tcW w:w="80" w:type="dxa"/>
            <w:vAlign w:val="bottom"/>
            <w:tcBorders>
              <w:top w:val="single" w:sz="8" w:color="1C2790"/>
            </w:tcBorders>
          </w:tcPr>
          <w:p>
            <w:pPr>
              <w:spacing w:after="0"/>
              <w:rPr>
                <w:sz w:val="17"/>
                <w:szCs w:val="17"/>
                <w:color w:val="auto"/>
              </w:rPr>
            </w:pPr>
          </w:p>
        </w:tc>
        <w:tc>
          <w:tcPr>
            <w:tcW w:w="80" w:type="dxa"/>
            <w:vAlign w:val="bottom"/>
            <w:tcBorders>
              <w:top w:val="single" w:sz="8" w:color="1C2790"/>
            </w:tcBorders>
          </w:tcPr>
          <w:p>
            <w:pPr>
              <w:spacing w:after="0"/>
              <w:rPr>
                <w:sz w:val="17"/>
                <w:szCs w:val="17"/>
                <w:color w:val="auto"/>
              </w:rPr>
            </w:pPr>
          </w:p>
        </w:tc>
        <w:tc>
          <w:tcPr>
            <w:tcW w:w="20" w:type="dxa"/>
            <w:vAlign w:val="bottom"/>
            <w:tcBorders>
              <w:top w:val="single" w:sz="8" w:color="1C2790"/>
            </w:tcBorders>
          </w:tcPr>
          <w:p>
            <w:pPr>
              <w:spacing w:after="0"/>
              <w:rPr>
                <w:sz w:val="17"/>
                <w:szCs w:val="17"/>
                <w:color w:val="auto"/>
              </w:rPr>
            </w:pPr>
          </w:p>
        </w:tc>
        <w:tc>
          <w:tcPr>
            <w:tcW w:w="20" w:type="dxa"/>
            <w:vAlign w:val="bottom"/>
            <w:tcBorders>
              <w:top w:val="single" w:sz="8" w:color="1C2790"/>
            </w:tcBorders>
          </w:tcPr>
          <w:p>
            <w:pPr>
              <w:spacing w:after="0"/>
              <w:rPr>
                <w:sz w:val="17"/>
                <w:szCs w:val="17"/>
                <w:color w:val="auto"/>
              </w:rPr>
            </w:pPr>
          </w:p>
        </w:tc>
        <w:tc>
          <w:tcPr>
            <w:tcW w:w="20" w:type="dxa"/>
            <w:vAlign w:val="bottom"/>
            <w:tcBorders>
              <w:top w:val="single" w:sz="8" w:color="1C2790"/>
            </w:tcBorders>
          </w:tcPr>
          <w:p>
            <w:pPr>
              <w:spacing w:after="0"/>
              <w:rPr>
                <w:sz w:val="17"/>
                <w:szCs w:val="17"/>
                <w:color w:val="auto"/>
              </w:rPr>
            </w:pPr>
          </w:p>
        </w:tc>
        <w:tc>
          <w:tcPr>
            <w:tcW w:w="80" w:type="dxa"/>
            <w:vAlign w:val="bottom"/>
            <w:tcBorders>
              <w:top w:val="single" w:sz="8" w:color="1C2790"/>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67"/>
        </w:trPr>
        <w:tc>
          <w:tcPr>
            <w:tcW w:w="8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10.17**</w:t>
            </w: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920" w:type="dxa"/>
            <w:vAlign w:val="bottom"/>
            <w:tcBorders>
              <w:bottom w:val="single" w:sz="8" w:color="1C2790"/>
            </w:tcBorders>
            <w:gridSpan w:val="30"/>
          </w:tcPr>
          <w:p>
            <w:pPr>
              <w:spacing w:after="0"/>
              <w:rPr>
                <w:sz w:val="20"/>
                <w:szCs w:val="20"/>
                <w:color w:val="auto"/>
              </w:rPr>
            </w:pPr>
            <w:r>
              <w:rPr>
                <w:rFonts w:ascii="Times New Roman" w:cs="Times New Roman" w:eastAsia="Times New Roman" w:hAnsi="Times New Roman"/>
                <w:sz w:val="20"/>
                <w:szCs w:val="20"/>
                <w:color w:val="1C2790"/>
              </w:rPr>
              <w:t>Form of Hydrofarm Holdings Group, Inc. 2018 Equity Incentive Plan Stock Option Grant Notice (incorporated</w:t>
            </w:r>
          </w:p>
        </w:tc>
        <w:tc>
          <w:tcPr>
            <w:tcW w:w="240" w:type="dxa"/>
            <w:vAlign w:val="bottom"/>
            <w:gridSpan w:val="8"/>
          </w:tcPr>
          <w:p>
            <w:pPr>
              <w:spacing w:after="0"/>
              <w:rPr>
                <w:sz w:val="23"/>
                <w:szCs w:val="23"/>
                <w:color w:val="auto"/>
              </w:rPr>
            </w:pPr>
          </w:p>
        </w:tc>
      </w:tr>
      <w:tr>
        <w:trPr>
          <w:trHeight w:val="204"/>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160" w:type="dxa"/>
            <w:vAlign w:val="bottom"/>
            <w:gridSpan w:val="38"/>
          </w:tcPr>
          <w:p>
            <w:pPr>
              <w:spacing w:after="0" w:line="205" w:lineRule="exact"/>
              <w:rPr>
                <w:sz w:val="20"/>
                <w:szCs w:val="20"/>
                <w:color w:val="auto"/>
              </w:rPr>
            </w:pPr>
            <w:r>
              <w:rPr>
                <w:rFonts w:ascii="Times New Roman" w:cs="Times New Roman" w:eastAsia="Times New Roman" w:hAnsi="Times New Roman"/>
                <w:sz w:val="20"/>
                <w:szCs w:val="20"/>
                <w:color w:val="1C2790"/>
              </w:rPr>
              <w:t>by reference to Exhibit 10.35 to the Company’s Registration Statement on Form S-1 (File No. 333-250037), filed</w:t>
            </w:r>
          </w:p>
        </w:tc>
      </w:tr>
      <w:tr>
        <w:trPr>
          <w:trHeight w:val="204"/>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80" w:type="dxa"/>
            <w:vAlign w:val="bottom"/>
            <w:tcBorders>
              <w:top w:val="single" w:sz="8" w:color="1C2790"/>
              <w:bottom w:val="single" w:sz="8" w:color="1C2790"/>
            </w:tcBorders>
            <w:gridSpan w:val="7"/>
          </w:tcPr>
          <w:p>
            <w:pPr>
              <w:spacing w:after="0" w:line="205" w:lineRule="exact"/>
              <w:rPr>
                <w:sz w:val="20"/>
                <w:szCs w:val="20"/>
                <w:color w:val="auto"/>
              </w:rPr>
            </w:pPr>
            <w:r>
              <w:rPr>
                <w:rFonts w:ascii="Times New Roman" w:cs="Times New Roman" w:eastAsia="Times New Roman" w:hAnsi="Times New Roman"/>
                <w:sz w:val="20"/>
                <w:szCs w:val="20"/>
                <w:color w:val="1C2790"/>
                <w:w w:val="99"/>
              </w:rPr>
              <w:t>with the SEC on November 12, 2020).</w:t>
            </w:r>
          </w:p>
        </w:tc>
        <w:tc>
          <w:tcPr>
            <w:tcW w:w="6000" w:type="dxa"/>
            <w:vAlign w:val="bottom"/>
            <w:tcBorders>
              <w:top w:val="single" w:sz="8" w:color="1C2790"/>
            </w:tcBorders>
            <w:gridSpan w:val="28"/>
          </w:tcPr>
          <w:p>
            <w:pPr>
              <w:spacing w:after="0"/>
              <w:rPr>
                <w:sz w:val="17"/>
                <w:szCs w:val="17"/>
                <w:color w:val="auto"/>
              </w:rPr>
            </w:pPr>
          </w:p>
        </w:tc>
        <w:tc>
          <w:tcPr>
            <w:tcW w:w="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r>
      <w:tr>
        <w:trPr>
          <w:trHeight w:val="267"/>
        </w:trPr>
        <w:tc>
          <w:tcPr>
            <w:tcW w:w="8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10.18**</w:t>
            </w: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160" w:type="dxa"/>
            <w:vAlign w:val="bottom"/>
            <w:gridSpan w:val="38"/>
          </w:tcPr>
          <w:p>
            <w:pPr>
              <w:spacing w:after="0"/>
              <w:rPr>
                <w:sz w:val="20"/>
                <w:szCs w:val="20"/>
                <w:color w:val="auto"/>
              </w:rPr>
            </w:pPr>
            <w:r>
              <w:rPr>
                <w:rFonts w:ascii="Times New Roman" w:cs="Times New Roman" w:eastAsia="Times New Roman" w:hAnsi="Times New Roman"/>
                <w:sz w:val="20"/>
                <w:szCs w:val="20"/>
                <w:color w:val="1C2790"/>
              </w:rPr>
              <w:t>Hydrofarm Holdings Group, Inc. 2019 Equity Incentive Plan (incorporated by reference to Exhibit 10.36 to the</w:t>
            </w:r>
          </w:p>
        </w:tc>
      </w:tr>
      <w:tr>
        <w:trPr>
          <w:trHeight w:val="204"/>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900" w:type="dxa"/>
            <w:vAlign w:val="bottom"/>
            <w:tcBorders>
              <w:top w:val="single" w:sz="8" w:color="1C2790"/>
            </w:tcBorders>
            <w:gridSpan w:val="28"/>
          </w:tcPr>
          <w:p>
            <w:pPr>
              <w:spacing w:after="0" w:line="205" w:lineRule="exact"/>
              <w:rPr>
                <w:sz w:val="20"/>
                <w:szCs w:val="20"/>
                <w:color w:val="auto"/>
              </w:rPr>
            </w:pPr>
            <w:r>
              <w:rPr>
                <w:rFonts w:ascii="Times New Roman" w:cs="Times New Roman" w:eastAsia="Times New Roman" w:hAnsi="Times New Roman"/>
                <w:sz w:val="20"/>
                <w:szCs w:val="20"/>
                <w:color w:val="1C2790"/>
              </w:rPr>
              <w:t>Company’s Registration Statement on Form S-1 (File No. 333-250037), filed with the SEC on November 12,</w:t>
            </w: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60" w:type="dxa"/>
            <w:vAlign w:val="bottom"/>
            <w:gridSpan w:val="2"/>
          </w:tcPr>
          <w:p>
            <w:pPr>
              <w:spacing w:after="0"/>
              <w:rPr>
                <w:sz w:val="17"/>
                <w:szCs w:val="17"/>
                <w:color w:val="auto"/>
              </w:rPr>
            </w:pPr>
          </w:p>
        </w:tc>
        <w:tc>
          <w:tcPr>
            <w:tcW w:w="100" w:type="dxa"/>
            <w:vAlign w:val="bottom"/>
            <w:gridSpan w:val="4"/>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240" w:type="dxa"/>
            <w:vAlign w:val="bottom"/>
            <w:gridSpan w:val="2"/>
          </w:tcPr>
          <w:p>
            <w:pPr>
              <w:spacing w:after="0"/>
              <w:rPr>
                <w:sz w:val="17"/>
                <w:szCs w:val="17"/>
                <w:color w:val="auto"/>
              </w:rPr>
            </w:pPr>
          </w:p>
        </w:tc>
        <w:tc>
          <w:tcPr>
            <w:tcW w:w="520" w:type="dxa"/>
            <w:vAlign w:val="bottom"/>
            <w:tcBorders>
              <w:top w:val="single" w:sz="8" w:color="1C2790"/>
              <w:bottom w:val="single" w:sz="8" w:color="1C2790"/>
            </w:tcBorders>
          </w:tcPr>
          <w:p>
            <w:pPr>
              <w:spacing w:after="0" w:line="204" w:lineRule="exact"/>
              <w:rPr>
                <w:sz w:val="20"/>
                <w:szCs w:val="20"/>
                <w:color w:val="auto"/>
              </w:rPr>
            </w:pPr>
            <w:r>
              <w:rPr>
                <w:rFonts w:ascii="Times New Roman" w:cs="Times New Roman" w:eastAsia="Times New Roman" w:hAnsi="Times New Roman"/>
                <w:sz w:val="20"/>
                <w:szCs w:val="20"/>
                <w:color w:val="1C2790"/>
                <w:w w:val="96"/>
              </w:rPr>
              <w:t>2020).</w:t>
            </w:r>
          </w:p>
        </w:tc>
        <w:tc>
          <w:tcPr>
            <w:tcW w:w="580" w:type="dxa"/>
            <w:vAlign w:val="bottom"/>
            <w:tcBorders>
              <w:top w:val="single" w:sz="8" w:color="1C2790"/>
            </w:tcBorders>
          </w:tcPr>
          <w:p>
            <w:pPr>
              <w:spacing w:after="0"/>
              <w:rPr>
                <w:sz w:val="17"/>
                <w:szCs w:val="17"/>
                <w:color w:val="auto"/>
              </w:rPr>
            </w:pPr>
          </w:p>
        </w:tc>
        <w:tc>
          <w:tcPr>
            <w:tcW w:w="340" w:type="dxa"/>
            <w:vAlign w:val="bottom"/>
            <w:tcBorders>
              <w:top w:val="single" w:sz="8" w:color="1C2790"/>
            </w:tcBorders>
          </w:tcPr>
          <w:p>
            <w:pPr>
              <w:spacing w:after="0"/>
              <w:rPr>
                <w:sz w:val="17"/>
                <w:szCs w:val="17"/>
                <w:color w:val="auto"/>
              </w:rPr>
            </w:pPr>
          </w:p>
        </w:tc>
        <w:tc>
          <w:tcPr>
            <w:tcW w:w="80" w:type="dxa"/>
            <w:vAlign w:val="bottom"/>
            <w:tcBorders>
              <w:top w:val="single" w:sz="8" w:color="1C2790"/>
            </w:tcBorders>
          </w:tcPr>
          <w:p>
            <w:pPr>
              <w:spacing w:after="0"/>
              <w:rPr>
                <w:sz w:val="17"/>
                <w:szCs w:val="17"/>
                <w:color w:val="auto"/>
              </w:rPr>
            </w:pPr>
          </w:p>
        </w:tc>
        <w:tc>
          <w:tcPr>
            <w:tcW w:w="260" w:type="dxa"/>
            <w:vAlign w:val="bottom"/>
            <w:tcBorders>
              <w:top w:val="single" w:sz="8" w:color="1C2790"/>
            </w:tcBorders>
          </w:tcPr>
          <w:p>
            <w:pPr>
              <w:spacing w:after="0"/>
              <w:rPr>
                <w:sz w:val="17"/>
                <w:szCs w:val="17"/>
                <w:color w:val="auto"/>
              </w:rPr>
            </w:pPr>
          </w:p>
        </w:tc>
        <w:tc>
          <w:tcPr>
            <w:tcW w:w="220" w:type="dxa"/>
            <w:vAlign w:val="bottom"/>
            <w:tcBorders>
              <w:top w:val="single" w:sz="8" w:color="1C2790"/>
            </w:tcBorders>
          </w:tcPr>
          <w:p>
            <w:pPr>
              <w:spacing w:after="0"/>
              <w:rPr>
                <w:sz w:val="17"/>
                <w:szCs w:val="17"/>
                <w:color w:val="auto"/>
              </w:rPr>
            </w:pPr>
          </w:p>
        </w:tc>
        <w:tc>
          <w:tcPr>
            <w:tcW w:w="1080" w:type="dxa"/>
            <w:vAlign w:val="bottom"/>
            <w:tcBorders>
              <w:top w:val="single" w:sz="8" w:color="1C2790"/>
            </w:tcBorders>
          </w:tcPr>
          <w:p>
            <w:pPr>
              <w:spacing w:after="0"/>
              <w:rPr>
                <w:sz w:val="17"/>
                <w:szCs w:val="17"/>
                <w:color w:val="auto"/>
              </w:rPr>
            </w:pPr>
          </w:p>
        </w:tc>
        <w:tc>
          <w:tcPr>
            <w:tcW w:w="760" w:type="dxa"/>
            <w:vAlign w:val="bottom"/>
            <w:tcBorders>
              <w:top w:val="single" w:sz="8" w:color="1C2790"/>
            </w:tcBorders>
          </w:tcPr>
          <w:p>
            <w:pPr>
              <w:spacing w:after="0"/>
              <w:rPr>
                <w:sz w:val="17"/>
                <w:szCs w:val="17"/>
                <w:color w:val="auto"/>
              </w:rPr>
            </w:pPr>
          </w:p>
        </w:tc>
        <w:tc>
          <w:tcPr>
            <w:tcW w:w="260" w:type="dxa"/>
            <w:vAlign w:val="bottom"/>
            <w:tcBorders>
              <w:top w:val="single" w:sz="8" w:color="1C2790"/>
            </w:tcBorders>
          </w:tcPr>
          <w:p>
            <w:pPr>
              <w:spacing w:after="0"/>
              <w:rPr>
                <w:sz w:val="17"/>
                <w:szCs w:val="17"/>
                <w:color w:val="auto"/>
              </w:rPr>
            </w:pPr>
          </w:p>
        </w:tc>
        <w:tc>
          <w:tcPr>
            <w:tcW w:w="160" w:type="dxa"/>
            <w:vAlign w:val="bottom"/>
            <w:tcBorders>
              <w:top w:val="single" w:sz="8" w:color="1C2790"/>
            </w:tcBorders>
          </w:tcPr>
          <w:p>
            <w:pPr>
              <w:spacing w:after="0"/>
              <w:rPr>
                <w:sz w:val="17"/>
                <w:szCs w:val="17"/>
                <w:color w:val="auto"/>
              </w:rPr>
            </w:pPr>
          </w:p>
        </w:tc>
        <w:tc>
          <w:tcPr>
            <w:tcW w:w="620" w:type="dxa"/>
            <w:vAlign w:val="bottom"/>
            <w:tcBorders>
              <w:top w:val="single" w:sz="8" w:color="1C2790"/>
            </w:tcBorders>
          </w:tcPr>
          <w:p>
            <w:pPr>
              <w:spacing w:after="0"/>
              <w:rPr>
                <w:sz w:val="17"/>
                <w:szCs w:val="17"/>
                <w:color w:val="auto"/>
              </w:rPr>
            </w:pPr>
          </w:p>
        </w:tc>
        <w:tc>
          <w:tcPr>
            <w:tcW w:w="1340" w:type="dxa"/>
            <w:vAlign w:val="bottom"/>
            <w:tcBorders>
              <w:top w:val="single" w:sz="8" w:color="1C2790"/>
            </w:tcBorders>
          </w:tcPr>
          <w:p>
            <w:pPr>
              <w:spacing w:after="0"/>
              <w:rPr>
                <w:sz w:val="17"/>
                <w:szCs w:val="17"/>
                <w:color w:val="auto"/>
              </w:rPr>
            </w:pPr>
          </w:p>
        </w:tc>
        <w:tc>
          <w:tcPr>
            <w:tcW w:w="400" w:type="dxa"/>
            <w:vAlign w:val="bottom"/>
            <w:tcBorders>
              <w:top w:val="single" w:sz="8" w:color="1C2790"/>
            </w:tcBorders>
          </w:tcPr>
          <w:p>
            <w:pPr>
              <w:spacing w:after="0"/>
              <w:rPr>
                <w:sz w:val="17"/>
                <w:szCs w:val="17"/>
                <w:color w:val="auto"/>
              </w:rPr>
            </w:pPr>
          </w:p>
        </w:tc>
        <w:tc>
          <w:tcPr>
            <w:tcW w:w="1380" w:type="dxa"/>
            <w:vAlign w:val="bottom"/>
            <w:tcBorders>
              <w:top w:val="single" w:sz="8" w:color="1C2790"/>
            </w:tcBorders>
          </w:tcPr>
          <w:p>
            <w:pPr>
              <w:spacing w:after="0"/>
              <w:rPr>
                <w:sz w:val="17"/>
                <w:szCs w:val="17"/>
                <w:color w:val="auto"/>
              </w:rPr>
            </w:pPr>
          </w:p>
        </w:tc>
        <w:tc>
          <w:tcPr>
            <w:tcW w:w="20" w:type="dxa"/>
            <w:vAlign w:val="bottom"/>
            <w:tcBorders>
              <w:top w:val="single" w:sz="8" w:color="1C2790"/>
            </w:tcBorders>
          </w:tcPr>
          <w:p>
            <w:pPr>
              <w:spacing w:after="0"/>
              <w:rPr>
                <w:sz w:val="17"/>
                <w:szCs w:val="17"/>
                <w:color w:val="auto"/>
              </w:rPr>
            </w:pPr>
          </w:p>
        </w:tc>
        <w:tc>
          <w:tcPr>
            <w:tcW w:w="240" w:type="dxa"/>
            <w:vAlign w:val="bottom"/>
            <w:tcBorders>
              <w:top w:val="single" w:sz="8" w:color="1C2790"/>
            </w:tcBorders>
          </w:tcPr>
          <w:p>
            <w:pPr>
              <w:spacing w:after="0"/>
              <w:rPr>
                <w:sz w:val="17"/>
                <w:szCs w:val="17"/>
                <w:color w:val="auto"/>
              </w:rPr>
            </w:pPr>
          </w:p>
        </w:tc>
        <w:tc>
          <w:tcPr>
            <w:tcW w:w="180" w:type="dxa"/>
            <w:vAlign w:val="bottom"/>
            <w:tcBorders>
              <w:top w:val="single" w:sz="8" w:color="1C2790"/>
            </w:tcBorders>
          </w:tcPr>
          <w:p>
            <w:pPr>
              <w:spacing w:after="0"/>
              <w:rPr>
                <w:sz w:val="17"/>
                <w:szCs w:val="17"/>
                <w:color w:val="auto"/>
              </w:rPr>
            </w:pPr>
          </w:p>
        </w:tc>
        <w:tc>
          <w:tcPr>
            <w:tcW w:w="80" w:type="dxa"/>
            <w:vAlign w:val="bottom"/>
            <w:tcBorders>
              <w:top w:val="single" w:sz="8" w:color="1C2790"/>
            </w:tcBorders>
          </w:tcPr>
          <w:p>
            <w:pPr>
              <w:spacing w:after="0"/>
              <w:rPr>
                <w:sz w:val="17"/>
                <w:szCs w:val="17"/>
                <w:color w:val="auto"/>
              </w:rPr>
            </w:pPr>
          </w:p>
        </w:tc>
        <w:tc>
          <w:tcPr>
            <w:tcW w:w="80" w:type="dxa"/>
            <w:vAlign w:val="bottom"/>
            <w:tcBorders>
              <w:top w:val="single" w:sz="8" w:color="1C2790"/>
            </w:tcBorders>
          </w:tcPr>
          <w:p>
            <w:pPr>
              <w:spacing w:after="0"/>
              <w:rPr>
                <w:sz w:val="17"/>
                <w:szCs w:val="17"/>
                <w:color w:val="auto"/>
              </w:rPr>
            </w:pPr>
          </w:p>
        </w:tc>
        <w:tc>
          <w:tcPr>
            <w:tcW w:w="20" w:type="dxa"/>
            <w:vAlign w:val="bottom"/>
            <w:tcBorders>
              <w:top w:val="single" w:sz="8" w:color="1C2790"/>
            </w:tcBorders>
          </w:tcPr>
          <w:p>
            <w:pPr>
              <w:spacing w:after="0"/>
              <w:rPr>
                <w:sz w:val="17"/>
                <w:szCs w:val="17"/>
                <w:color w:val="auto"/>
              </w:rPr>
            </w:pPr>
          </w:p>
        </w:tc>
        <w:tc>
          <w:tcPr>
            <w:tcW w:w="20" w:type="dxa"/>
            <w:vAlign w:val="bottom"/>
            <w:tcBorders>
              <w:top w:val="single" w:sz="8" w:color="1C2790"/>
            </w:tcBorders>
          </w:tcPr>
          <w:p>
            <w:pPr>
              <w:spacing w:after="0"/>
              <w:rPr>
                <w:sz w:val="17"/>
                <w:szCs w:val="17"/>
                <w:color w:val="auto"/>
              </w:rPr>
            </w:pPr>
          </w:p>
        </w:tc>
        <w:tc>
          <w:tcPr>
            <w:tcW w:w="20" w:type="dxa"/>
            <w:vAlign w:val="bottom"/>
            <w:tcBorders>
              <w:top w:val="single" w:sz="8" w:color="1C2790"/>
            </w:tcBorders>
          </w:tcPr>
          <w:p>
            <w:pPr>
              <w:spacing w:after="0"/>
              <w:rPr>
                <w:sz w:val="17"/>
                <w:szCs w:val="17"/>
                <w:color w:val="auto"/>
              </w:rPr>
            </w:pPr>
          </w:p>
        </w:tc>
        <w:tc>
          <w:tcPr>
            <w:tcW w:w="80" w:type="dxa"/>
            <w:vAlign w:val="bottom"/>
            <w:tcBorders>
              <w:top w:val="single" w:sz="8" w:color="1C2790"/>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68"/>
        </w:trPr>
        <w:tc>
          <w:tcPr>
            <w:tcW w:w="8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10.19**</w:t>
            </w: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920" w:type="dxa"/>
            <w:vAlign w:val="bottom"/>
            <w:tcBorders>
              <w:bottom w:val="single" w:sz="8" w:color="1C2790"/>
            </w:tcBorders>
            <w:gridSpan w:val="30"/>
          </w:tcPr>
          <w:p>
            <w:pPr>
              <w:spacing w:after="0"/>
              <w:rPr>
                <w:sz w:val="20"/>
                <w:szCs w:val="20"/>
                <w:color w:val="auto"/>
              </w:rPr>
            </w:pPr>
            <w:r>
              <w:rPr>
                <w:rFonts w:ascii="Times New Roman" w:cs="Times New Roman" w:eastAsia="Times New Roman" w:hAnsi="Times New Roman"/>
                <w:sz w:val="20"/>
                <w:szCs w:val="20"/>
                <w:color w:val="1C2790"/>
              </w:rPr>
              <w:t>Form of Hydrofarm Holdings Group, Inc. 2019 Equity Incentive Plan Stock Option Grant Notice (incorporated</w:t>
            </w:r>
          </w:p>
        </w:tc>
        <w:tc>
          <w:tcPr>
            <w:tcW w:w="240" w:type="dxa"/>
            <w:vAlign w:val="bottom"/>
            <w:gridSpan w:val="8"/>
          </w:tcPr>
          <w:p>
            <w:pPr>
              <w:spacing w:after="0"/>
              <w:rPr>
                <w:sz w:val="23"/>
                <w:szCs w:val="23"/>
                <w:color w:val="auto"/>
              </w:rPr>
            </w:pPr>
          </w:p>
        </w:tc>
      </w:tr>
      <w:tr>
        <w:trPr>
          <w:trHeight w:val="204"/>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160" w:type="dxa"/>
            <w:vAlign w:val="bottom"/>
            <w:gridSpan w:val="38"/>
          </w:tcPr>
          <w:p>
            <w:pPr>
              <w:spacing w:after="0" w:line="205" w:lineRule="exact"/>
              <w:rPr>
                <w:sz w:val="20"/>
                <w:szCs w:val="20"/>
                <w:color w:val="auto"/>
              </w:rPr>
            </w:pPr>
            <w:r>
              <w:rPr>
                <w:rFonts w:ascii="Times New Roman" w:cs="Times New Roman" w:eastAsia="Times New Roman" w:hAnsi="Times New Roman"/>
                <w:sz w:val="20"/>
                <w:szCs w:val="20"/>
                <w:color w:val="1C2790"/>
              </w:rPr>
              <w:t>by reference to Exhibit 10.37 to the Company’s Registration Statement on Form S-1 (File No. 333-250037), filed</w:t>
            </w:r>
          </w:p>
        </w:tc>
      </w:tr>
      <w:tr>
        <w:trPr>
          <w:trHeight w:val="203"/>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80" w:type="dxa"/>
            <w:vAlign w:val="bottom"/>
            <w:tcBorders>
              <w:top w:val="single" w:sz="8" w:color="1C2790"/>
              <w:bottom w:val="single" w:sz="8" w:color="1C2790"/>
            </w:tcBorders>
            <w:gridSpan w:val="7"/>
          </w:tcPr>
          <w:p>
            <w:pPr>
              <w:spacing w:after="0" w:line="204" w:lineRule="exact"/>
              <w:rPr>
                <w:sz w:val="20"/>
                <w:szCs w:val="20"/>
                <w:color w:val="auto"/>
              </w:rPr>
            </w:pPr>
            <w:r>
              <w:rPr>
                <w:rFonts w:ascii="Times New Roman" w:cs="Times New Roman" w:eastAsia="Times New Roman" w:hAnsi="Times New Roman"/>
                <w:sz w:val="20"/>
                <w:szCs w:val="20"/>
                <w:color w:val="1C2790"/>
                <w:w w:val="99"/>
              </w:rPr>
              <w:t>with the SEC on November 12, 2020).</w:t>
            </w:r>
          </w:p>
        </w:tc>
        <w:tc>
          <w:tcPr>
            <w:tcW w:w="6000" w:type="dxa"/>
            <w:vAlign w:val="bottom"/>
            <w:tcBorders>
              <w:top w:val="single" w:sz="8" w:color="1C2790"/>
            </w:tcBorders>
            <w:gridSpan w:val="28"/>
          </w:tcPr>
          <w:p>
            <w:pPr>
              <w:spacing w:after="0"/>
              <w:rPr>
                <w:sz w:val="17"/>
                <w:szCs w:val="17"/>
                <w:color w:val="auto"/>
              </w:rPr>
            </w:pPr>
          </w:p>
        </w:tc>
        <w:tc>
          <w:tcPr>
            <w:tcW w:w="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r>
      <w:tr>
        <w:trPr>
          <w:trHeight w:val="268"/>
        </w:trPr>
        <w:tc>
          <w:tcPr>
            <w:tcW w:w="8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10.20**</w:t>
            </w: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160" w:type="dxa"/>
            <w:vAlign w:val="bottom"/>
            <w:gridSpan w:val="38"/>
          </w:tcPr>
          <w:p>
            <w:pPr>
              <w:spacing w:after="0"/>
              <w:rPr>
                <w:sz w:val="20"/>
                <w:szCs w:val="20"/>
                <w:color w:val="auto"/>
              </w:rPr>
            </w:pPr>
            <w:r>
              <w:rPr>
                <w:rFonts w:ascii="Times New Roman" w:cs="Times New Roman" w:eastAsia="Times New Roman" w:hAnsi="Times New Roman"/>
                <w:sz w:val="20"/>
                <w:szCs w:val="20"/>
                <w:color w:val="1C2790"/>
              </w:rPr>
              <w:t>Hydrofarm Holdings Group, Inc. 2020 Equity Incentive Plan (incorporated by reference to Exhibit 10.38 to the</w:t>
            </w:r>
          </w:p>
        </w:tc>
      </w:tr>
      <w:tr>
        <w:trPr>
          <w:trHeight w:val="203"/>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900" w:type="dxa"/>
            <w:vAlign w:val="bottom"/>
            <w:tcBorders>
              <w:top w:val="single" w:sz="8" w:color="1C2790"/>
            </w:tcBorders>
            <w:gridSpan w:val="28"/>
          </w:tcPr>
          <w:p>
            <w:pPr>
              <w:spacing w:after="0" w:line="204" w:lineRule="exact"/>
              <w:rPr>
                <w:sz w:val="20"/>
                <w:szCs w:val="20"/>
                <w:color w:val="auto"/>
              </w:rPr>
            </w:pPr>
            <w:r>
              <w:rPr>
                <w:rFonts w:ascii="Times New Roman" w:cs="Times New Roman" w:eastAsia="Times New Roman" w:hAnsi="Times New Roman"/>
                <w:sz w:val="20"/>
                <w:szCs w:val="20"/>
                <w:color w:val="1C2790"/>
              </w:rPr>
              <w:t>Company’s Registration Statement on Form S-1/A (File No. 333-250037), filed with the SEC on December 1,</w:t>
            </w: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60" w:type="dxa"/>
            <w:vAlign w:val="bottom"/>
            <w:gridSpan w:val="2"/>
          </w:tcPr>
          <w:p>
            <w:pPr>
              <w:spacing w:after="0"/>
              <w:rPr>
                <w:sz w:val="17"/>
                <w:szCs w:val="17"/>
                <w:color w:val="auto"/>
              </w:rPr>
            </w:pPr>
          </w:p>
        </w:tc>
        <w:tc>
          <w:tcPr>
            <w:tcW w:w="100" w:type="dxa"/>
            <w:vAlign w:val="bottom"/>
            <w:gridSpan w:val="4"/>
          </w:tcPr>
          <w:p>
            <w:pPr>
              <w:spacing w:after="0"/>
              <w:rPr>
                <w:sz w:val="17"/>
                <w:szCs w:val="17"/>
                <w:color w:val="auto"/>
              </w:rPr>
            </w:pPr>
          </w:p>
        </w:tc>
        <w:tc>
          <w:tcPr>
            <w:tcW w:w="40" w:type="dxa"/>
            <w:vAlign w:val="bottom"/>
          </w:tcPr>
          <w:p>
            <w:pPr>
              <w:spacing w:after="0"/>
              <w:rPr>
                <w:sz w:val="17"/>
                <w:szCs w:val="17"/>
                <w:color w:val="auto"/>
              </w:rPr>
            </w:pPr>
          </w:p>
        </w:tc>
      </w:tr>
      <w:tr>
        <w:trPr>
          <w:trHeight w:val="204"/>
        </w:trPr>
        <w:tc>
          <w:tcPr>
            <w:tcW w:w="860" w:type="dxa"/>
            <w:vAlign w:val="bottom"/>
          </w:tcPr>
          <w:p>
            <w:pPr>
              <w:spacing w:after="0"/>
              <w:rPr>
                <w:sz w:val="17"/>
                <w:szCs w:val="17"/>
                <w:color w:val="auto"/>
              </w:rPr>
            </w:pPr>
          </w:p>
        </w:tc>
        <w:tc>
          <w:tcPr>
            <w:tcW w:w="240" w:type="dxa"/>
            <w:vAlign w:val="bottom"/>
            <w:gridSpan w:val="2"/>
          </w:tcPr>
          <w:p>
            <w:pPr>
              <w:spacing w:after="0"/>
              <w:rPr>
                <w:sz w:val="17"/>
                <w:szCs w:val="17"/>
                <w:color w:val="auto"/>
              </w:rPr>
            </w:pPr>
          </w:p>
        </w:tc>
        <w:tc>
          <w:tcPr>
            <w:tcW w:w="520" w:type="dxa"/>
            <w:vAlign w:val="bottom"/>
            <w:tcBorders>
              <w:top w:val="single" w:sz="8" w:color="1C2790"/>
              <w:bottom w:val="single" w:sz="8" w:color="1C2790"/>
            </w:tcBorders>
          </w:tcPr>
          <w:p>
            <w:pPr>
              <w:spacing w:after="0" w:line="205" w:lineRule="exact"/>
              <w:rPr>
                <w:sz w:val="20"/>
                <w:szCs w:val="20"/>
                <w:color w:val="auto"/>
              </w:rPr>
            </w:pPr>
            <w:r>
              <w:rPr>
                <w:rFonts w:ascii="Times New Roman" w:cs="Times New Roman" w:eastAsia="Times New Roman" w:hAnsi="Times New Roman"/>
                <w:sz w:val="20"/>
                <w:szCs w:val="20"/>
                <w:color w:val="1C2790"/>
                <w:w w:val="96"/>
              </w:rPr>
              <w:t>2020).</w:t>
            </w:r>
          </w:p>
        </w:tc>
        <w:tc>
          <w:tcPr>
            <w:tcW w:w="580" w:type="dxa"/>
            <w:vAlign w:val="bottom"/>
            <w:tcBorders>
              <w:top w:val="single" w:sz="8" w:color="1C2790"/>
            </w:tcBorders>
          </w:tcPr>
          <w:p>
            <w:pPr>
              <w:spacing w:after="0"/>
              <w:rPr>
                <w:sz w:val="17"/>
                <w:szCs w:val="17"/>
                <w:color w:val="auto"/>
              </w:rPr>
            </w:pPr>
          </w:p>
        </w:tc>
        <w:tc>
          <w:tcPr>
            <w:tcW w:w="340" w:type="dxa"/>
            <w:vAlign w:val="bottom"/>
            <w:tcBorders>
              <w:top w:val="single" w:sz="8" w:color="1C2790"/>
            </w:tcBorders>
          </w:tcPr>
          <w:p>
            <w:pPr>
              <w:spacing w:after="0"/>
              <w:rPr>
                <w:sz w:val="17"/>
                <w:szCs w:val="17"/>
                <w:color w:val="auto"/>
              </w:rPr>
            </w:pPr>
          </w:p>
        </w:tc>
        <w:tc>
          <w:tcPr>
            <w:tcW w:w="80" w:type="dxa"/>
            <w:vAlign w:val="bottom"/>
            <w:tcBorders>
              <w:top w:val="single" w:sz="8" w:color="1C2790"/>
            </w:tcBorders>
          </w:tcPr>
          <w:p>
            <w:pPr>
              <w:spacing w:after="0"/>
              <w:rPr>
                <w:sz w:val="17"/>
                <w:szCs w:val="17"/>
                <w:color w:val="auto"/>
              </w:rPr>
            </w:pPr>
          </w:p>
        </w:tc>
        <w:tc>
          <w:tcPr>
            <w:tcW w:w="260" w:type="dxa"/>
            <w:vAlign w:val="bottom"/>
            <w:tcBorders>
              <w:top w:val="single" w:sz="8" w:color="1C2790"/>
            </w:tcBorders>
          </w:tcPr>
          <w:p>
            <w:pPr>
              <w:spacing w:after="0"/>
              <w:rPr>
                <w:sz w:val="17"/>
                <w:szCs w:val="17"/>
                <w:color w:val="auto"/>
              </w:rPr>
            </w:pPr>
          </w:p>
        </w:tc>
        <w:tc>
          <w:tcPr>
            <w:tcW w:w="220" w:type="dxa"/>
            <w:vAlign w:val="bottom"/>
            <w:tcBorders>
              <w:top w:val="single" w:sz="8" w:color="1C2790"/>
            </w:tcBorders>
          </w:tcPr>
          <w:p>
            <w:pPr>
              <w:spacing w:after="0"/>
              <w:rPr>
                <w:sz w:val="17"/>
                <w:szCs w:val="17"/>
                <w:color w:val="auto"/>
              </w:rPr>
            </w:pPr>
          </w:p>
        </w:tc>
        <w:tc>
          <w:tcPr>
            <w:tcW w:w="1080" w:type="dxa"/>
            <w:vAlign w:val="bottom"/>
            <w:tcBorders>
              <w:top w:val="single" w:sz="8" w:color="1C2790"/>
            </w:tcBorders>
          </w:tcPr>
          <w:p>
            <w:pPr>
              <w:spacing w:after="0"/>
              <w:rPr>
                <w:sz w:val="17"/>
                <w:szCs w:val="17"/>
                <w:color w:val="auto"/>
              </w:rPr>
            </w:pPr>
          </w:p>
        </w:tc>
        <w:tc>
          <w:tcPr>
            <w:tcW w:w="760" w:type="dxa"/>
            <w:vAlign w:val="bottom"/>
            <w:tcBorders>
              <w:top w:val="single" w:sz="8" w:color="1C2790"/>
            </w:tcBorders>
          </w:tcPr>
          <w:p>
            <w:pPr>
              <w:spacing w:after="0"/>
              <w:rPr>
                <w:sz w:val="17"/>
                <w:szCs w:val="17"/>
                <w:color w:val="auto"/>
              </w:rPr>
            </w:pPr>
          </w:p>
        </w:tc>
        <w:tc>
          <w:tcPr>
            <w:tcW w:w="260" w:type="dxa"/>
            <w:vAlign w:val="bottom"/>
            <w:tcBorders>
              <w:top w:val="single" w:sz="8" w:color="1C2790"/>
            </w:tcBorders>
          </w:tcPr>
          <w:p>
            <w:pPr>
              <w:spacing w:after="0"/>
              <w:rPr>
                <w:sz w:val="17"/>
                <w:szCs w:val="17"/>
                <w:color w:val="auto"/>
              </w:rPr>
            </w:pPr>
          </w:p>
        </w:tc>
        <w:tc>
          <w:tcPr>
            <w:tcW w:w="160" w:type="dxa"/>
            <w:vAlign w:val="bottom"/>
            <w:tcBorders>
              <w:top w:val="single" w:sz="8" w:color="1C2790"/>
            </w:tcBorders>
          </w:tcPr>
          <w:p>
            <w:pPr>
              <w:spacing w:after="0"/>
              <w:rPr>
                <w:sz w:val="17"/>
                <w:szCs w:val="17"/>
                <w:color w:val="auto"/>
              </w:rPr>
            </w:pPr>
          </w:p>
        </w:tc>
        <w:tc>
          <w:tcPr>
            <w:tcW w:w="620" w:type="dxa"/>
            <w:vAlign w:val="bottom"/>
            <w:tcBorders>
              <w:top w:val="single" w:sz="8" w:color="1C2790"/>
            </w:tcBorders>
          </w:tcPr>
          <w:p>
            <w:pPr>
              <w:spacing w:after="0"/>
              <w:rPr>
                <w:sz w:val="17"/>
                <w:szCs w:val="17"/>
                <w:color w:val="auto"/>
              </w:rPr>
            </w:pPr>
          </w:p>
        </w:tc>
        <w:tc>
          <w:tcPr>
            <w:tcW w:w="1340" w:type="dxa"/>
            <w:vAlign w:val="bottom"/>
            <w:tcBorders>
              <w:top w:val="single" w:sz="8" w:color="1C2790"/>
            </w:tcBorders>
          </w:tcPr>
          <w:p>
            <w:pPr>
              <w:spacing w:after="0"/>
              <w:rPr>
                <w:sz w:val="17"/>
                <w:szCs w:val="17"/>
                <w:color w:val="auto"/>
              </w:rPr>
            </w:pPr>
          </w:p>
        </w:tc>
        <w:tc>
          <w:tcPr>
            <w:tcW w:w="400" w:type="dxa"/>
            <w:vAlign w:val="bottom"/>
            <w:tcBorders>
              <w:top w:val="single" w:sz="8" w:color="1C2790"/>
            </w:tcBorders>
          </w:tcPr>
          <w:p>
            <w:pPr>
              <w:spacing w:after="0"/>
              <w:rPr>
                <w:sz w:val="17"/>
                <w:szCs w:val="17"/>
                <w:color w:val="auto"/>
              </w:rPr>
            </w:pPr>
          </w:p>
        </w:tc>
        <w:tc>
          <w:tcPr>
            <w:tcW w:w="1380" w:type="dxa"/>
            <w:vAlign w:val="bottom"/>
            <w:tcBorders>
              <w:top w:val="single" w:sz="8" w:color="1C2790"/>
            </w:tcBorders>
          </w:tcPr>
          <w:p>
            <w:pPr>
              <w:spacing w:after="0"/>
              <w:rPr>
                <w:sz w:val="17"/>
                <w:szCs w:val="17"/>
                <w:color w:val="auto"/>
              </w:rPr>
            </w:pPr>
          </w:p>
        </w:tc>
        <w:tc>
          <w:tcPr>
            <w:tcW w:w="20" w:type="dxa"/>
            <w:vAlign w:val="bottom"/>
            <w:tcBorders>
              <w:top w:val="single" w:sz="8" w:color="1C2790"/>
            </w:tcBorders>
          </w:tcPr>
          <w:p>
            <w:pPr>
              <w:spacing w:after="0"/>
              <w:rPr>
                <w:sz w:val="17"/>
                <w:szCs w:val="17"/>
                <w:color w:val="auto"/>
              </w:rPr>
            </w:pPr>
          </w:p>
        </w:tc>
        <w:tc>
          <w:tcPr>
            <w:tcW w:w="240" w:type="dxa"/>
            <w:vAlign w:val="bottom"/>
            <w:tcBorders>
              <w:top w:val="single" w:sz="8" w:color="1C2790"/>
            </w:tcBorders>
          </w:tcPr>
          <w:p>
            <w:pPr>
              <w:spacing w:after="0"/>
              <w:rPr>
                <w:sz w:val="17"/>
                <w:szCs w:val="17"/>
                <w:color w:val="auto"/>
              </w:rPr>
            </w:pPr>
          </w:p>
        </w:tc>
        <w:tc>
          <w:tcPr>
            <w:tcW w:w="180" w:type="dxa"/>
            <w:vAlign w:val="bottom"/>
            <w:tcBorders>
              <w:top w:val="single" w:sz="8" w:color="1C2790"/>
            </w:tcBorders>
          </w:tcPr>
          <w:p>
            <w:pPr>
              <w:spacing w:after="0"/>
              <w:rPr>
                <w:sz w:val="17"/>
                <w:szCs w:val="17"/>
                <w:color w:val="auto"/>
              </w:rPr>
            </w:pPr>
          </w:p>
        </w:tc>
        <w:tc>
          <w:tcPr>
            <w:tcW w:w="80" w:type="dxa"/>
            <w:vAlign w:val="bottom"/>
            <w:tcBorders>
              <w:top w:val="single" w:sz="8" w:color="1C2790"/>
            </w:tcBorders>
          </w:tcPr>
          <w:p>
            <w:pPr>
              <w:spacing w:after="0"/>
              <w:rPr>
                <w:sz w:val="17"/>
                <w:szCs w:val="17"/>
                <w:color w:val="auto"/>
              </w:rPr>
            </w:pPr>
          </w:p>
        </w:tc>
        <w:tc>
          <w:tcPr>
            <w:tcW w:w="80" w:type="dxa"/>
            <w:vAlign w:val="bottom"/>
            <w:tcBorders>
              <w:top w:val="single" w:sz="8" w:color="1C2790"/>
            </w:tcBorders>
          </w:tcPr>
          <w:p>
            <w:pPr>
              <w:spacing w:after="0"/>
              <w:rPr>
                <w:sz w:val="17"/>
                <w:szCs w:val="17"/>
                <w:color w:val="auto"/>
              </w:rPr>
            </w:pPr>
          </w:p>
        </w:tc>
        <w:tc>
          <w:tcPr>
            <w:tcW w:w="20" w:type="dxa"/>
            <w:vAlign w:val="bottom"/>
            <w:tcBorders>
              <w:top w:val="single" w:sz="8" w:color="1C2790"/>
            </w:tcBorders>
          </w:tcPr>
          <w:p>
            <w:pPr>
              <w:spacing w:after="0"/>
              <w:rPr>
                <w:sz w:val="17"/>
                <w:szCs w:val="17"/>
                <w:color w:val="auto"/>
              </w:rPr>
            </w:pPr>
          </w:p>
        </w:tc>
        <w:tc>
          <w:tcPr>
            <w:tcW w:w="20" w:type="dxa"/>
            <w:vAlign w:val="bottom"/>
            <w:tcBorders>
              <w:top w:val="single" w:sz="8" w:color="1C2790"/>
            </w:tcBorders>
          </w:tcPr>
          <w:p>
            <w:pPr>
              <w:spacing w:after="0"/>
              <w:rPr>
                <w:sz w:val="17"/>
                <w:szCs w:val="17"/>
                <w:color w:val="auto"/>
              </w:rPr>
            </w:pPr>
          </w:p>
        </w:tc>
        <w:tc>
          <w:tcPr>
            <w:tcW w:w="20" w:type="dxa"/>
            <w:vAlign w:val="bottom"/>
            <w:tcBorders>
              <w:top w:val="single" w:sz="8" w:color="1C2790"/>
            </w:tcBorders>
          </w:tcPr>
          <w:p>
            <w:pPr>
              <w:spacing w:after="0"/>
              <w:rPr>
                <w:sz w:val="17"/>
                <w:szCs w:val="17"/>
                <w:color w:val="auto"/>
              </w:rPr>
            </w:pPr>
          </w:p>
        </w:tc>
        <w:tc>
          <w:tcPr>
            <w:tcW w:w="80" w:type="dxa"/>
            <w:vAlign w:val="bottom"/>
            <w:tcBorders>
              <w:top w:val="single" w:sz="8" w:color="1C2790"/>
            </w:tcBorders>
          </w:tcPr>
          <w:p>
            <w:pPr>
              <w:spacing w:after="0"/>
              <w:rPr>
                <w:sz w:val="17"/>
                <w:szCs w:val="17"/>
                <w:color w:val="auto"/>
              </w:rPr>
            </w:pPr>
          </w:p>
        </w:tc>
        <w:tc>
          <w:tcPr>
            <w:tcW w:w="20" w:type="dxa"/>
            <w:vAlign w:val="bottom"/>
            <w:tcBorders>
              <w:top w:val="single" w:sz="8" w:color="1C2790"/>
            </w:tcBorders>
          </w:tcPr>
          <w:p>
            <w:pPr>
              <w:spacing w:after="0"/>
              <w:rPr>
                <w:sz w:val="17"/>
                <w:szCs w:val="17"/>
                <w:color w:val="auto"/>
              </w:rPr>
            </w:pPr>
          </w:p>
        </w:tc>
        <w:tc>
          <w:tcPr>
            <w:tcW w:w="20" w:type="dxa"/>
            <w:vAlign w:val="bottom"/>
            <w:tcBorders>
              <w:top w:val="single" w:sz="8" w:color="1C2790"/>
            </w:tcBorders>
          </w:tcPr>
          <w:p>
            <w:pPr>
              <w:spacing w:after="0"/>
              <w:rPr>
                <w:sz w:val="17"/>
                <w:szCs w:val="17"/>
                <w:color w:val="auto"/>
              </w:rPr>
            </w:pPr>
          </w:p>
        </w:tc>
        <w:tc>
          <w:tcPr>
            <w:tcW w:w="40" w:type="dxa"/>
            <w:vAlign w:val="bottom"/>
            <w:tcBorders>
              <w:top w:val="single" w:sz="8" w:color="1C2790"/>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68"/>
        </w:trPr>
        <w:tc>
          <w:tcPr>
            <w:tcW w:w="8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10.21**</w:t>
            </w: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160" w:type="dxa"/>
            <w:vAlign w:val="bottom"/>
            <w:gridSpan w:val="38"/>
          </w:tcPr>
          <w:p>
            <w:pPr>
              <w:spacing w:after="0"/>
              <w:rPr>
                <w:sz w:val="20"/>
                <w:szCs w:val="20"/>
                <w:color w:val="auto"/>
              </w:rPr>
            </w:pPr>
            <w:r>
              <w:rPr>
                <w:rFonts w:ascii="Times New Roman" w:cs="Times New Roman" w:eastAsia="Times New Roman" w:hAnsi="Times New Roman"/>
                <w:sz w:val="20"/>
                <w:szCs w:val="20"/>
                <w:color w:val="1C2790"/>
              </w:rPr>
              <w:t>Form of Hydrofarm Holdings Group, Inc. 2020 Equity Incentive Plan Stock Option Grant Notice (incorporated</w:t>
            </w:r>
          </w:p>
        </w:tc>
      </w:tr>
      <w:tr>
        <w:trPr>
          <w:trHeight w:val="203"/>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920" w:type="dxa"/>
            <w:vAlign w:val="bottom"/>
            <w:tcBorders>
              <w:top w:val="single" w:sz="8" w:color="1C2790"/>
            </w:tcBorders>
            <w:gridSpan w:val="29"/>
          </w:tcPr>
          <w:p>
            <w:pPr>
              <w:spacing w:after="0" w:line="204" w:lineRule="exact"/>
              <w:rPr>
                <w:sz w:val="20"/>
                <w:szCs w:val="20"/>
                <w:color w:val="auto"/>
              </w:rPr>
            </w:pPr>
            <w:r>
              <w:rPr>
                <w:rFonts w:ascii="Times New Roman" w:cs="Times New Roman" w:eastAsia="Times New Roman" w:hAnsi="Times New Roman"/>
                <w:sz w:val="20"/>
                <w:szCs w:val="20"/>
                <w:color w:val="1C2790"/>
              </w:rPr>
              <w:t>by reference to Exhibit 10.1 to the Company’s Quarterly Report on Form 10-Q filed with the SEC on May 14,</w:t>
            </w:r>
          </w:p>
        </w:tc>
        <w:tc>
          <w:tcPr>
            <w:tcW w:w="40" w:type="dxa"/>
            <w:vAlign w:val="bottom"/>
            <w:gridSpan w:val="2"/>
          </w:tcPr>
          <w:p>
            <w:pPr>
              <w:spacing w:after="0"/>
              <w:rPr>
                <w:sz w:val="17"/>
                <w:szCs w:val="17"/>
                <w:color w:val="auto"/>
              </w:rPr>
            </w:pPr>
          </w:p>
        </w:tc>
        <w:tc>
          <w:tcPr>
            <w:tcW w:w="60" w:type="dxa"/>
            <w:vAlign w:val="bottom"/>
            <w:gridSpan w:val="2"/>
          </w:tcPr>
          <w:p>
            <w:pPr>
              <w:spacing w:after="0"/>
              <w:rPr>
                <w:sz w:val="17"/>
                <w:szCs w:val="17"/>
                <w:color w:val="auto"/>
              </w:rPr>
            </w:pPr>
          </w:p>
        </w:tc>
        <w:tc>
          <w:tcPr>
            <w:tcW w:w="100" w:type="dxa"/>
            <w:vAlign w:val="bottom"/>
            <w:gridSpan w:val="4"/>
          </w:tcPr>
          <w:p>
            <w:pPr>
              <w:spacing w:after="0"/>
              <w:rPr>
                <w:sz w:val="17"/>
                <w:szCs w:val="17"/>
                <w:color w:val="auto"/>
              </w:rPr>
            </w:pPr>
          </w:p>
        </w:tc>
        <w:tc>
          <w:tcPr>
            <w:tcW w:w="40" w:type="dxa"/>
            <w:vAlign w:val="bottom"/>
          </w:tcPr>
          <w:p>
            <w:pPr>
              <w:spacing w:after="0"/>
              <w:rPr>
                <w:sz w:val="17"/>
                <w:szCs w:val="17"/>
                <w:color w:val="auto"/>
              </w:rPr>
            </w:pPr>
          </w:p>
        </w:tc>
      </w:tr>
      <w:tr>
        <w:trPr>
          <w:trHeight w:val="204"/>
        </w:trPr>
        <w:tc>
          <w:tcPr>
            <w:tcW w:w="860" w:type="dxa"/>
            <w:vAlign w:val="bottom"/>
          </w:tcPr>
          <w:p>
            <w:pPr>
              <w:spacing w:after="0"/>
              <w:rPr>
                <w:sz w:val="17"/>
                <w:szCs w:val="17"/>
                <w:color w:val="auto"/>
              </w:rPr>
            </w:pPr>
          </w:p>
        </w:tc>
        <w:tc>
          <w:tcPr>
            <w:tcW w:w="240" w:type="dxa"/>
            <w:vAlign w:val="bottom"/>
            <w:gridSpan w:val="2"/>
          </w:tcPr>
          <w:p>
            <w:pPr>
              <w:spacing w:after="0"/>
              <w:rPr>
                <w:sz w:val="17"/>
                <w:szCs w:val="17"/>
                <w:color w:val="auto"/>
              </w:rPr>
            </w:pPr>
          </w:p>
        </w:tc>
        <w:tc>
          <w:tcPr>
            <w:tcW w:w="520" w:type="dxa"/>
            <w:vAlign w:val="bottom"/>
            <w:tcBorders>
              <w:top w:val="single" w:sz="8" w:color="1C2790"/>
              <w:bottom w:val="single" w:sz="8" w:color="1C2790"/>
            </w:tcBorders>
          </w:tcPr>
          <w:p>
            <w:pPr>
              <w:spacing w:after="0" w:line="205" w:lineRule="exact"/>
              <w:rPr>
                <w:sz w:val="20"/>
                <w:szCs w:val="20"/>
                <w:color w:val="auto"/>
              </w:rPr>
            </w:pPr>
            <w:r>
              <w:rPr>
                <w:rFonts w:ascii="Times New Roman" w:cs="Times New Roman" w:eastAsia="Times New Roman" w:hAnsi="Times New Roman"/>
                <w:sz w:val="20"/>
                <w:szCs w:val="20"/>
                <w:color w:val="1C2790"/>
                <w:w w:val="96"/>
              </w:rPr>
              <w:t>2024).</w:t>
            </w:r>
          </w:p>
        </w:tc>
        <w:tc>
          <w:tcPr>
            <w:tcW w:w="580" w:type="dxa"/>
            <w:vAlign w:val="bottom"/>
            <w:tcBorders>
              <w:top w:val="single" w:sz="8" w:color="1C2790"/>
            </w:tcBorders>
          </w:tcPr>
          <w:p>
            <w:pPr>
              <w:spacing w:after="0"/>
              <w:rPr>
                <w:sz w:val="17"/>
                <w:szCs w:val="17"/>
                <w:color w:val="auto"/>
              </w:rPr>
            </w:pPr>
          </w:p>
        </w:tc>
        <w:tc>
          <w:tcPr>
            <w:tcW w:w="340" w:type="dxa"/>
            <w:vAlign w:val="bottom"/>
            <w:tcBorders>
              <w:top w:val="single" w:sz="8" w:color="1C2790"/>
            </w:tcBorders>
          </w:tcPr>
          <w:p>
            <w:pPr>
              <w:spacing w:after="0"/>
              <w:rPr>
                <w:sz w:val="17"/>
                <w:szCs w:val="17"/>
                <w:color w:val="auto"/>
              </w:rPr>
            </w:pPr>
          </w:p>
        </w:tc>
        <w:tc>
          <w:tcPr>
            <w:tcW w:w="80" w:type="dxa"/>
            <w:vAlign w:val="bottom"/>
            <w:tcBorders>
              <w:top w:val="single" w:sz="8" w:color="1C2790"/>
            </w:tcBorders>
          </w:tcPr>
          <w:p>
            <w:pPr>
              <w:spacing w:after="0"/>
              <w:rPr>
                <w:sz w:val="17"/>
                <w:szCs w:val="17"/>
                <w:color w:val="auto"/>
              </w:rPr>
            </w:pPr>
          </w:p>
        </w:tc>
        <w:tc>
          <w:tcPr>
            <w:tcW w:w="260" w:type="dxa"/>
            <w:vAlign w:val="bottom"/>
            <w:tcBorders>
              <w:top w:val="single" w:sz="8" w:color="1C2790"/>
            </w:tcBorders>
          </w:tcPr>
          <w:p>
            <w:pPr>
              <w:spacing w:after="0"/>
              <w:rPr>
                <w:sz w:val="17"/>
                <w:szCs w:val="17"/>
                <w:color w:val="auto"/>
              </w:rPr>
            </w:pPr>
          </w:p>
        </w:tc>
        <w:tc>
          <w:tcPr>
            <w:tcW w:w="220" w:type="dxa"/>
            <w:vAlign w:val="bottom"/>
            <w:tcBorders>
              <w:top w:val="single" w:sz="8" w:color="1C2790"/>
            </w:tcBorders>
          </w:tcPr>
          <w:p>
            <w:pPr>
              <w:spacing w:after="0"/>
              <w:rPr>
                <w:sz w:val="17"/>
                <w:szCs w:val="17"/>
                <w:color w:val="auto"/>
              </w:rPr>
            </w:pPr>
          </w:p>
        </w:tc>
        <w:tc>
          <w:tcPr>
            <w:tcW w:w="1080" w:type="dxa"/>
            <w:vAlign w:val="bottom"/>
            <w:tcBorders>
              <w:top w:val="single" w:sz="8" w:color="1C2790"/>
            </w:tcBorders>
          </w:tcPr>
          <w:p>
            <w:pPr>
              <w:spacing w:after="0"/>
              <w:rPr>
                <w:sz w:val="17"/>
                <w:szCs w:val="17"/>
                <w:color w:val="auto"/>
              </w:rPr>
            </w:pPr>
          </w:p>
        </w:tc>
        <w:tc>
          <w:tcPr>
            <w:tcW w:w="760" w:type="dxa"/>
            <w:vAlign w:val="bottom"/>
            <w:tcBorders>
              <w:top w:val="single" w:sz="8" w:color="1C2790"/>
            </w:tcBorders>
          </w:tcPr>
          <w:p>
            <w:pPr>
              <w:spacing w:after="0"/>
              <w:rPr>
                <w:sz w:val="17"/>
                <w:szCs w:val="17"/>
                <w:color w:val="auto"/>
              </w:rPr>
            </w:pPr>
          </w:p>
        </w:tc>
        <w:tc>
          <w:tcPr>
            <w:tcW w:w="260" w:type="dxa"/>
            <w:vAlign w:val="bottom"/>
            <w:tcBorders>
              <w:top w:val="single" w:sz="8" w:color="1C2790"/>
            </w:tcBorders>
          </w:tcPr>
          <w:p>
            <w:pPr>
              <w:spacing w:after="0"/>
              <w:rPr>
                <w:sz w:val="17"/>
                <w:szCs w:val="17"/>
                <w:color w:val="auto"/>
              </w:rPr>
            </w:pPr>
          </w:p>
        </w:tc>
        <w:tc>
          <w:tcPr>
            <w:tcW w:w="160" w:type="dxa"/>
            <w:vAlign w:val="bottom"/>
            <w:tcBorders>
              <w:top w:val="single" w:sz="8" w:color="1C2790"/>
            </w:tcBorders>
          </w:tcPr>
          <w:p>
            <w:pPr>
              <w:spacing w:after="0"/>
              <w:rPr>
                <w:sz w:val="17"/>
                <w:szCs w:val="17"/>
                <w:color w:val="auto"/>
              </w:rPr>
            </w:pPr>
          </w:p>
        </w:tc>
        <w:tc>
          <w:tcPr>
            <w:tcW w:w="620" w:type="dxa"/>
            <w:vAlign w:val="bottom"/>
            <w:tcBorders>
              <w:top w:val="single" w:sz="8" w:color="1C2790"/>
            </w:tcBorders>
          </w:tcPr>
          <w:p>
            <w:pPr>
              <w:spacing w:after="0"/>
              <w:rPr>
                <w:sz w:val="17"/>
                <w:szCs w:val="17"/>
                <w:color w:val="auto"/>
              </w:rPr>
            </w:pPr>
          </w:p>
        </w:tc>
        <w:tc>
          <w:tcPr>
            <w:tcW w:w="1340" w:type="dxa"/>
            <w:vAlign w:val="bottom"/>
            <w:tcBorders>
              <w:top w:val="single" w:sz="8" w:color="1C2790"/>
            </w:tcBorders>
          </w:tcPr>
          <w:p>
            <w:pPr>
              <w:spacing w:after="0"/>
              <w:rPr>
                <w:sz w:val="17"/>
                <w:szCs w:val="17"/>
                <w:color w:val="auto"/>
              </w:rPr>
            </w:pPr>
          </w:p>
        </w:tc>
        <w:tc>
          <w:tcPr>
            <w:tcW w:w="400" w:type="dxa"/>
            <w:vAlign w:val="bottom"/>
            <w:tcBorders>
              <w:top w:val="single" w:sz="8" w:color="1C2790"/>
            </w:tcBorders>
          </w:tcPr>
          <w:p>
            <w:pPr>
              <w:spacing w:after="0"/>
              <w:rPr>
                <w:sz w:val="17"/>
                <w:szCs w:val="17"/>
                <w:color w:val="auto"/>
              </w:rPr>
            </w:pPr>
          </w:p>
        </w:tc>
        <w:tc>
          <w:tcPr>
            <w:tcW w:w="1380" w:type="dxa"/>
            <w:vAlign w:val="bottom"/>
            <w:tcBorders>
              <w:top w:val="single" w:sz="8" w:color="1C2790"/>
            </w:tcBorders>
          </w:tcPr>
          <w:p>
            <w:pPr>
              <w:spacing w:after="0"/>
              <w:rPr>
                <w:sz w:val="17"/>
                <w:szCs w:val="17"/>
                <w:color w:val="auto"/>
              </w:rPr>
            </w:pPr>
          </w:p>
        </w:tc>
        <w:tc>
          <w:tcPr>
            <w:tcW w:w="20" w:type="dxa"/>
            <w:vAlign w:val="bottom"/>
            <w:tcBorders>
              <w:top w:val="single" w:sz="8" w:color="1C2790"/>
            </w:tcBorders>
          </w:tcPr>
          <w:p>
            <w:pPr>
              <w:spacing w:after="0"/>
              <w:rPr>
                <w:sz w:val="17"/>
                <w:szCs w:val="17"/>
                <w:color w:val="auto"/>
              </w:rPr>
            </w:pPr>
          </w:p>
        </w:tc>
        <w:tc>
          <w:tcPr>
            <w:tcW w:w="240" w:type="dxa"/>
            <w:vAlign w:val="bottom"/>
            <w:tcBorders>
              <w:top w:val="single" w:sz="8" w:color="1C2790"/>
            </w:tcBorders>
          </w:tcPr>
          <w:p>
            <w:pPr>
              <w:spacing w:after="0"/>
              <w:rPr>
                <w:sz w:val="17"/>
                <w:szCs w:val="17"/>
                <w:color w:val="auto"/>
              </w:rPr>
            </w:pPr>
          </w:p>
        </w:tc>
        <w:tc>
          <w:tcPr>
            <w:tcW w:w="180" w:type="dxa"/>
            <w:vAlign w:val="bottom"/>
            <w:tcBorders>
              <w:top w:val="single" w:sz="8" w:color="1C2790"/>
            </w:tcBorders>
          </w:tcPr>
          <w:p>
            <w:pPr>
              <w:spacing w:after="0"/>
              <w:rPr>
                <w:sz w:val="17"/>
                <w:szCs w:val="17"/>
                <w:color w:val="auto"/>
              </w:rPr>
            </w:pPr>
          </w:p>
        </w:tc>
        <w:tc>
          <w:tcPr>
            <w:tcW w:w="80" w:type="dxa"/>
            <w:vAlign w:val="bottom"/>
            <w:tcBorders>
              <w:top w:val="single" w:sz="8" w:color="1C2790"/>
            </w:tcBorders>
          </w:tcPr>
          <w:p>
            <w:pPr>
              <w:spacing w:after="0"/>
              <w:rPr>
                <w:sz w:val="17"/>
                <w:szCs w:val="17"/>
                <w:color w:val="auto"/>
              </w:rPr>
            </w:pPr>
          </w:p>
        </w:tc>
        <w:tc>
          <w:tcPr>
            <w:tcW w:w="80" w:type="dxa"/>
            <w:vAlign w:val="bottom"/>
            <w:tcBorders>
              <w:top w:val="single" w:sz="8" w:color="1C2790"/>
            </w:tcBorders>
          </w:tcPr>
          <w:p>
            <w:pPr>
              <w:spacing w:after="0"/>
              <w:rPr>
                <w:sz w:val="17"/>
                <w:szCs w:val="17"/>
                <w:color w:val="auto"/>
              </w:rPr>
            </w:pPr>
          </w:p>
        </w:tc>
        <w:tc>
          <w:tcPr>
            <w:tcW w:w="20" w:type="dxa"/>
            <w:vAlign w:val="bottom"/>
            <w:tcBorders>
              <w:top w:val="single" w:sz="8" w:color="1C2790"/>
            </w:tcBorders>
          </w:tcPr>
          <w:p>
            <w:pPr>
              <w:spacing w:after="0"/>
              <w:rPr>
                <w:sz w:val="17"/>
                <w:szCs w:val="17"/>
                <w:color w:val="auto"/>
              </w:rPr>
            </w:pPr>
          </w:p>
        </w:tc>
        <w:tc>
          <w:tcPr>
            <w:tcW w:w="20" w:type="dxa"/>
            <w:vAlign w:val="bottom"/>
            <w:tcBorders>
              <w:top w:val="single" w:sz="8" w:color="1C2790"/>
            </w:tcBorders>
          </w:tcPr>
          <w:p>
            <w:pPr>
              <w:spacing w:after="0"/>
              <w:rPr>
                <w:sz w:val="17"/>
                <w:szCs w:val="17"/>
                <w:color w:val="auto"/>
              </w:rPr>
            </w:pPr>
          </w:p>
        </w:tc>
        <w:tc>
          <w:tcPr>
            <w:tcW w:w="20" w:type="dxa"/>
            <w:vAlign w:val="bottom"/>
            <w:tcBorders>
              <w:top w:val="single" w:sz="8" w:color="1C2790"/>
            </w:tcBorders>
          </w:tcPr>
          <w:p>
            <w:pPr>
              <w:spacing w:after="0"/>
              <w:rPr>
                <w:sz w:val="17"/>
                <w:szCs w:val="17"/>
                <w:color w:val="auto"/>
              </w:rPr>
            </w:pPr>
          </w:p>
        </w:tc>
        <w:tc>
          <w:tcPr>
            <w:tcW w:w="80" w:type="dxa"/>
            <w:vAlign w:val="bottom"/>
            <w:tcBorders>
              <w:top w:val="single" w:sz="8" w:color="1C2790"/>
            </w:tcBorders>
          </w:tcPr>
          <w:p>
            <w:pPr>
              <w:spacing w:after="0"/>
              <w:rPr>
                <w:sz w:val="17"/>
                <w:szCs w:val="17"/>
                <w:color w:val="auto"/>
              </w:rPr>
            </w:pPr>
          </w:p>
        </w:tc>
        <w:tc>
          <w:tcPr>
            <w:tcW w:w="20" w:type="dxa"/>
            <w:vAlign w:val="bottom"/>
            <w:tcBorders>
              <w:top w:val="single" w:sz="8" w:color="1C2790"/>
            </w:tcBorders>
          </w:tcPr>
          <w:p>
            <w:pPr>
              <w:spacing w:after="0"/>
              <w:rPr>
                <w:sz w:val="17"/>
                <w:szCs w:val="17"/>
                <w:color w:val="auto"/>
              </w:rPr>
            </w:pPr>
          </w:p>
        </w:tc>
        <w:tc>
          <w:tcPr>
            <w:tcW w:w="20" w:type="dxa"/>
            <w:vAlign w:val="bottom"/>
            <w:tcBorders>
              <w:top w:val="single" w:sz="8" w:color="1C2790"/>
            </w:tcBorders>
          </w:tcPr>
          <w:p>
            <w:pPr>
              <w:spacing w:after="0"/>
              <w:rPr>
                <w:sz w:val="17"/>
                <w:szCs w:val="17"/>
                <w:color w:val="auto"/>
              </w:rPr>
            </w:pPr>
          </w:p>
        </w:tc>
        <w:tc>
          <w:tcPr>
            <w:tcW w:w="40" w:type="dxa"/>
            <w:vAlign w:val="bottom"/>
            <w:tcBorders>
              <w:top w:val="single" w:sz="8" w:color="1C2790"/>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68"/>
        </w:trPr>
        <w:tc>
          <w:tcPr>
            <w:tcW w:w="8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10.22**</w:t>
            </w: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40" w:type="dxa"/>
            <w:vAlign w:val="bottom"/>
            <w:tcBorders>
              <w:bottom w:val="single" w:sz="8" w:color="1C2790"/>
            </w:tcBorders>
            <w:gridSpan w:val="17"/>
          </w:tcPr>
          <w:p>
            <w:pPr>
              <w:spacing w:after="0"/>
              <w:rPr>
                <w:sz w:val="20"/>
                <w:szCs w:val="20"/>
                <w:color w:val="auto"/>
              </w:rPr>
            </w:pPr>
            <w:r>
              <w:rPr>
                <w:rFonts w:ascii="Times New Roman" w:cs="Times New Roman" w:eastAsia="Times New Roman" w:hAnsi="Times New Roman"/>
                <w:sz w:val="20"/>
                <w:szCs w:val="20"/>
                <w:color w:val="1C2790"/>
                <w:w w:val="99"/>
              </w:rPr>
              <w:t>Form of Hydrofarm Holdings Group, Inc. 2020 Equity Incentive Plan Restricted Stock Unit Grant Notice</w:t>
            </w:r>
          </w:p>
        </w:tc>
        <w:tc>
          <w:tcPr>
            <w:tcW w:w="720" w:type="dxa"/>
            <w:vAlign w:val="bottom"/>
            <w:gridSpan w:val="21"/>
          </w:tcPr>
          <w:p>
            <w:pPr>
              <w:spacing w:after="0"/>
              <w:rPr>
                <w:sz w:val="23"/>
                <w:szCs w:val="23"/>
                <w:color w:val="auto"/>
              </w:rPr>
            </w:pPr>
          </w:p>
        </w:tc>
      </w:tr>
      <w:tr>
        <w:trPr>
          <w:trHeight w:val="203"/>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160" w:type="dxa"/>
            <w:vAlign w:val="bottom"/>
            <w:gridSpan w:val="38"/>
          </w:tcPr>
          <w:p>
            <w:pPr>
              <w:spacing w:after="0" w:line="204" w:lineRule="exact"/>
              <w:rPr>
                <w:sz w:val="20"/>
                <w:szCs w:val="20"/>
                <w:color w:val="auto"/>
              </w:rPr>
            </w:pPr>
            <w:r>
              <w:rPr>
                <w:rFonts w:ascii="Times New Roman" w:cs="Times New Roman" w:eastAsia="Times New Roman" w:hAnsi="Times New Roman"/>
                <w:sz w:val="20"/>
                <w:szCs w:val="20"/>
                <w:color w:val="1C2790"/>
              </w:rPr>
              <w:t>(incorporated by reference to Exhibit 10.2 to the Company’s Quarterly Report on Form 10-Q filed with the SEC</w:t>
            </w:r>
          </w:p>
        </w:tc>
      </w:tr>
      <w:tr>
        <w:trPr>
          <w:trHeight w:val="204"/>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960" w:type="dxa"/>
            <w:vAlign w:val="bottom"/>
            <w:tcBorders>
              <w:top w:val="single" w:sz="8" w:color="1C2790"/>
            </w:tcBorders>
            <w:gridSpan w:val="31"/>
          </w:tcPr>
          <w:p>
            <w:pPr>
              <w:spacing w:after="0" w:line="205" w:lineRule="exact"/>
              <w:rPr>
                <w:sz w:val="20"/>
                <w:szCs w:val="20"/>
                <w:color w:val="auto"/>
              </w:rPr>
            </w:pPr>
            <w:r>
              <w:rPr>
                <w:rFonts w:ascii="Times New Roman" w:cs="Times New Roman" w:eastAsia="Times New Roman" w:hAnsi="Times New Roman"/>
                <w:sz w:val="20"/>
                <w:szCs w:val="20"/>
                <w:color w:val="1C2790"/>
              </w:rPr>
              <w:t>on May 14, 2024).</w:t>
            </w:r>
          </w:p>
        </w:tc>
        <w:tc>
          <w:tcPr>
            <w:tcW w:w="60" w:type="dxa"/>
            <w:vAlign w:val="bottom"/>
            <w:gridSpan w:val="2"/>
          </w:tcPr>
          <w:p>
            <w:pPr>
              <w:spacing w:after="0"/>
              <w:rPr>
                <w:sz w:val="17"/>
                <w:szCs w:val="17"/>
                <w:color w:val="auto"/>
              </w:rPr>
            </w:pPr>
          </w:p>
        </w:tc>
        <w:tc>
          <w:tcPr>
            <w:tcW w:w="100" w:type="dxa"/>
            <w:vAlign w:val="bottom"/>
            <w:gridSpan w:val="4"/>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gridSpan w:val="3"/>
            <w:shd w:val="clear" w:color="auto" w:fill="1C2790"/>
          </w:tcPr>
          <w:p>
            <w:pPr>
              <w:spacing w:after="0" w:line="20" w:lineRule="exact"/>
              <w:rPr>
                <w:sz w:val="1"/>
                <w:szCs w:val="1"/>
                <w:color w:val="auto"/>
              </w:rPr>
            </w:pPr>
          </w:p>
        </w:tc>
        <w:tc>
          <w:tcPr>
            <w:tcW w:w="340" w:type="dxa"/>
            <w:vAlign w:val="bottom"/>
            <w:tcBorders>
              <w:left w:val="single" w:sz="8" w:color="1C2790"/>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11"/>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8"/>
        </w:trPr>
        <w:tc>
          <w:tcPr>
            <w:tcW w:w="8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10.23**</w:t>
            </w: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160" w:type="dxa"/>
            <w:vAlign w:val="bottom"/>
            <w:gridSpan w:val="38"/>
          </w:tcPr>
          <w:p>
            <w:pPr>
              <w:spacing w:after="0"/>
              <w:rPr>
                <w:sz w:val="20"/>
                <w:szCs w:val="20"/>
                <w:color w:val="auto"/>
              </w:rPr>
            </w:pPr>
            <w:r>
              <w:rPr>
                <w:rFonts w:ascii="Times New Roman" w:cs="Times New Roman" w:eastAsia="Times New Roman" w:hAnsi="Times New Roman"/>
                <w:sz w:val="20"/>
                <w:szCs w:val="20"/>
                <w:color w:val="1C2790"/>
              </w:rPr>
              <w:t>Form of Hydrofarm Holdings Group, Inc. 2020 Equity Incentive Plan Performance Stock Unit Grant Notice</w:t>
            </w:r>
          </w:p>
        </w:tc>
      </w:tr>
      <w:tr>
        <w:trPr>
          <w:trHeight w:val="203"/>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40" w:type="dxa"/>
            <w:vAlign w:val="bottom"/>
            <w:tcBorders>
              <w:top w:val="single" w:sz="8" w:color="1C2790"/>
            </w:tcBorders>
            <w:gridSpan w:val="21"/>
          </w:tcPr>
          <w:p>
            <w:pPr>
              <w:spacing w:after="0" w:line="204" w:lineRule="exact"/>
              <w:rPr>
                <w:sz w:val="20"/>
                <w:szCs w:val="20"/>
                <w:color w:val="auto"/>
              </w:rPr>
            </w:pPr>
            <w:r>
              <w:rPr>
                <w:rFonts w:ascii="Times New Roman" w:cs="Times New Roman" w:eastAsia="Times New Roman" w:hAnsi="Times New Roman"/>
                <w:sz w:val="20"/>
                <w:szCs w:val="20"/>
                <w:color w:val="1C2790"/>
              </w:rPr>
              <w:t>(incorporated by reference to Exhibit 10.3 to the Company’s Quarterly Report on Form 10-Q filed with the</w:t>
            </w:r>
          </w:p>
        </w:tc>
        <w:tc>
          <w:tcPr>
            <w:tcW w:w="520" w:type="dxa"/>
            <w:vAlign w:val="bottom"/>
            <w:gridSpan w:val="17"/>
          </w:tcPr>
          <w:p>
            <w:pPr>
              <w:jc w:val="right"/>
              <w:ind w:right="200"/>
              <w:spacing w:after="0" w:line="204" w:lineRule="exact"/>
              <w:rPr>
                <w:sz w:val="20"/>
                <w:szCs w:val="20"/>
                <w:color w:val="auto"/>
              </w:rPr>
            </w:pPr>
            <w:r>
              <w:rPr>
                <w:rFonts w:ascii="Times New Roman" w:cs="Times New Roman" w:eastAsia="Times New Roman" w:hAnsi="Times New Roman"/>
                <w:sz w:val="20"/>
                <w:szCs w:val="20"/>
                <w:color w:val="1C2790"/>
                <w:w w:val="81"/>
              </w:rPr>
              <w:t>SEC</w:t>
            </w:r>
          </w:p>
        </w:tc>
      </w:tr>
      <w:tr>
        <w:trPr>
          <w:trHeight w:val="204"/>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960" w:type="dxa"/>
            <w:vAlign w:val="bottom"/>
            <w:tcBorders>
              <w:top w:val="single" w:sz="8" w:color="1C2790"/>
            </w:tcBorders>
            <w:gridSpan w:val="31"/>
          </w:tcPr>
          <w:p>
            <w:pPr>
              <w:spacing w:after="0" w:line="205" w:lineRule="exact"/>
              <w:rPr>
                <w:sz w:val="20"/>
                <w:szCs w:val="20"/>
                <w:color w:val="auto"/>
              </w:rPr>
            </w:pPr>
            <w:r>
              <w:rPr>
                <w:rFonts w:ascii="Times New Roman" w:cs="Times New Roman" w:eastAsia="Times New Roman" w:hAnsi="Times New Roman"/>
                <w:sz w:val="20"/>
                <w:szCs w:val="20"/>
                <w:color w:val="1C2790"/>
              </w:rPr>
              <w:t>on May 14, 2024).</w:t>
            </w:r>
          </w:p>
        </w:tc>
        <w:tc>
          <w:tcPr>
            <w:tcW w:w="60" w:type="dxa"/>
            <w:vAlign w:val="bottom"/>
            <w:gridSpan w:val="2"/>
          </w:tcPr>
          <w:p>
            <w:pPr>
              <w:spacing w:after="0"/>
              <w:rPr>
                <w:sz w:val="17"/>
                <w:szCs w:val="17"/>
                <w:color w:val="auto"/>
              </w:rPr>
            </w:pPr>
          </w:p>
        </w:tc>
        <w:tc>
          <w:tcPr>
            <w:tcW w:w="100" w:type="dxa"/>
            <w:vAlign w:val="bottom"/>
            <w:gridSpan w:val="4"/>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gridSpan w:val="3"/>
            <w:shd w:val="clear" w:color="auto" w:fill="1C279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40" w:type="dxa"/>
            <w:vAlign w:val="bottom"/>
            <w:gridSpan w:val="7"/>
          </w:tcPr>
          <w:p>
            <w:pPr>
              <w:spacing w:after="0" w:line="20" w:lineRule="exact"/>
              <w:rPr>
                <w:sz w:val="1"/>
                <w:szCs w:val="1"/>
                <w:color w:val="auto"/>
              </w:rPr>
            </w:pPr>
          </w:p>
        </w:tc>
        <w:tc>
          <w:tcPr>
            <w:tcW w:w="360" w:type="dxa"/>
            <w:vAlign w:val="bottom"/>
            <w:gridSpan w:val="11"/>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7"/>
        </w:trPr>
        <w:tc>
          <w:tcPr>
            <w:tcW w:w="8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10.24</w:t>
            </w: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160" w:type="dxa"/>
            <w:vAlign w:val="bottom"/>
            <w:gridSpan w:val="38"/>
          </w:tcPr>
          <w:p>
            <w:pPr>
              <w:spacing w:after="0"/>
              <w:rPr>
                <w:sz w:val="20"/>
                <w:szCs w:val="20"/>
                <w:color w:val="auto"/>
              </w:rPr>
            </w:pPr>
            <w:r>
              <w:rPr>
                <w:rFonts w:ascii="Times New Roman" w:cs="Times New Roman" w:eastAsia="Times New Roman" w:hAnsi="Times New Roman"/>
                <w:sz w:val="20"/>
                <w:szCs w:val="20"/>
                <w:color w:val="1C2790"/>
              </w:rPr>
              <w:t>Form of Indemnification Agreement (incorporated by reference to the Company’s Registration Statement on</w:t>
            </w:r>
          </w:p>
        </w:tc>
      </w:tr>
      <w:tr>
        <w:trPr>
          <w:trHeight w:val="204"/>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20" w:type="dxa"/>
            <w:vAlign w:val="bottom"/>
            <w:tcBorders>
              <w:top w:val="single" w:sz="8" w:color="1C2790"/>
              <w:bottom w:val="single" w:sz="8" w:color="1C2790"/>
            </w:tcBorders>
            <w:gridSpan w:val="12"/>
          </w:tcPr>
          <w:p>
            <w:pPr>
              <w:spacing w:after="0" w:line="205" w:lineRule="exact"/>
              <w:rPr>
                <w:sz w:val="20"/>
                <w:szCs w:val="20"/>
                <w:color w:val="auto"/>
              </w:rPr>
            </w:pPr>
            <w:r>
              <w:rPr>
                <w:rFonts w:ascii="Times New Roman" w:cs="Times New Roman" w:eastAsia="Times New Roman" w:hAnsi="Times New Roman"/>
                <w:sz w:val="20"/>
                <w:szCs w:val="20"/>
                <w:color w:val="1C2790"/>
                <w:w w:val="99"/>
              </w:rPr>
              <w:t>Form S-1 (File No. 333-250037), filed with the SEC on November 12, 2020).</w:t>
            </w:r>
          </w:p>
        </w:tc>
        <w:tc>
          <w:tcPr>
            <w:tcW w:w="2440" w:type="dxa"/>
            <w:vAlign w:val="bottom"/>
            <w:tcBorders>
              <w:top w:val="single" w:sz="8" w:color="1C2790"/>
            </w:tcBorders>
            <w:gridSpan w:val="10"/>
          </w:tcPr>
          <w:p>
            <w:pPr>
              <w:spacing w:after="0"/>
              <w:rPr>
                <w:sz w:val="17"/>
                <w:szCs w:val="17"/>
                <w:color w:val="auto"/>
              </w:rPr>
            </w:pPr>
          </w:p>
        </w:tc>
        <w:tc>
          <w:tcPr>
            <w:tcW w:w="360" w:type="dxa"/>
            <w:vAlign w:val="bottom"/>
            <w:gridSpan w:val="11"/>
          </w:tcPr>
          <w:p>
            <w:pPr>
              <w:spacing w:after="0"/>
              <w:rPr>
                <w:sz w:val="17"/>
                <w:szCs w:val="17"/>
                <w:color w:val="auto"/>
              </w:rPr>
            </w:pPr>
          </w:p>
        </w:tc>
        <w:tc>
          <w:tcPr>
            <w:tcW w:w="100" w:type="dxa"/>
            <w:vAlign w:val="bottom"/>
            <w:gridSpan w:val="4"/>
          </w:tcPr>
          <w:p>
            <w:pPr>
              <w:spacing w:after="0"/>
              <w:rPr>
                <w:sz w:val="17"/>
                <w:szCs w:val="17"/>
                <w:color w:val="auto"/>
              </w:rPr>
            </w:pPr>
          </w:p>
        </w:tc>
        <w:tc>
          <w:tcPr>
            <w:tcW w:w="40" w:type="dxa"/>
            <w:vAlign w:val="bottom"/>
          </w:tcPr>
          <w:p>
            <w:pPr>
              <w:spacing w:after="0"/>
              <w:rPr>
                <w:sz w:val="17"/>
                <w:szCs w:val="17"/>
                <w:color w:val="auto"/>
              </w:rPr>
            </w:pPr>
          </w:p>
        </w:tc>
      </w:tr>
      <w:tr>
        <w:trPr>
          <w:trHeight w:val="267"/>
        </w:trPr>
        <w:tc>
          <w:tcPr>
            <w:tcW w:w="8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10.25**</w:t>
            </w: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20" w:type="dxa"/>
            <w:vAlign w:val="bottom"/>
            <w:tcBorders>
              <w:bottom w:val="single" w:sz="8" w:color="1C2790"/>
            </w:tcBorders>
            <w:gridSpan w:val="15"/>
          </w:tcPr>
          <w:p>
            <w:pPr>
              <w:spacing w:after="0"/>
              <w:rPr>
                <w:sz w:val="20"/>
                <w:szCs w:val="20"/>
                <w:color w:val="auto"/>
              </w:rPr>
            </w:pPr>
            <w:r>
              <w:rPr>
                <w:rFonts w:ascii="Times New Roman" w:cs="Times New Roman" w:eastAsia="Times New Roman" w:hAnsi="Times New Roman"/>
                <w:sz w:val="20"/>
                <w:szCs w:val="20"/>
                <w:color w:val="1C2790"/>
                <w:w w:val="99"/>
              </w:rPr>
              <w:t>Hydrofarm Holdings Group - Amended and Restated Non-Employee Director Compensation Policy</w:t>
            </w:r>
          </w:p>
        </w:tc>
        <w:tc>
          <w:tcPr>
            <w:tcW w:w="1140" w:type="dxa"/>
            <w:vAlign w:val="bottom"/>
            <w:gridSpan w:val="23"/>
          </w:tcPr>
          <w:p>
            <w:pPr>
              <w:spacing w:after="0"/>
              <w:rPr>
                <w:sz w:val="23"/>
                <w:szCs w:val="23"/>
                <w:color w:val="auto"/>
              </w:rPr>
            </w:pPr>
          </w:p>
        </w:tc>
      </w:tr>
      <w:tr>
        <w:trPr>
          <w:trHeight w:val="180"/>
        </w:trPr>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160" w:type="dxa"/>
            <w:vAlign w:val="bottom"/>
            <w:gridSpan w:val="38"/>
          </w:tcPr>
          <w:p>
            <w:pPr>
              <w:spacing w:after="0" w:line="181" w:lineRule="exact"/>
              <w:rPr>
                <w:sz w:val="20"/>
                <w:szCs w:val="20"/>
                <w:color w:val="auto"/>
              </w:rPr>
            </w:pPr>
            <w:r>
              <w:rPr>
                <w:rFonts w:ascii="Times New Roman" w:cs="Times New Roman" w:eastAsia="Times New Roman" w:hAnsi="Times New Roman"/>
                <w:sz w:val="20"/>
                <w:szCs w:val="20"/>
                <w:color w:val="1C2790"/>
              </w:rPr>
              <w:t>(incorporated by reference to Exhibit 10.4 of the Company's Form 10-Q filed with the SEC on August 12, 2025).</w:t>
            </w: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gridSpan w:val="5"/>
            <w:shd w:val="clear" w:color="auto" w:fill="1C2790"/>
          </w:tcPr>
          <w:p>
            <w:pPr>
              <w:spacing w:after="0" w:line="20" w:lineRule="exact"/>
              <w:rPr>
                <w:sz w:val="1"/>
                <w:szCs w:val="1"/>
                <w:color w:val="auto"/>
              </w:rPr>
            </w:pPr>
          </w:p>
        </w:tc>
        <w:tc>
          <w:tcPr>
            <w:tcW w:w="220" w:type="dxa"/>
            <w:vAlign w:val="bottom"/>
            <w:shd w:val="clear" w:color="auto" w:fill="1C2790"/>
          </w:tcPr>
          <w:p>
            <w:pPr>
              <w:spacing w:after="0" w:line="20" w:lineRule="exact"/>
              <w:rPr>
                <w:sz w:val="1"/>
                <w:szCs w:val="1"/>
                <w:color w:val="auto"/>
              </w:rPr>
            </w:pPr>
          </w:p>
        </w:tc>
        <w:tc>
          <w:tcPr>
            <w:tcW w:w="1840" w:type="dxa"/>
            <w:vAlign w:val="bottom"/>
            <w:gridSpan w:val="2"/>
            <w:shd w:val="clear" w:color="auto" w:fill="1C2790"/>
          </w:tcPr>
          <w:p>
            <w:pPr>
              <w:spacing w:after="0" w:line="20" w:lineRule="exact"/>
              <w:rPr>
                <w:sz w:val="1"/>
                <w:szCs w:val="1"/>
                <w:color w:val="auto"/>
              </w:rPr>
            </w:pPr>
          </w:p>
        </w:tc>
        <w:tc>
          <w:tcPr>
            <w:tcW w:w="2780" w:type="dxa"/>
            <w:vAlign w:val="bottom"/>
            <w:gridSpan w:val="5"/>
            <w:shd w:val="clear" w:color="auto" w:fill="1C2790"/>
          </w:tcPr>
          <w:p>
            <w:pPr>
              <w:spacing w:after="0" w:line="20" w:lineRule="exact"/>
              <w:rPr>
                <w:sz w:val="1"/>
                <w:szCs w:val="1"/>
                <w:color w:val="auto"/>
              </w:rPr>
            </w:pPr>
          </w:p>
        </w:tc>
        <w:tc>
          <w:tcPr>
            <w:tcW w:w="2400" w:type="dxa"/>
            <w:vAlign w:val="bottom"/>
            <w:tcBorders>
              <w:right w:val="single" w:sz="8" w:color="1C2790"/>
            </w:tcBorders>
            <w:gridSpan w:val="20"/>
            <w:shd w:val="clear" w:color="auto" w:fill="1C2790"/>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3"/>
        </w:trPr>
        <w:tc>
          <w:tcPr>
            <w:tcW w:w="8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10.26+</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160" w:type="dxa"/>
            <w:vAlign w:val="bottom"/>
            <w:gridSpan w:val="38"/>
          </w:tcPr>
          <w:p>
            <w:pPr>
              <w:spacing w:after="0"/>
              <w:rPr>
                <w:sz w:val="20"/>
                <w:szCs w:val="20"/>
                <w:color w:val="auto"/>
              </w:rPr>
            </w:pPr>
            <w:r>
              <w:rPr>
                <w:rFonts w:ascii="Times New Roman" w:cs="Times New Roman" w:eastAsia="Times New Roman" w:hAnsi="Times New Roman"/>
                <w:sz w:val="20"/>
                <w:szCs w:val="20"/>
                <w:color w:val="1C2790"/>
              </w:rPr>
              <w:t>Purchase Agreement, dated May 10, 2024, by and between Hydrofarm Holdings Group, Inc. and CM Fabrication,</w:t>
            </w:r>
          </w:p>
        </w:tc>
      </w:tr>
      <w:tr>
        <w:trPr>
          <w:trHeight w:val="204"/>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120" w:type="dxa"/>
            <w:vAlign w:val="bottom"/>
            <w:tcBorders>
              <w:top w:val="single" w:sz="8" w:color="1C2790"/>
            </w:tcBorders>
            <w:gridSpan w:val="37"/>
          </w:tcPr>
          <w:p>
            <w:pPr>
              <w:spacing w:after="0" w:line="205" w:lineRule="exact"/>
              <w:rPr>
                <w:sz w:val="20"/>
                <w:szCs w:val="20"/>
                <w:color w:val="auto"/>
              </w:rPr>
            </w:pPr>
            <w:r>
              <w:rPr>
                <w:rFonts w:ascii="Times New Roman" w:cs="Times New Roman" w:eastAsia="Times New Roman" w:hAnsi="Times New Roman"/>
                <w:sz w:val="20"/>
                <w:szCs w:val="20"/>
                <w:color w:val="1C2790"/>
              </w:rPr>
              <w:t>LLC (incorporated by reference to Exhibit 10.4 of the Company’s Quarterly Report on Form 10-Q filed with the</w:t>
            </w:r>
          </w:p>
        </w:tc>
        <w:tc>
          <w:tcPr>
            <w:tcW w:w="40" w:type="dxa"/>
            <w:vAlign w:val="bottom"/>
          </w:tcPr>
          <w:p>
            <w:pPr>
              <w:spacing w:after="0"/>
              <w:rPr>
                <w:sz w:val="17"/>
                <w:szCs w:val="17"/>
                <w:color w:val="auto"/>
              </w:rPr>
            </w:pPr>
          </w:p>
        </w:tc>
      </w:tr>
      <w:tr>
        <w:trPr>
          <w:trHeight w:val="204"/>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20" w:type="dxa"/>
            <w:vAlign w:val="bottom"/>
            <w:tcBorders>
              <w:top w:val="single" w:sz="8" w:color="1C2790"/>
            </w:tcBorders>
            <w:gridSpan w:val="33"/>
          </w:tcPr>
          <w:p>
            <w:pPr>
              <w:spacing w:after="0" w:line="205" w:lineRule="exact"/>
              <w:rPr>
                <w:sz w:val="20"/>
                <w:szCs w:val="20"/>
                <w:color w:val="auto"/>
              </w:rPr>
            </w:pPr>
            <w:r>
              <w:rPr>
                <w:rFonts w:ascii="Times New Roman" w:cs="Times New Roman" w:eastAsia="Times New Roman" w:hAnsi="Times New Roman"/>
                <w:sz w:val="20"/>
                <w:szCs w:val="20"/>
                <w:color w:val="1C2790"/>
              </w:rPr>
              <w:t>SEC on August 8, 2024).</w:t>
            </w:r>
          </w:p>
        </w:tc>
        <w:tc>
          <w:tcPr>
            <w:tcW w:w="140" w:type="dxa"/>
            <w:vAlign w:val="bottom"/>
            <w:gridSpan w:val="5"/>
          </w:tcPr>
          <w:p>
            <w:pPr>
              <w:spacing w:after="0"/>
              <w:rPr>
                <w:sz w:val="17"/>
                <w:szCs w:val="17"/>
                <w:color w:val="auto"/>
              </w:rPr>
            </w:pPr>
          </w:p>
        </w:tc>
      </w:tr>
      <w:tr>
        <w:trPr>
          <w:trHeight w:val="267"/>
        </w:trPr>
        <w:tc>
          <w:tcPr>
            <w:tcW w:w="8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19.1*</w:t>
            </w: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0" w:type="dxa"/>
            <w:vAlign w:val="bottom"/>
            <w:tcBorders>
              <w:top w:val="single" w:sz="8" w:color="1C2790"/>
            </w:tcBorders>
            <w:gridSpan w:val="6"/>
          </w:tcPr>
          <w:p>
            <w:pPr>
              <w:spacing w:after="0"/>
              <w:rPr>
                <w:sz w:val="20"/>
                <w:szCs w:val="20"/>
                <w:color w:val="auto"/>
              </w:rPr>
            </w:pPr>
            <w:r>
              <w:rPr>
                <w:rFonts w:ascii="Times New Roman" w:cs="Times New Roman" w:eastAsia="Times New Roman" w:hAnsi="Times New Roman"/>
                <w:sz w:val="20"/>
                <w:szCs w:val="20"/>
                <w:color w:val="1C2790"/>
              </w:rPr>
              <w:t>Insider Trading Policy</w:t>
            </w:r>
          </w:p>
        </w:tc>
        <w:tc>
          <w:tcPr>
            <w:tcW w:w="7160" w:type="dxa"/>
            <w:vAlign w:val="bottom"/>
            <w:gridSpan w:val="32"/>
          </w:tcPr>
          <w:p>
            <w:pPr>
              <w:spacing w:after="0"/>
              <w:rPr>
                <w:sz w:val="23"/>
                <w:szCs w:val="23"/>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gridSpan w:val="5"/>
            <w:shd w:val="clear" w:color="auto" w:fill="1C2790"/>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2540" w:type="dxa"/>
            <w:vAlign w:val="bottom"/>
            <w:gridSpan w:val="25"/>
          </w:tcPr>
          <w:p>
            <w:pPr>
              <w:spacing w:after="0" w:line="20" w:lineRule="exact"/>
              <w:rPr>
                <w:sz w:val="1"/>
                <w:szCs w:val="1"/>
                <w:color w:val="auto"/>
              </w:rPr>
            </w:pPr>
          </w:p>
        </w:tc>
      </w:tr>
      <w:tr>
        <w:trPr>
          <w:trHeight w:val="244"/>
        </w:trPr>
        <w:tc>
          <w:tcPr>
            <w:tcW w:w="8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21.1*</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40" w:type="dxa"/>
            <w:vAlign w:val="bottom"/>
            <w:tcBorders>
              <w:bottom w:val="single" w:sz="8" w:color="1C2790"/>
            </w:tcBorders>
            <w:gridSpan w:val="8"/>
          </w:tcPr>
          <w:p>
            <w:pPr>
              <w:spacing w:after="0"/>
              <w:rPr>
                <w:sz w:val="20"/>
                <w:szCs w:val="20"/>
                <w:color w:val="auto"/>
              </w:rPr>
            </w:pPr>
            <w:r>
              <w:rPr>
                <w:rFonts w:ascii="Times New Roman" w:cs="Times New Roman" w:eastAsia="Times New Roman" w:hAnsi="Times New Roman"/>
                <w:sz w:val="20"/>
                <w:szCs w:val="20"/>
                <w:color w:val="1C2790"/>
                <w:w w:val="99"/>
              </w:rPr>
              <w:t>Subsidiaries of Hydrofarm Holdings Group Inc.</w:t>
            </w:r>
          </w:p>
        </w:tc>
        <w:tc>
          <w:tcPr>
            <w:tcW w:w="5320" w:type="dxa"/>
            <w:vAlign w:val="bottom"/>
            <w:gridSpan w:val="30"/>
          </w:tcPr>
          <w:p>
            <w:pPr>
              <w:spacing w:after="0"/>
              <w:rPr>
                <w:sz w:val="21"/>
                <w:szCs w:val="21"/>
                <w:color w:val="auto"/>
              </w:rPr>
            </w:pPr>
          </w:p>
        </w:tc>
      </w:tr>
      <w:tr>
        <w:trPr>
          <w:trHeight w:val="243"/>
        </w:trPr>
        <w:tc>
          <w:tcPr>
            <w:tcW w:w="8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23.1*</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160" w:type="dxa"/>
            <w:vAlign w:val="bottom"/>
            <w:gridSpan w:val="38"/>
          </w:tcPr>
          <w:p>
            <w:pPr>
              <w:spacing w:after="0"/>
              <w:rPr>
                <w:sz w:val="20"/>
                <w:szCs w:val="20"/>
                <w:color w:val="auto"/>
              </w:rPr>
            </w:pPr>
            <w:r>
              <w:rPr>
                <w:rFonts w:ascii="Times New Roman" w:cs="Times New Roman" w:eastAsia="Times New Roman" w:hAnsi="Times New Roman"/>
                <w:sz w:val="20"/>
                <w:szCs w:val="20"/>
                <w:color w:val="1C2790"/>
              </w:rPr>
              <w:t>Consent of Deloitte &amp; Touche LLP, independent registered public accounting firm.</w:t>
            </w: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1C2790"/>
          </w:tcPr>
          <w:p>
            <w:pPr>
              <w:spacing w:after="0" w:line="20" w:lineRule="exact"/>
              <w:rPr>
                <w:sz w:val="1"/>
                <w:szCs w:val="1"/>
                <w:color w:val="auto"/>
              </w:rPr>
            </w:pPr>
          </w:p>
        </w:tc>
        <w:tc>
          <w:tcPr>
            <w:tcW w:w="580" w:type="dxa"/>
            <w:vAlign w:val="bottom"/>
            <w:shd w:val="clear" w:color="auto" w:fill="1C2790"/>
          </w:tcPr>
          <w:p>
            <w:pPr>
              <w:spacing w:after="0" w:line="20" w:lineRule="exact"/>
              <w:rPr>
                <w:sz w:val="1"/>
                <w:szCs w:val="1"/>
                <w:color w:val="auto"/>
              </w:rPr>
            </w:pPr>
          </w:p>
        </w:tc>
        <w:tc>
          <w:tcPr>
            <w:tcW w:w="340" w:type="dxa"/>
            <w:vAlign w:val="bottom"/>
            <w:shd w:val="clear" w:color="auto" w:fill="1C2790"/>
          </w:tcPr>
          <w:p>
            <w:pPr>
              <w:spacing w:after="0" w:line="20" w:lineRule="exact"/>
              <w:rPr>
                <w:sz w:val="1"/>
                <w:szCs w:val="1"/>
                <w:color w:val="auto"/>
              </w:rPr>
            </w:pPr>
          </w:p>
        </w:tc>
        <w:tc>
          <w:tcPr>
            <w:tcW w:w="80" w:type="dxa"/>
            <w:vAlign w:val="bottom"/>
            <w:tcBorders>
              <w:left w:val="single" w:sz="8" w:color="1C2790"/>
            </w:tcBorders>
            <w:shd w:val="clear" w:color="auto" w:fill="1C2790"/>
          </w:tcPr>
          <w:p>
            <w:pPr>
              <w:spacing w:after="0" w:line="20" w:lineRule="exact"/>
              <w:rPr>
                <w:sz w:val="1"/>
                <w:szCs w:val="1"/>
                <w:color w:val="auto"/>
              </w:rPr>
            </w:pPr>
          </w:p>
        </w:tc>
        <w:tc>
          <w:tcPr>
            <w:tcW w:w="260" w:type="dxa"/>
            <w:vAlign w:val="bottom"/>
            <w:shd w:val="clear" w:color="auto" w:fill="1C2790"/>
          </w:tcPr>
          <w:p>
            <w:pPr>
              <w:spacing w:after="0" w:line="20" w:lineRule="exact"/>
              <w:rPr>
                <w:sz w:val="1"/>
                <w:szCs w:val="1"/>
                <w:color w:val="auto"/>
              </w:rPr>
            </w:pPr>
          </w:p>
        </w:tc>
        <w:tc>
          <w:tcPr>
            <w:tcW w:w="220" w:type="dxa"/>
            <w:vAlign w:val="bottom"/>
            <w:shd w:val="clear" w:color="auto" w:fill="1C2790"/>
          </w:tcPr>
          <w:p>
            <w:pPr>
              <w:spacing w:after="0" w:line="20" w:lineRule="exact"/>
              <w:rPr>
                <w:sz w:val="1"/>
                <w:szCs w:val="1"/>
                <w:color w:val="auto"/>
              </w:rPr>
            </w:pPr>
          </w:p>
        </w:tc>
        <w:tc>
          <w:tcPr>
            <w:tcW w:w="1080" w:type="dxa"/>
            <w:vAlign w:val="bottom"/>
            <w:shd w:val="clear" w:color="auto" w:fill="1C2790"/>
          </w:tcPr>
          <w:p>
            <w:pPr>
              <w:spacing w:after="0" w:line="20" w:lineRule="exact"/>
              <w:rPr>
                <w:sz w:val="1"/>
                <w:szCs w:val="1"/>
                <w:color w:val="auto"/>
              </w:rPr>
            </w:pPr>
          </w:p>
        </w:tc>
        <w:tc>
          <w:tcPr>
            <w:tcW w:w="760" w:type="dxa"/>
            <w:vAlign w:val="bottom"/>
            <w:shd w:val="clear" w:color="auto" w:fill="1C2790"/>
          </w:tcPr>
          <w:p>
            <w:pPr>
              <w:spacing w:after="0" w:line="20" w:lineRule="exact"/>
              <w:rPr>
                <w:sz w:val="1"/>
                <w:szCs w:val="1"/>
                <w:color w:val="auto"/>
              </w:rPr>
            </w:pPr>
          </w:p>
        </w:tc>
        <w:tc>
          <w:tcPr>
            <w:tcW w:w="260" w:type="dxa"/>
            <w:vAlign w:val="bottom"/>
            <w:shd w:val="clear" w:color="auto" w:fill="1C2790"/>
          </w:tcPr>
          <w:p>
            <w:pPr>
              <w:spacing w:after="0" w:line="20" w:lineRule="exact"/>
              <w:rPr>
                <w:sz w:val="1"/>
                <w:szCs w:val="1"/>
                <w:color w:val="auto"/>
              </w:rPr>
            </w:pPr>
          </w:p>
        </w:tc>
        <w:tc>
          <w:tcPr>
            <w:tcW w:w="160" w:type="dxa"/>
            <w:vAlign w:val="bottom"/>
            <w:shd w:val="clear" w:color="auto" w:fill="1C2790"/>
          </w:tcPr>
          <w:p>
            <w:pPr>
              <w:spacing w:after="0" w:line="20" w:lineRule="exact"/>
              <w:rPr>
                <w:sz w:val="1"/>
                <w:szCs w:val="1"/>
                <w:color w:val="auto"/>
              </w:rPr>
            </w:pPr>
          </w:p>
        </w:tc>
        <w:tc>
          <w:tcPr>
            <w:tcW w:w="620" w:type="dxa"/>
            <w:vAlign w:val="bottom"/>
            <w:shd w:val="clear" w:color="auto" w:fill="1C2790"/>
          </w:tcPr>
          <w:p>
            <w:pPr>
              <w:spacing w:after="0" w:line="20" w:lineRule="exact"/>
              <w:rPr>
                <w:sz w:val="1"/>
                <w:szCs w:val="1"/>
                <w:color w:val="auto"/>
              </w:rPr>
            </w:pPr>
          </w:p>
        </w:tc>
        <w:tc>
          <w:tcPr>
            <w:tcW w:w="1340" w:type="dxa"/>
            <w:vAlign w:val="bottom"/>
            <w:shd w:val="clear" w:color="auto" w:fill="1C2790"/>
          </w:tcPr>
          <w:p>
            <w:pPr>
              <w:spacing w:after="0" w:line="20" w:lineRule="exact"/>
              <w:rPr>
                <w:sz w:val="1"/>
                <w:szCs w:val="1"/>
                <w:color w:val="auto"/>
              </w:rPr>
            </w:pPr>
          </w:p>
        </w:tc>
        <w:tc>
          <w:tcPr>
            <w:tcW w:w="400" w:type="dxa"/>
            <w:vAlign w:val="bottom"/>
            <w:shd w:val="clear" w:color="auto" w:fill="1C279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260"/>
          </w:cols>
          <w:pgMar w:left="940" w:top="430" w:right="1040" w:bottom="0" w:gutter="0" w:footer="0" w:header="0"/>
        </w:sectPr>
      </w:pPr>
    </w:p>
    <w:p>
      <w:pPr>
        <w:spacing w:after="0" w:line="20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20"/>
          <w:szCs w:val="20"/>
          <w:color w:val="auto"/>
        </w:rPr>
        <w:t>98</w:t>
      </w:r>
    </w:p>
    <w:p>
      <w:pPr>
        <w:sectPr>
          <w:pgSz w:w="12240" w:h="15840" w:orient="portrait"/>
          <w:cols w:equalWidth="0" w:num="1">
            <w:col w:w="10260"/>
          </w:cols>
          <w:pgMar w:left="940" w:top="430" w:right="1040" w:bottom="0" w:gutter="0" w:footer="0" w:header="0"/>
          <w:type w:val="continuous"/>
        </w:sectPr>
      </w:pPr>
    </w:p>
    <w:bookmarkStart w:id="100" w:name="page101"/>
    <w:bookmarkEnd w:id="100"/>
    <w:p>
      <w:pPr>
        <w:ind w:left="60"/>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16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463"/>
        </w:trPr>
        <w:tc>
          <w:tcPr>
            <w:tcW w:w="8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31.1*</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160" w:type="dxa"/>
            <w:vAlign w:val="bottom"/>
            <w:gridSpan w:val="8"/>
          </w:tcPr>
          <w:p>
            <w:pPr>
              <w:spacing w:after="0"/>
              <w:rPr>
                <w:sz w:val="20"/>
                <w:szCs w:val="20"/>
                <w:color w:val="auto"/>
              </w:rPr>
            </w:pPr>
            <w:r>
              <w:rPr>
                <w:rFonts w:ascii="Times New Roman" w:cs="Times New Roman" w:eastAsia="Times New Roman" w:hAnsi="Times New Roman"/>
                <w:sz w:val="20"/>
                <w:szCs w:val="20"/>
                <w:color w:val="1C2790"/>
              </w:rPr>
              <w:t>Certification of Chief Executive Officer pursuant to Section 302 of the Sarbanes-Oxley Act of 2002.</w:t>
            </w:r>
          </w:p>
        </w:tc>
      </w:tr>
      <w:tr>
        <w:trPr>
          <w:trHeight w:val="243"/>
        </w:trPr>
        <w:tc>
          <w:tcPr>
            <w:tcW w:w="8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31.2*</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20" w:type="dxa"/>
            <w:vAlign w:val="bottom"/>
            <w:tcBorders>
              <w:top w:val="single" w:sz="8" w:color="1C2790"/>
            </w:tcBorders>
            <w:gridSpan w:val="4"/>
          </w:tcPr>
          <w:p>
            <w:pPr>
              <w:spacing w:after="0"/>
              <w:rPr>
                <w:sz w:val="20"/>
                <w:szCs w:val="20"/>
                <w:color w:val="auto"/>
              </w:rPr>
            </w:pPr>
            <w:r>
              <w:rPr>
                <w:rFonts w:ascii="Times New Roman" w:cs="Times New Roman" w:eastAsia="Times New Roman" w:hAnsi="Times New Roman"/>
                <w:sz w:val="20"/>
                <w:szCs w:val="20"/>
                <w:color w:val="1C2790"/>
              </w:rPr>
              <w:t>Certification of Chief Financial Officer pursuant to Section 302 of the Sarbanes-Oxley Act of 2002.</w:t>
            </w:r>
          </w:p>
        </w:tc>
        <w:tc>
          <w:tcPr>
            <w:tcW w:w="1140" w:type="dxa"/>
            <w:vAlign w:val="bottom"/>
            <w:gridSpan w:val="4"/>
          </w:tcPr>
          <w:p>
            <w:pPr>
              <w:spacing w:after="0"/>
              <w:rPr>
                <w:sz w:val="21"/>
                <w:szCs w:val="21"/>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40" w:type="dxa"/>
            <w:vAlign w:val="bottom"/>
            <w:shd w:val="clear" w:color="auto" w:fill="1C2790"/>
          </w:tcPr>
          <w:p>
            <w:pPr>
              <w:spacing w:after="0" w:line="20" w:lineRule="exact"/>
              <w:rPr>
                <w:sz w:val="1"/>
                <w:szCs w:val="1"/>
                <w:color w:val="auto"/>
              </w:rPr>
            </w:pPr>
          </w:p>
        </w:tc>
        <w:tc>
          <w:tcPr>
            <w:tcW w:w="1860" w:type="dxa"/>
            <w:vAlign w:val="bottom"/>
            <w:shd w:val="clear" w:color="auto" w:fill="1C2790"/>
          </w:tcPr>
          <w:p>
            <w:pPr>
              <w:spacing w:after="0" w:line="20" w:lineRule="exact"/>
              <w:rPr>
                <w:sz w:val="1"/>
                <w:szCs w:val="1"/>
                <w:color w:val="auto"/>
              </w:rPr>
            </w:pPr>
          </w:p>
        </w:tc>
        <w:tc>
          <w:tcPr>
            <w:tcW w:w="3260" w:type="dxa"/>
            <w:vAlign w:val="bottom"/>
            <w:shd w:val="clear" w:color="auto" w:fill="1C279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2"/>
        </w:trPr>
        <w:tc>
          <w:tcPr>
            <w:tcW w:w="8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32.1*#</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160" w:type="dxa"/>
            <w:vAlign w:val="bottom"/>
            <w:gridSpan w:val="8"/>
          </w:tcPr>
          <w:p>
            <w:pPr>
              <w:spacing w:after="0"/>
              <w:rPr>
                <w:sz w:val="20"/>
                <w:szCs w:val="20"/>
                <w:color w:val="auto"/>
              </w:rPr>
            </w:pPr>
            <w:r>
              <w:rPr>
                <w:rFonts w:ascii="Times New Roman" w:cs="Times New Roman" w:eastAsia="Times New Roman" w:hAnsi="Times New Roman"/>
                <w:sz w:val="20"/>
                <w:szCs w:val="20"/>
                <w:color w:val="1C2790"/>
              </w:rPr>
              <w:t>Certification of Chief Executive Officer pursuant to 18 U.S.C. Section 1350, as adopted pursuant to Section 302</w:t>
            </w:r>
          </w:p>
        </w:tc>
      </w:tr>
      <w:tr>
        <w:trPr>
          <w:trHeight w:val="180"/>
        </w:trPr>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40" w:type="dxa"/>
            <w:vAlign w:val="bottom"/>
            <w:tcBorders>
              <w:top w:val="single" w:sz="8" w:color="1C2790"/>
              <w:bottom w:val="single" w:sz="8" w:color="1C2790"/>
            </w:tcBorders>
          </w:tcPr>
          <w:p>
            <w:pPr>
              <w:spacing w:after="0" w:line="181" w:lineRule="exact"/>
              <w:rPr>
                <w:sz w:val="20"/>
                <w:szCs w:val="20"/>
                <w:color w:val="auto"/>
              </w:rPr>
            </w:pPr>
            <w:r>
              <w:rPr>
                <w:rFonts w:ascii="Times New Roman" w:cs="Times New Roman" w:eastAsia="Times New Roman" w:hAnsi="Times New Roman"/>
                <w:sz w:val="20"/>
                <w:szCs w:val="20"/>
                <w:color w:val="1C2790"/>
                <w:w w:val="99"/>
              </w:rPr>
              <w:t>of the Sarbanes-Oxley Act of 2002.</w:t>
            </w:r>
          </w:p>
        </w:tc>
        <w:tc>
          <w:tcPr>
            <w:tcW w:w="6140" w:type="dxa"/>
            <w:vAlign w:val="bottom"/>
            <w:tcBorders>
              <w:top w:val="single" w:sz="8" w:color="1C2790"/>
            </w:tcBorders>
            <w:gridSpan w:val="5"/>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43"/>
        </w:trPr>
        <w:tc>
          <w:tcPr>
            <w:tcW w:w="8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32.2*#</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160" w:type="dxa"/>
            <w:vAlign w:val="bottom"/>
            <w:gridSpan w:val="8"/>
          </w:tcPr>
          <w:p>
            <w:pPr>
              <w:spacing w:after="0"/>
              <w:rPr>
                <w:sz w:val="20"/>
                <w:szCs w:val="20"/>
                <w:color w:val="auto"/>
              </w:rPr>
            </w:pPr>
            <w:r>
              <w:rPr>
                <w:rFonts w:ascii="Times New Roman" w:cs="Times New Roman" w:eastAsia="Times New Roman" w:hAnsi="Times New Roman"/>
                <w:sz w:val="20"/>
                <w:szCs w:val="20"/>
                <w:color w:val="1C2790"/>
              </w:rPr>
              <w:t>Certification of Chief Financial Officer pursuant to 18 U.S.C. Section 1350, as adopted pursuant to Section 302</w:t>
            </w:r>
          </w:p>
        </w:tc>
      </w:tr>
      <w:tr>
        <w:trPr>
          <w:trHeight w:val="180"/>
        </w:trPr>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40" w:type="dxa"/>
            <w:vAlign w:val="bottom"/>
            <w:tcBorders>
              <w:top w:val="single" w:sz="8" w:color="1C2790"/>
              <w:bottom w:val="single" w:sz="8" w:color="1C2790"/>
            </w:tcBorders>
          </w:tcPr>
          <w:p>
            <w:pPr>
              <w:spacing w:after="0" w:line="181" w:lineRule="exact"/>
              <w:rPr>
                <w:sz w:val="20"/>
                <w:szCs w:val="20"/>
                <w:color w:val="auto"/>
              </w:rPr>
            </w:pPr>
            <w:r>
              <w:rPr>
                <w:rFonts w:ascii="Times New Roman" w:cs="Times New Roman" w:eastAsia="Times New Roman" w:hAnsi="Times New Roman"/>
                <w:sz w:val="20"/>
                <w:szCs w:val="20"/>
                <w:color w:val="1C2790"/>
                <w:w w:val="99"/>
              </w:rPr>
              <w:t>of the Sarbanes-Oxley Act of 2002.</w:t>
            </w:r>
          </w:p>
        </w:tc>
        <w:tc>
          <w:tcPr>
            <w:tcW w:w="6080" w:type="dxa"/>
            <w:vAlign w:val="bottom"/>
            <w:tcBorders>
              <w:top w:val="single" w:sz="8" w:color="1C2790"/>
            </w:tcBorders>
            <w:gridSpan w:val="4"/>
          </w:tcPr>
          <w:p>
            <w:pPr>
              <w:spacing w:after="0"/>
              <w:rPr>
                <w:sz w:val="15"/>
                <w:szCs w:val="15"/>
                <w:color w:val="auto"/>
              </w:rPr>
            </w:pPr>
          </w:p>
        </w:tc>
        <w:tc>
          <w:tcPr>
            <w:tcW w:w="18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r>
      <w:tr>
        <w:trPr>
          <w:trHeight w:val="243"/>
        </w:trPr>
        <w:tc>
          <w:tcPr>
            <w:tcW w:w="8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97.1</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160" w:type="dxa"/>
            <w:vAlign w:val="bottom"/>
            <w:gridSpan w:val="8"/>
          </w:tcPr>
          <w:p>
            <w:pPr>
              <w:spacing w:after="0"/>
              <w:rPr>
                <w:sz w:val="20"/>
                <w:szCs w:val="20"/>
                <w:color w:val="auto"/>
              </w:rPr>
            </w:pPr>
            <w:r>
              <w:rPr>
                <w:rFonts w:ascii="Times New Roman" w:cs="Times New Roman" w:eastAsia="Times New Roman" w:hAnsi="Times New Roman"/>
                <w:sz w:val="20"/>
                <w:szCs w:val="20"/>
                <w:color w:val="1C2790"/>
              </w:rPr>
              <w:t>Clawback Policy (incorporated by reference to Exhibit 97.1 of the Company’s Annual Report on Form 10-K (File</w:t>
            </w:r>
          </w:p>
        </w:tc>
      </w:tr>
      <w:tr>
        <w:trPr>
          <w:trHeight w:val="180"/>
        </w:trPr>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100" w:type="dxa"/>
            <w:vAlign w:val="bottom"/>
            <w:tcBorders>
              <w:top w:val="single" w:sz="8" w:color="1C2790"/>
            </w:tcBorders>
            <w:gridSpan w:val="7"/>
          </w:tcPr>
          <w:p>
            <w:pPr>
              <w:spacing w:after="0" w:line="181" w:lineRule="exact"/>
              <w:rPr>
                <w:sz w:val="20"/>
                <w:szCs w:val="20"/>
                <w:color w:val="auto"/>
              </w:rPr>
            </w:pPr>
            <w:r>
              <w:rPr>
                <w:rFonts w:ascii="Times New Roman" w:cs="Times New Roman" w:eastAsia="Times New Roman" w:hAnsi="Times New Roman"/>
                <w:sz w:val="20"/>
                <w:szCs w:val="20"/>
                <w:color w:val="1C2790"/>
              </w:rPr>
              <w:t>No. 001-39773) filed with the SEC on February 29, 2024).</w:t>
            </w:r>
          </w:p>
        </w:tc>
        <w:tc>
          <w:tcPr>
            <w:tcW w:w="60" w:type="dxa"/>
            <w:vAlign w:val="bottom"/>
          </w:tcPr>
          <w:p>
            <w:pPr>
              <w:spacing w:after="0"/>
              <w:rPr>
                <w:sz w:val="15"/>
                <w:szCs w:val="15"/>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700" w:type="dxa"/>
            <w:vAlign w:val="bottom"/>
            <w:gridSpan w:val="2"/>
            <w:shd w:val="clear" w:color="auto" w:fill="1C2790"/>
          </w:tcPr>
          <w:p>
            <w:pPr>
              <w:spacing w:after="0" w:line="20" w:lineRule="exact"/>
              <w:rPr>
                <w:sz w:val="1"/>
                <w:szCs w:val="1"/>
                <w:color w:val="auto"/>
              </w:rPr>
            </w:pPr>
          </w:p>
        </w:tc>
        <w:tc>
          <w:tcPr>
            <w:tcW w:w="4460" w:type="dxa"/>
            <w:vAlign w:val="bottom"/>
            <w:gridSpan w:val="6"/>
          </w:tcPr>
          <w:p>
            <w:pPr>
              <w:spacing w:after="0" w:line="20" w:lineRule="exact"/>
              <w:rPr>
                <w:sz w:val="1"/>
                <w:szCs w:val="1"/>
                <w:color w:val="auto"/>
              </w:rPr>
            </w:pPr>
          </w:p>
        </w:tc>
      </w:tr>
      <w:tr>
        <w:trPr>
          <w:trHeight w:val="221"/>
        </w:trPr>
        <w:tc>
          <w:tcPr>
            <w:tcW w:w="860" w:type="dxa"/>
            <w:vAlign w:val="bottom"/>
          </w:tcPr>
          <w:p>
            <w:pPr>
              <w:ind w:left="60"/>
              <w:spacing w:after="0" w:line="221" w:lineRule="exact"/>
              <w:rPr>
                <w:sz w:val="20"/>
                <w:szCs w:val="20"/>
                <w:color w:val="auto"/>
              </w:rPr>
            </w:pPr>
            <w:r>
              <w:rPr>
                <w:rFonts w:ascii="Times New Roman" w:cs="Times New Roman" w:eastAsia="Times New Roman" w:hAnsi="Times New Roman"/>
                <w:sz w:val="20"/>
                <w:szCs w:val="20"/>
                <w:color w:val="auto"/>
              </w:rPr>
              <w:t>101. INS</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160" w:type="dxa"/>
            <w:vAlign w:val="bottom"/>
            <w:gridSpan w:val="8"/>
          </w:tcPr>
          <w:p>
            <w:pPr>
              <w:spacing w:after="0" w:line="221" w:lineRule="exact"/>
              <w:rPr>
                <w:sz w:val="20"/>
                <w:szCs w:val="20"/>
                <w:color w:val="auto"/>
              </w:rPr>
            </w:pPr>
            <w:r>
              <w:rPr>
                <w:rFonts w:ascii="Times New Roman" w:cs="Times New Roman" w:eastAsia="Times New Roman" w:hAnsi="Times New Roman"/>
                <w:sz w:val="20"/>
                <w:szCs w:val="20"/>
                <w:color w:val="auto"/>
              </w:rPr>
              <w:t>Inline XBRL Instance Document - the instance document does not appear in the Interactive Data File because its</w:t>
            </w:r>
          </w:p>
        </w:tc>
      </w:tr>
      <w:tr>
        <w:trPr>
          <w:trHeight w:val="257"/>
        </w:trPr>
        <w:tc>
          <w:tcPr>
            <w:tcW w:w="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16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XBRL tags are embedded within the Inline XBRL document.</w:t>
            </w:r>
          </w:p>
        </w:tc>
      </w:tr>
      <w:tr>
        <w:trPr>
          <w:trHeight w:val="262"/>
        </w:trPr>
        <w:tc>
          <w:tcPr>
            <w:tcW w:w="8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101.SCH</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16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Inline XBRL Taxonomy Schema Linkbase Document.</w:t>
            </w:r>
          </w:p>
        </w:tc>
      </w:tr>
      <w:tr>
        <w:trPr>
          <w:trHeight w:val="208"/>
        </w:trPr>
        <w:tc>
          <w:tcPr>
            <w:tcW w:w="860" w:type="dxa"/>
            <w:vAlign w:val="bottom"/>
          </w:tcPr>
          <w:p>
            <w:pPr>
              <w:ind w:left="60"/>
              <w:spacing w:after="0" w:line="207" w:lineRule="exact"/>
              <w:rPr>
                <w:sz w:val="20"/>
                <w:szCs w:val="20"/>
                <w:color w:val="auto"/>
              </w:rPr>
            </w:pPr>
            <w:r>
              <w:rPr>
                <w:rFonts w:ascii="Times New Roman" w:cs="Times New Roman" w:eastAsia="Times New Roman" w:hAnsi="Times New Roman"/>
                <w:sz w:val="20"/>
                <w:szCs w:val="20"/>
                <w:color w:val="auto"/>
              </w:rPr>
              <w:t>101.CA</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160" w:type="dxa"/>
            <w:vAlign w:val="bottom"/>
            <w:gridSpan w:val="8"/>
          </w:tcPr>
          <w:p>
            <w:pPr>
              <w:spacing w:after="0" w:line="207" w:lineRule="exact"/>
              <w:rPr>
                <w:sz w:val="20"/>
                <w:szCs w:val="20"/>
                <w:color w:val="auto"/>
              </w:rPr>
            </w:pPr>
            <w:r>
              <w:rPr>
                <w:rFonts w:ascii="Times New Roman" w:cs="Times New Roman" w:eastAsia="Times New Roman" w:hAnsi="Times New Roman"/>
                <w:sz w:val="20"/>
                <w:szCs w:val="20"/>
                <w:color w:val="auto"/>
              </w:rPr>
              <w:t>Inline XBRL Taxonomy Calculation Linkbase Document.</w:t>
            </w:r>
          </w:p>
        </w:tc>
      </w:tr>
      <w:tr>
        <w:trPr>
          <w:trHeight w:val="257"/>
        </w:trPr>
        <w:tc>
          <w:tcPr>
            <w:tcW w:w="8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62"/>
        </w:trPr>
        <w:tc>
          <w:tcPr>
            <w:tcW w:w="8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101.DEF</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16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Inline XBRL Taxonomy Definition Linkbase Document.</w:t>
            </w:r>
          </w:p>
        </w:tc>
      </w:tr>
      <w:tr>
        <w:trPr>
          <w:trHeight w:val="208"/>
        </w:trPr>
        <w:tc>
          <w:tcPr>
            <w:tcW w:w="860" w:type="dxa"/>
            <w:vAlign w:val="bottom"/>
          </w:tcPr>
          <w:p>
            <w:pPr>
              <w:ind w:left="60"/>
              <w:spacing w:after="0" w:line="207" w:lineRule="exact"/>
              <w:rPr>
                <w:sz w:val="20"/>
                <w:szCs w:val="20"/>
                <w:color w:val="auto"/>
              </w:rPr>
            </w:pPr>
            <w:r>
              <w:rPr>
                <w:rFonts w:ascii="Times New Roman" w:cs="Times New Roman" w:eastAsia="Times New Roman" w:hAnsi="Times New Roman"/>
                <w:sz w:val="20"/>
                <w:szCs w:val="20"/>
                <w:color w:val="auto"/>
              </w:rPr>
              <w:t>101.LA</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160" w:type="dxa"/>
            <w:vAlign w:val="bottom"/>
            <w:gridSpan w:val="8"/>
          </w:tcPr>
          <w:p>
            <w:pPr>
              <w:spacing w:after="0" w:line="207" w:lineRule="exact"/>
              <w:rPr>
                <w:sz w:val="20"/>
                <w:szCs w:val="20"/>
                <w:color w:val="auto"/>
              </w:rPr>
            </w:pPr>
            <w:r>
              <w:rPr>
                <w:rFonts w:ascii="Times New Roman" w:cs="Times New Roman" w:eastAsia="Times New Roman" w:hAnsi="Times New Roman"/>
                <w:sz w:val="20"/>
                <w:szCs w:val="20"/>
                <w:color w:val="auto"/>
              </w:rPr>
              <w:t>Inline XBRL Taxonomy Labels Linkbase Document.</w:t>
            </w:r>
          </w:p>
        </w:tc>
      </w:tr>
      <w:tr>
        <w:trPr>
          <w:trHeight w:val="257"/>
        </w:trPr>
        <w:tc>
          <w:tcPr>
            <w:tcW w:w="8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63"/>
        </w:trPr>
        <w:tc>
          <w:tcPr>
            <w:tcW w:w="8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101.PRE</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16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Inline XBRL Taxonomy Presentation Linkbase Document.</w:t>
            </w:r>
          </w:p>
        </w:tc>
      </w:tr>
      <w:tr>
        <w:trPr>
          <w:trHeight w:val="267"/>
        </w:trPr>
        <w:tc>
          <w:tcPr>
            <w:tcW w:w="8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104</w:t>
            </w: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16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22225</wp:posOffset>
                </wp:positionH>
                <wp:positionV relativeFrom="paragraph">
                  <wp:posOffset>249555</wp:posOffset>
                </wp:positionV>
                <wp:extent cx="1304925"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4925"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5pt,19.65pt" to="104.5pt,19.65pt" o:allowincell="f" strokecolor="#000000" strokeweight="0.96pt"/>
            </w:pict>
          </mc:Fallback>
        </mc:AlternateContent>
      </w:r>
    </w:p>
    <w:p>
      <w:pPr>
        <w:spacing w:after="0" w:line="200" w:lineRule="exact"/>
        <w:rPr>
          <w:sz w:val="20"/>
          <w:szCs w:val="20"/>
          <w:color w:val="auto"/>
        </w:rPr>
      </w:pPr>
    </w:p>
    <w:p>
      <w:pPr>
        <w:spacing w:after="0" w:line="293" w:lineRule="exact"/>
        <w:rPr>
          <w:sz w:val="20"/>
          <w:szCs w:val="20"/>
          <w:color w:val="auto"/>
        </w:rPr>
      </w:pPr>
    </w:p>
    <w:p>
      <w:pPr>
        <w:ind w:left="420" w:hanging="370"/>
        <w:spacing w:after="0"/>
        <w:tabs>
          <w:tab w:leader="none" w:pos="4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Filed herewith.</w:t>
      </w:r>
    </w:p>
    <w:p>
      <w:pPr>
        <w:spacing w:after="0" w:line="169" w:lineRule="exact"/>
        <w:rPr>
          <w:rFonts w:ascii="Times New Roman" w:cs="Times New Roman" w:eastAsia="Times New Roman" w:hAnsi="Times New Roman"/>
          <w:sz w:val="20"/>
          <w:szCs w:val="20"/>
          <w:color w:val="auto"/>
        </w:rPr>
      </w:pPr>
    </w:p>
    <w:p>
      <w:pPr>
        <w:ind w:left="420" w:hanging="370"/>
        <w:spacing w:after="0"/>
        <w:tabs>
          <w:tab w:leader="none" w:pos="4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Denotes management contract or compensatory plan or arrangement.</w:t>
      </w:r>
    </w:p>
    <w:p>
      <w:pPr>
        <w:spacing w:after="0" w:line="171" w:lineRule="exact"/>
        <w:rPr>
          <w:sz w:val="20"/>
          <w:szCs w:val="20"/>
          <w:color w:val="auto"/>
        </w:rPr>
      </w:pPr>
    </w:p>
    <w:p>
      <w:pPr>
        <w:jc w:val="both"/>
        <w:ind w:left="420" w:hanging="370"/>
        <w:spacing w:after="0" w:line="258" w:lineRule="auto"/>
        <w:tabs>
          <w:tab w:leader="none" w:pos="421"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certifications attached as Exhibits 32.1 and 32.2 accompany this Annual Report on Form 10-K pursuant to 18 U.S.C. Section 1350, as adopted pursuant to Section 906 of the Sarbanes-Oxley Act of 2002, and shall not be deemed "filed" by the Company for purposes of Section 18 of the Exchange Act, or otherwise subject to the liability of that section, nor shall they be deemed incorporated by reference into any filing of the Registrant under the Securities Act of 1933, as amended, or the Exchange Act, whether made before or after the date hereof, regardless of any general incorporation language in such filing.</w:t>
      </w:r>
    </w:p>
    <w:p>
      <w:pPr>
        <w:spacing w:after="0" w:line="116" w:lineRule="exact"/>
        <w:rPr>
          <w:sz w:val="20"/>
          <w:szCs w:val="20"/>
          <w:color w:val="auto"/>
        </w:rPr>
      </w:pPr>
    </w:p>
    <w:p>
      <w:pPr>
        <w:jc w:val="both"/>
        <w:ind w:left="420" w:hanging="370"/>
        <w:spacing w:after="0" w:line="260" w:lineRule="auto"/>
        <w:tabs>
          <w:tab w:leader="none" w:pos="4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accordance with Item 601(b)(10)(iv) of Regulation S-K, certain information (indicated by “[***]”) has been excluded from this exhibit because it is both not material and private or confidential. A copy of the omitted portion will be furnished to the Securities and Exchange Commission upon request. Additionally, certain schedules and exhibits have been omitted from this filing pursuant to Item 601(a)(5) of Regulation S-K. A copy of any omitted schedule or exhibit will be furnished to the Securities and Exchange Commission upon request.</w:t>
      </w:r>
    </w:p>
    <w:p>
      <w:pPr>
        <w:spacing w:after="0" w:line="190" w:lineRule="exact"/>
        <w:rPr>
          <w:sz w:val="20"/>
          <w:szCs w:val="20"/>
          <w:color w:val="auto"/>
        </w:rPr>
      </w:pPr>
    </w:p>
    <w:p>
      <w:pPr>
        <w:ind w:left="60"/>
        <w:spacing w:after="0"/>
        <w:tabs>
          <w:tab w:leader="none" w:pos="1460" w:val="left"/>
        </w:tabs>
        <w:rPr>
          <w:sz w:val="20"/>
          <w:szCs w:val="20"/>
          <w:color w:val="auto"/>
        </w:rPr>
      </w:pPr>
      <w:r>
        <w:rPr>
          <w:rFonts w:ascii="Times New Roman" w:cs="Times New Roman" w:eastAsia="Times New Roman" w:hAnsi="Times New Roman"/>
          <w:sz w:val="20"/>
          <w:szCs w:val="20"/>
          <w:b w:val="1"/>
          <w:bCs w:val="1"/>
          <w:color w:val="auto"/>
        </w:rPr>
        <w:t>Item 16.</w:t>
      </w:r>
      <w:r>
        <w:rPr>
          <w:sz w:val="20"/>
          <w:szCs w:val="20"/>
          <w:color w:val="auto"/>
        </w:rPr>
        <w:tab/>
      </w:r>
      <w:r>
        <w:rPr>
          <w:rFonts w:ascii="Times New Roman" w:cs="Times New Roman" w:eastAsia="Times New Roman" w:hAnsi="Times New Roman"/>
          <w:sz w:val="19"/>
          <w:szCs w:val="19"/>
          <w:b w:val="1"/>
          <w:bCs w:val="1"/>
          <w:color w:val="auto"/>
        </w:rPr>
        <w:t>FORM 10-K SUMMARY</w:t>
      </w:r>
    </w:p>
    <w:p>
      <w:pPr>
        <w:spacing w:after="0" w:line="25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10320"/>
          </w:cols>
          <w:pgMar w:left="940" w:top="43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0"/>
          <w:szCs w:val="20"/>
          <w:color w:val="auto"/>
        </w:rPr>
        <w:t>99</w:t>
      </w:r>
    </w:p>
    <w:p>
      <w:pPr>
        <w:sectPr>
          <w:pgSz w:w="12240" w:h="15840" w:orient="portrait"/>
          <w:cols w:equalWidth="0" w:num="1">
            <w:col w:w="10320"/>
          </w:cols>
          <w:pgMar w:left="940" w:top="430" w:right="980" w:bottom="0" w:gutter="0" w:footer="0" w:header="0"/>
          <w:type w:val="continuous"/>
        </w:sectPr>
      </w:pPr>
    </w:p>
    <w:bookmarkStart w:id="101" w:name="page102"/>
    <w:bookmarkEnd w:id="101"/>
    <w:p>
      <w:pPr>
        <w:ind w:left="60"/>
        <w:spacing w:after="0"/>
        <w:rPr>
          <w:sz w:val="20"/>
          <w:szCs w:val="20"/>
          <w:color w:val="auto"/>
        </w:rPr>
      </w:pPr>
      <w:r>
        <w:rPr>
          <w:rFonts w:ascii="Times New Roman" w:cs="Times New Roman" w:eastAsia="Times New Roman" w:hAnsi="Times New Roman"/>
          <w:sz w:val="16"/>
          <w:szCs w:val="16"/>
          <w:u w:val="single" w:color="auto"/>
          <w:color w:val="1C2790"/>
        </w:rPr>
        <w:t>TABLE OF CONTENTS</w:t>
      </w:r>
    </w:p>
    <w:p>
      <w:pPr>
        <w:spacing w:after="0" w:line="18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14" w:lineRule="exact"/>
        <w:rPr>
          <w:sz w:val="20"/>
          <w:szCs w:val="20"/>
          <w:color w:val="auto"/>
        </w:rPr>
      </w:pPr>
    </w:p>
    <w:p>
      <w:pPr>
        <w:ind w:left="60" w:right="20" w:firstLine="720"/>
        <w:spacing w:after="0" w:line="287"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b w:val="1"/>
          <w:bCs w:val="1"/>
          <w:color w:val="auto"/>
        </w:rPr>
        <w:t>Hydrofarm Holdings Group, Inc.</w:t>
      </w:r>
    </w:p>
    <w:p>
      <w:pPr>
        <w:spacing w:after="0" w:line="344" w:lineRule="exact"/>
        <w:rPr>
          <w:sz w:val="20"/>
          <w:szCs w:val="20"/>
          <w:color w:val="auto"/>
        </w:rPr>
      </w:pPr>
    </w:p>
    <w:p>
      <w:pPr>
        <w:ind w:left="100"/>
        <w:spacing w:after="0"/>
        <w:tabs>
          <w:tab w:leader="none" w:pos="5220" w:val="left"/>
        </w:tabs>
        <w:rPr>
          <w:sz w:val="20"/>
          <w:szCs w:val="20"/>
          <w:color w:val="auto"/>
        </w:rPr>
      </w:pPr>
      <w:r>
        <w:rPr>
          <w:rFonts w:ascii="Times New Roman" w:cs="Times New Roman" w:eastAsia="Times New Roman" w:hAnsi="Times New Roman"/>
          <w:sz w:val="20"/>
          <w:szCs w:val="20"/>
          <w:color w:val="auto"/>
        </w:rPr>
        <w:t>Date: March 27, 2026</w:t>
      </w:r>
      <w:r>
        <w:rPr>
          <w:sz w:val="20"/>
          <w:szCs w:val="20"/>
          <w:color w:val="auto"/>
        </w:rPr>
        <w:tab/>
      </w:r>
      <w:r>
        <w:rPr>
          <w:rFonts w:ascii="Times New Roman" w:cs="Times New Roman" w:eastAsia="Times New Roman" w:hAnsi="Times New Roman"/>
          <w:sz w:val="19"/>
          <w:szCs w:val="19"/>
          <w:color w:val="auto"/>
        </w:rPr>
        <w:t>/s/ William Toler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3289300</wp:posOffset>
                </wp:positionH>
                <wp:positionV relativeFrom="paragraph">
                  <wp:posOffset>36830</wp:posOffset>
                </wp:positionV>
                <wp:extent cx="3257550"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57550"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pt,2.9pt" to="515.5pt,2.9pt" o:allowincell="f" strokecolor="#000000" strokeweight="0.9599pt"/>
            </w:pict>
          </mc:Fallback>
        </mc:AlternateContent>
      </w:r>
    </w:p>
    <w:p>
      <w:pPr>
        <w:spacing w:after="0" w:line="3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William Toler</w:t>
      </w:r>
    </w:p>
    <w:p>
      <w:pPr>
        <w:spacing w:after="0" w:line="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Chief Executive Officer &amp; Executive Chairman of the Board</w:t>
      </w:r>
    </w:p>
    <w:p>
      <w:pPr>
        <w:ind w:left="5240"/>
        <w:spacing w:after="0"/>
        <w:rPr>
          <w:sz w:val="20"/>
          <w:szCs w:val="20"/>
          <w:color w:val="auto"/>
        </w:rPr>
      </w:pPr>
      <w:r>
        <w:rPr>
          <w:rFonts w:ascii="Times New Roman" w:cs="Times New Roman" w:eastAsia="Times New Roman" w:hAnsi="Times New Roman"/>
          <w:sz w:val="20"/>
          <w:szCs w:val="20"/>
          <w:color w:val="auto"/>
        </w:rPr>
        <w:t>of Directors</w:t>
      </w:r>
    </w:p>
    <w:p>
      <w:pPr>
        <w:spacing w:after="0" w:line="2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(Principal Executive Officer)</w:t>
      </w:r>
    </w:p>
    <w:p>
      <w:pPr>
        <w:spacing w:after="0" w:line="200" w:lineRule="exact"/>
        <w:rPr>
          <w:sz w:val="20"/>
          <w:szCs w:val="20"/>
          <w:color w:val="auto"/>
        </w:rPr>
      </w:pPr>
    </w:p>
    <w:p>
      <w:pPr>
        <w:spacing w:after="0" w:line="316" w:lineRule="exact"/>
        <w:rPr>
          <w:sz w:val="20"/>
          <w:szCs w:val="20"/>
          <w:color w:val="auto"/>
        </w:rPr>
      </w:pPr>
    </w:p>
    <w:p>
      <w:pPr>
        <w:ind w:left="60" w:firstLine="720"/>
        <w:spacing w:after="0" w:line="272"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indicated below and on the dates indicated.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3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Signatures</w:t>
            </w:r>
          </w:p>
        </w:tc>
        <w:tc>
          <w:tcPr>
            <w:tcW w:w="60" w:type="dxa"/>
            <w:vAlign w:val="bottom"/>
          </w:tcPr>
          <w:p>
            <w:pPr>
              <w:spacing w:after="0"/>
              <w:rPr>
                <w:sz w:val="24"/>
                <w:szCs w:val="24"/>
                <w:color w:val="auto"/>
              </w:rPr>
            </w:pPr>
          </w:p>
        </w:tc>
        <w:tc>
          <w:tcPr>
            <w:tcW w:w="334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20"/>
                <w:szCs w:val="20"/>
                <w:color w:val="auto"/>
              </w:rPr>
              <w:t>Title</w:t>
            </w:r>
          </w:p>
        </w:tc>
        <w:tc>
          <w:tcPr>
            <w:tcW w:w="60" w:type="dxa"/>
            <w:vAlign w:val="bottom"/>
          </w:tcPr>
          <w:p>
            <w:pPr>
              <w:spacing w:after="0"/>
              <w:rPr>
                <w:sz w:val="24"/>
                <w:szCs w:val="24"/>
                <w:color w:val="auto"/>
              </w:rPr>
            </w:pPr>
          </w:p>
        </w:tc>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5"/>
              </w:rPr>
              <w:t>Date</w:t>
            </w:r>
          </w:p>
        </w:tc>
        <w:tc>
          <w:tcPr>
            <w:tcW w:w="0" w:type="dxa"/>
            <w:vAlign w:val="bottom"/>
          </w:tcPr>
          <w:p>
            <w:pPr>
              <w:spacing w:after="0"/>
              <w:rPr>
                <w:sz w:val="1"/>
                <w:szCs w:val="1"/>
                <w:color w:val="auto"/>
              </w:rPr>
            </w:pPr>
          </w:p>
        </w:tc>
      </w:tr>
      <w:tr>
        <w:trPr>
          <w:trHeight w:val="475"/>
        </w:trPr>
        <w:tc>
          <w:tcPr>
            <w:tcW w:w="33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/s/ William Toler</w:t>
            </w:r>
          </w:p>
        </w:tc>
        <w:tc>
          <w:tcPr>
            <w:tcW w:w="60" w:type="dxa"/>
            <w:vAlign w:val="bottom"/>
          </w:tcPr>
          <w:p>
            <w:pPr>
              <w:spacing w:after="0"/>
              <w:rPr>
                <w:sz w:val="24"/>
                <w:szCs w:val="24"/>
                <w:color w:val="auto"/>
              </w:rPr>
            </w:pPr>
          </w:p>
        </w:tc>
        <w:tc>
          <w:tcPr>
            <w:tcW w:w="33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Chief Executive Officer &amp; Executive</w:t>
            </w:r>
          </w:p>
        </w:tc>
        <w:tc>
          <w:tcPr>
            <w:tcW w:w="60" w:type="dxa"/>
            <w:vAlign w:val="bottom"/>
          </w:tcPr>
          <w:p>
            <w:pPr>
              <w:spacing w:after="0"/>
              <w:rPr>
                <w:sz w:val="24"/>
                <w:szCs w:val="24"/>
                <w:color w:val="auto"/>
              </w:rPr>
            </w:pPr>
          </w:p>
        </w:tc>
        <w:tc>
          <w:tcPr>
            <w:tcW w:w="33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March 27, 2026</w:t>
            </w:r>
          </w:p>
        </w:tc>
        <w:tc>
          <w:tcPr>
            <w:tcW w:w="0" w:type="dxa"/>
            <w:vAlign w:val="bottom"/>
          </w:tcPr>
          <w:p>
            <w:pPr>
              <w:spacing w:after="0"/>
              <w:rPr>
                <w:sz w:val="1"/>
                <w:szCs w:val="1"/>
                <w:color w:val="auto"/>
              </w:rPr>
            </w:pPr>
          </w:p>
        </w:tc>
      </w:tr>
      <w:tr>
        <w:trPr>
          <w:trHeight w:val="184"/>
        </w:trPr>
        <w:tc>
          <w:tcPr>
            <w:tcW w:w="334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3340" w:type="dxa"/>
            <w:vAlign w:val="bottom"/>
          </w:tcPr>
          <w:p>
            <w:pPr>
              <w:ind w:left="60"/>
              <w:spacing w:after="0" w:line="180" w:lineRule="exact"/>
              <w:rPr>
                <w:sz w:val="20"/>
                <w:szCs w:val="20"/>
                <w:color w:val="auto"/>
              </w:rPr>
            </w:pPr>
            <w:r>
              <w:rPr>
                <w:rFonts w:ascii="Times New Roman" w:cs="Times New Roman" w:eastAsia="Times New Roman" w:hAnsi="Times New Roman"/>
                <w:sz w:val="20"/>
                <w:szCs w:val="20"/>
                <w:color w:val="auto"/>
              </w:rPr>
              <w:t>Chairman of the Board of Directors</w:t>
            </w:r>
          </w:p>
        </w:tc>
        <w:tc>
          <w:tcPr>
            <w:tcW w:w="60" w:type="dxa"/>
            <w:vAlign w:val="bottom"/>
          </w:tcPr>
          <w:p>
            <w:pPr>
              <w:spacing w:after="0"/>
              <w:rPr>
                <w:sz w:val="15"/>
                <w:szCs w:val="15"/>
                <w:color w:val="auto"/>
              </w:rPr>
            </w:pPr>
          </w:p>
        </w:tc>
        <w:tc>
          <w:tcPr>
            <w:tcW w:w="3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3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William Toler</w:t>
            </w:r>
          </w:p>
        </w:tc>
        <w:tc>
          <w:tcPr>
            <w:tcW w:w="60" w:type="dxa"/>
            <w:vAlign w:val="bottom"/>
          </w:tcPr>
          <w:p>
            <w:pPr>
              <w:spacing w:after="0"/>
              <w:rPr>
                <w:sz w:val="23"/>
                <w:szCs w:val="23"/>
                <w:color w:val="auto"/>
              </w:rPr>
            </w:pPr>
          </w:p>
        </w:tc>
        <w:tc>
          <w:tcPr>
            <w:tcW w:w="33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Principal Executive Officer</w:t>
            </w: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48"/>
        </w:trPr>
        <w:tc>
          <w:tcPr>
            <w:tcW w:w="3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Kevin O'Brien</w:t>
            </w:r>
          </w:p>
        </w:tc>
        <w:tc>
          <w:tcPr>
            <w:tcW w:w="60" w:type="dxa"/>
            <w:vAlign w:val="bottom"/>
          </w:tcPr>
          <w:p>
            <w:pPr>
              <w:spacing w:after="0"/>
              <w:rPr>
                <w:sz w:val="24"/>
                <w:szCs w:val="24"/>
                <w:color w:val="auto"/>
              </w:rPr>
            </w:pPr>
          </w:p>
        </w:tc>
        <w:tc>
          <w:tcPr>
            <w:tcW w:w="33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Chief Financial Officer</w:t>
            </w:r>
          </w:p>
        </w:tc>
        <w:tc>
          <w:tcPr>
            <w:tcW w:w="6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27, 2026</w:t>
            </w:r>
          </w:p>
        </w:tc>
        <w:tc>
          <w:tcPr>
            <w:tcW w:w="0" w:type="dxa"/>
            <w:vAlign w:val="bottom"/>
          </w:tcPr>
          <w:p>
            <w:pPr>
              <w:spacing w:after="0"/>
              <w:rPr>
                <w:sz w:val="1"/>
                <w:szCs w:val="1"/>
                <w:color w:val="auto"/>
              </w:rPr>
            </w:pPr>
          </w:p>
        </w:tc>
      </w:tr>
      <w:tr>
        <w:trPr>
          <w:trHeight w:val="267"/>
        </w:trPr>
        <w:tc>
          <w:tcPr>
            <w:tcW w:w="33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Kevin O'Brien</w:t>
            </w:r>
          </w:p>
        </w:tc>
        <w:tc>
          <w:tcPr>
            <w:tcW w:w="60" w:type="dxa"/>
            <w:vAlign w:val="bottom"/>
          </w:tcPr>
          <w:p>
            <w:pPr>
              <w:spacing w:after="0"/>
              <w:rPr>
                <w:sz w:val="23"/>
                <w:szCs w:val="23"/>
                <w:color w:val="auto"/>
              </w:rPr>
            </w:pPr>
          </w:p>
        </w:tc>
        <w:tc>
          <w:tcPr>
            <w:tcW w:w="33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Principal Financial Officer</w:t>
            </w: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8"/>
        </w:trPr>
        <w:tc>
          <w:tcPr>
            <w:tcW w:w="3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Erica Ackerman</w:t>
            </w:r>
          </w:p>
        </w:tc>
        <w:tc>
          <w:tcPr>
            <w:tcW w:w="60" w:type="dxa"/>
            <w:vAlign w:val="bottom"/>
          </w:tcPr>
          <w:p>
            <w:pPr>
              <w:spacing w:after="0"/>
              <w:rPr>
                <w:sz w:val="24"/>
                <w:szCs w:val="24"/>
                <w:color w:val="auto"/>
              </w:rPr>
            </w:pPr>
          </w:p>
        </w:tc>
        <w:tc>
          <w:tcPr>
            <w:tcW w:w="33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Chief Accounting Officer</w:t>
            </w:r>
          </w:p>
        </w:tc>
        <w:tc>
          <w:tcPr>
            <w:tcW w:w="6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27, 2026</w:t>
            </w:r>
          </w:p>
        </w:tc>
        <w:tc>
          <w:tcPr>
            <w:tcW w:w="0" w:type="dxa"/>
            <w:vAlign w:val="bottom"/>
          </w:tcPr>
          <w:p>
            <w:pPr>
              <w:spacing w:after="0"/>
              <w:rPr>
                <w:sz w:val="1"/>
                <w:szCs w:val="1"/>
                <w:color w:val="auto"/>
              </w:rPr>
            </w:pPr>
          </w:p>
        </w:tc>
      </w:tr>
      <w:tr>
        <w:trPr>
          <w:trHeight w:val="268"/>
        </w:trPr>
        <w:tc>
          <w:tcPr>
            <w:tcW w:w="3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Erica Ackerman</w:t>
            </w:r>
          </w:p>
        </w:tc>
        <w:tc>
          <w:tcPr>
            <w:tcW w:w="60" w:type="dxa"/>
            <w:vAlign w:val="bottom"/>
          </w:tcPr>
          <w:p>
            <w:pPr>
              <w:spacing w:after="0"/>
              <w:rPr>
                <w:sz w:val="23"/>
                <w:szCs w:val="23"/>
                <w:color w:val="auto"/>
              </w:rPr>
            </w:pPr>
          </w:p>
        </w:tc>
        <w:tc>
          <w:tcPr>
            <w:tcW w:w="33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Principal Accounting Officer</w:t>
            </w: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8"/>
        </w:trPr>
        <w:tc>
          <w:tcPr>
            <w:tcW w:w="3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Patrick Chung</w:t>
            </w:r>
          </w:p>
        </w:tc>
        <w:tc>
          <w:tcPr>
            <w:tcW w:w="60" w:type="dxa"/>
            <w:vAlign w:val="bottom"/>
          </w:tcPr>
          <w:p>
            <w:pPr>
              <w:spacing w:after="0"/>
              <w:rPr>
                <w:sz w:val="24"/>
                <w:szCs w:val="24"/>
                <w:color w:val="auto"/>
              </w:rPr>
            </w:pPr>
          </w:p>
        </w:tc>
        <w:tc>
          <w:tcPr>
            <w:tcW w:w="33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27, 2026</w:t>
            </w:r>
          </w:p>
        </w:tc>
        <w:tc>
          <w:tcPr>
            <w:tcW w:w="0" w:type="dxa"/>
            <w:vAlign w:val="bottom"/>
          </w:tcPr>
          <w:p>
            <w:pPr>
              <w:spacing w:after="0"/>
              <w:rPr>
                <w:sz w:val="1"/>
                <w:szCs w:val="1"/>
                <w:color w:val="auto"/>
              </w:rPr>
            </w:pPr>
          </w:p>
        </w:tc>
      </w:tr>
      <w:tr>
        <w:trPr>
          <w:trHeight w:val="267"/>
        </w:trPr>
        <w:tc>
          <w:tcPr>
            <w:tcW w:w="3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Patrick Chung</w:t>
            </w:r>
          </w:p>
        </w:tc>
        <w:tc>
          <w:tcPr>
            <w:tcW w:w="6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8"/>
        </w:trPr>
        <w:tc>
          <w:tcPr>
            <w:tcW w:w="3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Renah Persofsky</w:t>
            </w:r>
          </w:p>
        </w:tc>
        <w:tc>
          <w:tcPr>
            <w:tcW w:w="60" w:type="dxa"/>
            <w:vAlign w:val="bottom"/>
          </w:tcPr>
          <w:p>
            <w:pPr>
              <w:spacing w:after="0"/>
              <w:rPr>
                <w:sz w:val="24"/>
                <w:szCs w:val="24"/>
                <w:color w:val="auto"/>
              </w:rPr>
            </w:pPr>
          </w:p>
        </w:tc>
        <w:tc>
          <w:tcPr>
            <w:tcW w:w="33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27, 2026</w:t>
            </w:r>
          </w:p>
        </w:tc>
        <w:tc>
          <w:tcPr>
            <w:tcW w:w="0" w:type="dxa"/>
            <w:vAlign w:val="bottom"/>
          </w:tcPr>
          <w:p>
            <w:pPr>
              <w:spacing w:after="0"/>
              <w:rPr>
                <w:sz w:val="1"/>
                <w:szCs w:val="1"/>
                <w:color w:val="auto"/>
              </w:rPr>
            </w:pPr>
          </w:p>
        </w:tc>
      </w:tr>
      <w:tr>
        <w:trPr>
          <w:trHeight w:val="267"/>
        </w:trPr>
        <w:tc>
          <w:tcPr>
            <w:tcW w:w="3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Renah Persofsky</w:t>
            </w:r>
          </w:p>
        </w:tc>
        <w:tc>
          <w:tcPr>
            <w:tcW w:w="6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9"/>
        </w:trPr>
        <w:tc>
          <w:tcPr>
            <w:tcW w:w="3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 Richard Christopher Yetter</w:t>
            </w:r>
          </w:p>
        </w:tc>
        <w:tc>
          <w:tcPr>
            <w:tcW w:w="60" w:type="dxa"/>
            <w:vAlign w:val="bottom"/>
          </w:tcPr>
          <w:p>
            <w:pPr>
              <w:spacing w:after="0"/>
              <w:rPr>
                <w:sz w:val="24"/>
                <w:szCs w:val="24"/>
                <w:color w:val="auto"/>
              </w:rPr>
            </w:pPr>
          </w:p>
        </w:tc>
        <w:tc>
          <w:tcPr>
            <w:tcW w:w="33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27, 2026</w:t>
            </w:r>
          </w:p>
        </w:tc>
        <w:tc>
          <w:tcPr>
            <w:tcW w:w="0" w:type="dxa"/>
            <w:vAlign w:val="bottom"/>
          </w:tcPr>
          <w:p>
            <w:pPr>
              <w:spacing w:after="0"/>
              <w:rPr>
                <w:sz w:val="1"/>
                <w:szCs w:val="1"/>
                <w:color w:val="auto"/>
              </w:rPr>
            </w:pPr>
          </w:p>
        </w:tc>
      </w:tr>
      <w:tr>
        <w:trPr>
          <w:trHeight w:val="267"/>
        </w:trPr>
        <w:tc>
          <w:tcPr>
            <w:tcW w:w="3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Richard Christopher Yetter</w:t>
            </w:r>
          </w:p>
        </w:tc>
        <w:tc>
          <w:tcPr>
            <w:tcW w:w="6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8"/>
        </w:trPr>
        <w:tc>
          <w:tcPr>
            <w:tcW w:w="3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Melisa Denis</w:t>
            </w:r>
          </w:p>
        </w:tc>
        <w:tc>
          <w:tcPr>
            <w:tcW w:w="60" w:type="dxa"/>
            <w:vAlign w:val="bottom"/>
          </w:tcPr>
          <w:p>
            <w:pPr>
              <w:spacing w:after="0"/>
              <w:rPr>
                <w:sz w:val="24"/>
                <w:szCs w:val="24"/>
                <w:color w:val="auto"/>
              </w:rPr>
            </w:pPr>
          </w:p>
        </w:tc>
        <w:tc>
          <w:tcPr>
            <w:tcW w:w="33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27, 2026</w:t>
            </w:r>
          </w:p>
        </w:tc>
        <w:tc>
          <w:tcPr>
            <w:tcW w:w="0" w:type="dxa"/>
            <w:vAlign w:val="bottom"/>
          </w:tcPr>
          <w:p>
            <w:pPr>
              <w:spacing w:after="0"/>
              <w:rPr>
                <w:sz w:val="1"/>
                <w:szCs w:val="1"/>
                <w:color w:val="auto"/>
              </w:rPr>
            </w:pPr>
          </w:p>
        </w:tc>
      </w:tr>
      <w:tr>
        <w:trPr>
          <w:trHeight w:val="267"/>
        </w:trPr>
        <w:tc>
          <w:tcPr>
            <w:tcW w:w="3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Melisa Denis</w:t>
            </w:r>
          </w:p>
        </w:tc>
        <w:tc>
          <w:tcPr>
            <w:tcW w:w="6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320"/>
          </w:cols>
          <w:pgMar w:left="940" w:top="43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0"/>
          <w:szCs w:val="20"/>
          <w:color w:val="auto"/>
        </w:rPr>
        <w:t>100</w:t>
      </w:r>
    </w:p>
    <w:sectPr>
      <w:pgSz w:w="12240" w:h="15840" w:orient="portrait"/>
      <w:cols w:equalWidth="0" w:num="1">
        <w:col w:w="10320"/>
      </w:cols>
      <w:pgMar w:left="940" w:top="430" w:right="980"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200001F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ց"/>
      <w:numFmt w:val="bullet"/>
      <w:start w:val="1"/>
    </w:lvl>
  </w:abstractNum>
  <w:abstractNum w:abstractNumId="1">
    <w:nsid w:val="628C895D"/>
    <w:multiLevelType w:val="hybridMultilevel"/>
    <w:lvl w:ilvl="0">
      <w:lvlJc w:val="left"/>
      <w:lvlText w:val="տ"/>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1)"/>
      <w:numFmt w:val="decimal"/>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1)"/>
      <w:numFmt w:val="lowerLetter"/>
      <w:start w:val="1"/>
    </w:lvl>
  </w:abstractNum>
  <w:abstractNum w:abstractNumId="34">
    <w:nsid w:val="7724C67E"/>
    <w:multiLevelType w:val="hybridMultilevel"/>
    <w:lvl w:ilvl="0">
      <w:lvlJc w:val="left"/>
      <w:lvlText w:val="%1"/>
      <w:numFmt w:val="decimal"/>
      <w:start w:val="1"/>
    </w:lvl>
    <w:lvl w:ilvl="1">
      <w:lvlJc w:val="left"/>
      <w:lvlText w:val="(%2)"/>
      <w:numFmt w:val="decimal"/>
      <w:start w:val="1"/>
    </w:lvl>
  </w:abstractNum>
  <w:abstractNum w:abstractNumId="35">
    <w:nsid w:val="5C482A97"/>
    <w:multiLevelType w:val="hybridMultilevel"/>
    <w:lvl w:ilvl="0">
      <w:lvlJc w:val="left"/>
      <w:lvlText w:val="(%1)"/>
      <w:numFmt w:val="decimal"/>
      <w:start w:val="2"/>
    </w:lvl>
    <w:lvl w:ilvl="1">
      <w:lvlJc w:val="left"/>
      <w:lvlText w:val="%2"/>
      <w:numFmt w:val="decimal"/>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
      <w:numFmt w:val="bullet"/>
      <w:start w:val="1"/>
    </w:lvl>
  </w:abstractNum>
  <w:abstractNum w:abstractNumId="39">
    <w:nsid w:val="2D51779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2026-04-30T15:22:12Z</dcterms:created>
  <dcterms:modified xsi:type="dcterms:W3CDTF">2026-04-30T15:22:12Z</dcterms:modified>
</cp:coreProperties>
</file>