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767"/>
        <w:gridCol w:w="3398"/>
        <w:gridCol w:w="3040"/>
      </w:tblGrid>
      <w:tr>
        <w:trPr/>
        <w:tc>
          <w:tcPr>
            <w:tcW w:w="3767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7"/>
            </w:tblGrid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PARKER MARK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7"/>
            </w:tblGrid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1510 MAIN STREET</w:t>
                  </w:r>
                </w:p>
              </w:tc>
            </w:tr>
            <w:tr>
              <w:trPr/>
              <w:tc>
                <w:tcPr>
                  <w:tcW w:w="36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SHOEMAKERSVILLE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215"/>
              <w:gridCol w:w="1216"/>
              <w:gridCol w:w="1216"/>
            </w:tblGrid>
            <w:tr>
              <w:trPr/>
              <w:tc>
                <w:tcPr>
                  <w:tcW w:w="121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21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HYDROFARM HOLDINGS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HYFM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4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1023"/>
              <w:gridCol w:w="437"/>
              <w:gridCol w:w="1023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20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767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3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2483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8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$0.0001 par value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18,558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 applicable to the vesting of 1,667 stock-settled restricted stock units, which may be settled, on a 1-for-1 basis, only in shares of common stock. Fractional amounts have been rounded to the nearest whole number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Parker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5363" TargetMode="External"/><Relationship Id="rId5" Type="http://schemas.openxmlformats.org/officeDocument/2006/relationships/hyperlink" Target="http://www.sec.gov/cgi-bin/browse-edgar?action=getcompany&amp;CIK=00016952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3298</Characters>
  <CharactersWithSpaces>3838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