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yfm20260630_10q.htm"/>
      <w:bookmarkStart w:id="1" w:name="kshyfm20260630_10q"/>
      <w:bookmarkEnd w:id="0"/>
      <w:bookmarkEnd w:id="1"/>
      <w:r>
        <w:rPr>
          <w:caps w:val="false"/>
          <w:smallCaps w:val="false"/>
        </w:rPr>
        <w:t> </w:t>
      </w:r>
    </w:p>
    <w:p>
      <w:pPr>
        <w:pStyle w:val="TextBody"/>
        <w:pBdr>
          <w:bottom w:val="double" w:sz="6" w:space="1" w:color="000000"/>
        </w:pBdr>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UNITED STATES</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SECURITIES AND EXCHANGE COMMISSION</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 10-Q</w:t>
      </w:r>
      <w:r>
        <w:rPr>
          <w:rFonts w:ascii="Times New Roman" w:hAnsi="Times New Roman"/>
          <w:caps w:val="false"/>
          <w:smallCaps w:val="false"/>
          <w:sz w:val="3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b/>
          <w:caps w:val="false"/>
          <w:smallCaps w:val="false"/>
          <w:sz w:val="16"/>
        </w:rPr>
        <w:t>(Mark One)</w:t>
      </w:r>
      <w:r>
        <w:rPr>
          <w:rFonts w:ascii="Times New Roman" w:hAnsi="Times New Roman"/>
          <w:caps w:val="false"/>
          <w:smallCaps w:val="false"/>
          <w:sz w:val="16"/>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period ended June 30, 2026</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transition period from to</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 001-39773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Hydrofarm Holdings Group, Inc.</w:t>
      </w:r>
      <w:r>
        <w:rPr>
          <w:rFonts w:ascii="Times New Roman" w:hAnsi="Times New Roman"/>
          <w:caps w:val="false"/>
          <w:smallCaps w:val="false"/>
          <w:sz w:val="32"/>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 Not Applicable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480"/>
        <w:gridCol w:w="1880"/>
      </w:tblGrid>
      <w:tr>
        <w:trPr/>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81-4895761</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1510 Main Street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Shoemakersville, Pennsylvania 19555</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(707) 765-9990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8880" w:type="dxa"/>
        <w:jc w:val="left"/>
        <w:tblInd w:w="0" w:type="dxa"/>
        <w:tblLayout w:type="fixed"/>
        <w:tblCellMar>
          <w:top w:w="0" w:type="dxa"/>
          <w:left w:w="0" w:type="dxa"/>
          <w:bottom w:w="0" w:type="dxa"/>
          <w:right w:w="0" w:type="dxa"/>
        </w:tblCellMar>
      </w:tblPr>
      <w:tblGrid>
        <w:gridCol w:w="3770"/>
        <w:gridCol w:w="1415"/>
        <w:gridCol w:w="3695"/>
      </w:tblGrid>
      <w:tr>
        <w:trPr/>
        <w:tc>
          <w:tcPr>
            <w:tcW w:w="377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3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 value per share</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HYFM</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As of August 12, 2026, the registrant had 4,819,323 shares of common stock, $0.0001 par value per share, outstanding.</w:t>
      </w:r>
    </w:p>
    <w:p>
      <w:pPr>
        <w:pStyle w:val="TextBody"/>
        <w:pBdr>
          <w:bottom w:val="double" w:sz="6" w:space="1" w:color="000000"/>
        </w:pBdr>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710"/>
        <w:gridCol w:w="7280"/>
        <w:gridCol w:w="440"/>
      </w:tblGrid>
      <w:tr>
        <w:trPr/>
        <w:tc>
          <w:tcPr>
            <w:tcW w:w="710"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430" w:type="dxa"/>
            <w:gridSpan w:val="3"/>
            <w:tcBorders/>
            <w:shd w:fill="CCEEFF" w:val="clear"/>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u w:val="single"/>
                </w:rPr>
                <w:t>Part I - Financial Information</w:t>
              </w:r>
            </w:hyperlink>
          </w:p>
        </w:tc>
      </w:tr>
      <w:tr>
        <w:trPr/>
        <w:tc>
          <w:tcPr>
            <w:tcW w:w="710" w:type="dxa"/>
            <w:tcBorders/>
            <w:shd w:fill="FFFFFF" w:val="clear"/>
            <w:vAlign w:val="center"/>
          </w:tcPr>
          <w:p>
            <w:pPr>
              <w:pStyle w:val="TableContents"/>
              <w:bidi w:val="0"/>
              <w:spacing w:before="0" w:after="0"/>
              <w:ind w:left="0" w:right="0" w:hanging="0"/>
              <w:jc w:val="left"/>
              <w:rPr/>
            </w:pPr>
            <w:hyperlink w:anchor="financialstmts">
              <w:r>
                <w:rPr>
                  <w:rStyle w:val="InternetLink"/>
                  <w:rFonts w:ascii="Times New Roman" w:hAnsi="Times New Roman"/>
                  <w:caps w:val="false"/>
                  <w:smallCaps w:val="false"/>
                  <w:sz w:val="20"/>
                  <w:u w:val="single"/>
                </w:rPr>
                <w:t>Item 1.</w:t>
              </w:r>
            </w:hyperlink>
          </w:p>
        </w:tc>
        <w:tc>
          <w:tcPr>
            <w:tcW w:w="7280" w:type="dxa"/>
            <w:tcBorders/>
            <w:shd w:fill="FFFFFF" w:val="clear"/>
            <w:vAlign w:val="center"/>
          </w:tcPr>
          <w:p>
            <w:pPr>
              <w:pStyle w:val="TableContents"/>
              <w:bidi w:val="0"/>
              <w:spacing w:before="0" w:after="0"/>
              <w:ind w:left="0" w:right="0" w:hanging="0"/>
              <w:jc w:val="left"/>
              <w:rPr/>
            </w:pPr>
            <w:hyperlink w:anchor="financialstmts">
              <w:r>
                <w:rPr>
                  <w:rStyle w:val="InternetLink"/>
                  <w:rFonts w:ascii="Times New Roman" w:hAnsi="Times New Roman"/>
                  <w:caps w:val="false"/>
                  <w:smallCaps w:val="false"/>
                  <w:sz w:val="20"/>
                  <w:u w:val="single"/>
                </w:rPr>
                <w:t>Unaudited Financial Statements</w:t>
              </w:r>
            </w:hyperlink>
          </w:p>
        </w:tc>
        <w:tc>
          <w:tcPr>
            <w:tcW w:w="440" w:type="dxa"/>
            <w:tcBorders/>
            <w:shd w:fill="FFFFFF" w:val="clear"/>
            <w:vAlign w:val="center"/>
          </w:tcPr>
          <w:p>
            <w:pPr>
              <w:pStyle w:val="TableContents"/>
              <w:bidi w:val="0"/>
              <w:spacing w:before="0" w:after="0"/>
              <w:ind w:left="0" w:right="0" w:hanging="0"/>
              <w:jc w:val="right"/>
              <w:rPr/>
            </w:pPr>
            <w:hyperlink w:anchor="financialstmts">
              <w:r>
                <w:rPr>
                  <w:rStyle w:val="InternetLink"/>
                  <w:rFonts w:ascii="Times New Roman" w:hAnsi="Times New Roman"/>
                  <w:caps w:val="false"/>
                  <w:smallCaps w:val="false"/>
                  <w:sz w:val="20"/>
                </w:rPr>
                <w:t>1</w:t>
              </w:r>
            </w:hyperlink>
          </w:p>
        </w:tc>
      </w:tr>
      <w:tr>
        <w:trPr/>
        <w:tc>
          <w:tcPr>
            <w:tcW w:w="71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0" w:right="0" w:hanging="0"/>
              <w:jc w:val="left"/>
              <w:rPr/>
            </w:pPr>
            <w:hyperlink w:anchor="balancesheets">
              <w:r>
                <w:rPr>
                  <w:rStyle w:val="InternetLink"/>
                  <w:rFonts w:ascii="Times New Roman" w:hAnsi="Times New Roman"/>
                  <w:caps w:val="false"/>
                  <w:smallCaps w:val="false"/>
                  <w:sz w:val="20"/>
                  <w:u w:val="single"/>
                </w:rPr>
                <w:t>Condensed Consolidated Balance Sheets</w:t>
              </w:r>
            </w:hyperlink>
          </w:p>
        </w:tc>
        <w:tc>
          <w:tcPr>
            <w:tcW w:w="440" w:type="dxa"/>
            <w:tcBorders/>
            <w:shd w:fill="CCEEFF" w:val="clear"/>
            <w:vAlign w:val="center"/>
          </w:tcPr>
          <w:p>
            <w:pPr>
              <w:pStyle w:val="TableContents"/>
              <w:bidi w:val="0"/>
              <w:spacing w:before="0" w:after="0"/>
              <w:ind w:left="0" w:right="0" w:hanging="0"/>
              <w:jc w:val="right"/>
              <w:rPr/>
            </w:pPr>
            <w:hyperlink w:anchor="balancesheets">
              <w:r>
                <w:rPr>
                  <w:rStyle w:val="InternetLink"/>
                  <w:rFonts w:ascii="Times New Roman" w:hAnsi="Times New Roman"/>
                  <w:caps w:val="false"/>
                  <w:smallCaps w:val="false"/>
                  <w:sz w:val="20"/>
                </w:rPr>
                <w:t>1</w:t>
              </w:r>
            </w:hyperlink>
          </w:p>
        </w:tc>
      </w:tr>
      <w:tr>
        <w:trPr/>
        <w:tc>
          <w:tcPr>
            <w:tcW w:w="71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hyperlink w:anchor="operationsstmts">
              <w:r>
                <w:rPr>
                  <w:rStyle w:val="InternetLink"/>
                  <w:rFonts w:ascii="Times New Roman" w:hAnsi="Times New Roman"/>
                  <w:caps w:val="false"/>
                  <w:smallCaps w:val="false"/>
                  <w:sz w:val="20"/>
                  <w:u w:val="single"/>
                </w:rPr>
                <w:t>Condensed Consolidated Statements of Operations</w:t>
              </w:r>
            </w:hyperlink>
          </w:p>
        </w:tc>
        <w:tc>
          <w:tcPr>
            <w:tcW w:w="440" w:type="dxa"/>
            <w:tcBorders/>
            <w:shd w:fill="FFFFFF" w:val="clear"/>
            <w:vAlign w:val="center"/>
          </w:tcPr>
          <w:p>
            <w:pPr>
              <w:pStyle w:val="TableContents"/>
              <w:bidi w:val="0"/>
              <w:spacing w:before="0" w:after="0"/>
              <w:ind w:left="0" w:right="0" w:hanging="0"/>
              <w:jc w:val="right"/>
              <w:rPr/>
            </w:pPr>
            <w:hyperlink w:anchor="operationsstmts">
              <w:r>
                <w:rPr>
                  <w:rStyle w:val="InternetLink"/>
                  <w:rFonts w:ascii="Times New Roman" w:hAnsi="Times New Roman"/>
                  <w:caps w:val="false"/>
                  <w:smallCaps w:val="false"/>
                  <w:sz w:val="20"/>
                </w:rPr>
                <w:t>2</w:t>
              </w:r>
            </w:hyperlink>
          </w:p>
        </w:tc>
      </w:tr>
      <w:tr>
        <w:trPr/>
        <w:tc>
          <w:tcPr>
            <w:tcW w:w="71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0" w:right="0" w:hanging="0"/>
              <w:jc w:val="left"/>
              <w:rPr/>
            </w:pPr>
            <w:hyperlink w:anchor="complossstmts">
              <w:r>
                <w:rPr>
                  <w:rStyle w:val="InternetLink"/>
                  <w:rFonts w:ascii="Times New Roman" w:hAnsi="Times New Roman"/>
                  <w:caps w:val="false"/>
                  <w:smallCaps w:val="false"/>
                  <w:sz w:val="20"/>
                  <w:u w:val="single"/>
                </w:rPr>
                <w:t>Condensed Consolidated Statements of Comprehensive Loss</w:t>
              </w:r>
            </w:hyperlink>
          </w:p>
        </w:tc>
        <w:tc>
          <w:tcPr>
            <w:tcW w:w="440" w:type="dxa"/>
            <w:tcBorders/>
            <w:shd w:fill="CCEEFF" w:val="clear"/>
            <w:vAlign w:val="center"/>
          </w:tcPr>
          <w:p>
            <w:pPr>
              <w:pStyle w:val="TableContents"/>
              <w:bidi w:val="0"/>
              <w:spacing w:before="0" w:after="0"/>
              <w:ind w:left="0" w:right="0" w:hanging="0"/>
              <w:jc w:val="right"/>
              <w:rPr/>
            </w:pPr>
            <w:hyperlink w:anchor="complossstmts">
              <w:r>
                <w:rPr>
                  <w:rStyle w:val="InternetLink"/>
                  <w:rFonts w:ascii="Times New Roman" w:hAnsi="Times New Roman"/>
                  <w:caps w:val="false"/>
                  <w:smallCaps w:val="false"/>
                  <w:sz w:val="20"/>
                </w:rPr>
                <w:t>3</w:t>
              </w:r>
            </w:hyperlink>
          </w:p>
        </w:tc>
      </w:tr>
      <w:tr>
        <w:trPr/>
        <w:tc>
          <w:tcPr>
            <w:tcW w:w="71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hyperlink w:anchor="equitystmts">
              <w:r>
                <w:rPr>
                  <w:rStyle w:val="InternetLink"/>
                  <w:rFonts w:ascii="Times New Roman" w:hAnsi="Times New Roman"/>
                  <w:caps w:val="false"/>
                  <w:smallCaps w:val="false"/>
                  <w:sz w:val="20"/>
                  <w:u w:val="single"/>
                </w:rPr>
                <w:t>Condensed Consolidated Statements of Changes in Stockholders' Equity (Deficit)</w:t>
              </w:r>
            </w:hyperlink>
          </w:p>
        </w:tc>
        <w:tc>
          <w:tcPr>
            <w:tcW w:w="440" w:type="dxa"/>
            <w:tcBorders/>
            <w:shd w:fill="FFFFFF" w:val="clear"/>
            <w:vAlign w:val="center"/>
          </w:tcPr>
          <w:p>
            <w:pPr>
              <w:pStyle w:val="TableContents"/>
              <w:bidi w:val="0"/>
              <w:spacing w:before="0" w:after="0"/>
              <w:ind w:left="0" w:right="0" w:hanging="0"/>
              <w:jc w:val="right"/>
              <w:rPr/>
            </w:pPr>
            <w:hyperlink w:anchor="equitystmts">
              <w:r>
                <w:rPr>
                  <w:rStyle w:val="InternetLink"/>
                  <w:rFonts w:ascii="Times New Roman" w:hAnsi="Times New Roman"/>
                  <w:caps w:val="false"/>
                  <w:smallCaps w:val="false"/>
                  <w:sz w:val="20"/>
                </w:rPr>
                <w:t>4</w:t>
              </w:r>
            </w:hyperlink>
          </w:p>
        </w:tc>
      </w:tr>
      <w:tr>
        <w:trPr/>
        <w:tc>
          <w:tcPr>
            <w:tcW w:w="71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0" w:right="0" w:hanging="0"/>
              <w:jc w:val="left"/>
              <w:rPr/>
            </w:pPr>
            <w:hyperlink w:anchor="cashflowsstmts">
              <w:r>
                <w:rPr>
                  <w:rStyle w:val="InternetLink"/>
                  <w:rFonts w:ascii="Times New Roman" w:hAnsi="Times New Roman"/>
                  <w:caps w:val="false"/>
                  <w:smallCaps w:val="false"/>
                  <w:sz w:val="20"/>
                  <w:u w:val="single"/>
                </w:rPr>
                <w:t>Condensed Consolidated Statements of Cash Flows</w:t>
              </w:r>
            </w:hyperlink>
          </w:p>
        </w:tc>
        <w:tc>
          <w:tcPr>
            <w:tcW w:w="440" w:type="dxa"/>
            <w:tcBorders/>
            <w:shd w:fill="CCEEFF" w:val="clear"/>
            <w:vAlign w:val="center"/>
          </w:tcPr>
          <w:p>
            <w:pPr>
              <w:pStyle w:val="TableContents"/>
              <w:bidi w:val="0"/>
              <w:spacing w:before="0" w:after="0"/>
              <w:ind w:left="0" w:right="0" w:hanging="0"/>
              <w:jc w:val="right"/>
              <w:rPr/>
            </w:pPr>
            <w:hyperlink w:anchor="cashflowsstmts">
              <w:r>
                <w:rPr>
                  <w:rStyle w:val="InternetLink"/>
                  <w:rFonts w:ascii="Times New Roman" w:hAnsi="Times New Roman"/>
                  <w:caps w:val="false"/>
                  <w:smallCaps w:val="false"/>
                  <w:sz w:val="20"/>
                </w:rPr>
                <w:t>5</w:t>
              </w:r>
            </w:hyperlink>
          </w:p>
        </w:tc>
      </w:tr>
      <w:tr>
        <w:trPr/>
        <w:tc>
          <w:tcPr>
            <w:tcW w:w="71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the Condensed Consolidated Financial Statements</w:t>
              </w:r>
            </w:hyperlink>
          </w:p>
        </w:tc>
        <w:tc>
          <w:tcPr>
            <w:tcW w:w="440" w:type="dxa"/>
            <w:tcBorders/>
            <w:shd w:fill="FFFFFF" w:val="clear"/>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6</w:t>
              </w:r>
            </w:hyperlink>
          </w:p>
        </w:tc>
      </w:tr>
      <w:tr>
        <w:trPr/>
        <w:tc>
          <w:tcPr>
            <w:tcW w:w="710" w:type="dxa"/>
            <w:tcBorders/>
            <w:shd w:fill="CCEEFF" w:val="clear"/>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Item 2.</w:t>
              </w:r>
            </w:hyperlink>
          </w:p>
        </w:tc>
        <w:tc>
          <w:tcPr>
            <w:tcW w:w="7280" w:type="dxa"/>
            <w:tcBorders/>
            <w:shd w:fill="CCEEFF" w:val="clear"/>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0" w:type="dxa"/>
            <w:tcBorders/>
            <w:shd w:fill="CCEEFF" w:val="clear"/>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28</w:t>
              </w:r>
            </w:hyperlink>
          </w:p>
        </w:tc>
      </w:tr>
      <w:tr>
        <w:trPr/>
        <w:tc>
          <w:tcPr>
            <w:tcW w:w="710" w:type="dxa"/>
            <w:tcBorders/>
            <w:shd w:fill="FFFFFF" w:val="clear"/>
            <w:vAlign w:val="center"/>
          </w:tcPr>
          <w:p>
            <w:pPr>
              <w:pStyle w:val="TableContents"/>
              <w:bidi w:val="0"/>
              <w:spacing w:before="0" w:after="0"/>
              <w:ind w:left="0" w:right="0" w:hanging="0"/>
              <w:jc w:val="left"/>
              <w:rPr/>
            </w:pPr>
            <w:hyperlink w:anchor="quantitative">
              <w:r>
                <w:rPr>
                  <w:rStyle w:val="InternetLink"/>
                  <w:rFonts w:ascii="Times New Roman" w:hAnsi="Times New Roman"/>
                  <w:caps w:val="false"/>
                  <w:smallCaps w:val="false"/>
                  <w:sz w:val="20"/>
                  <w:u w:val="single"/>
                </w:rPr>
                <w:t>Item 3.</w:t>
              </w:r>
            </w:hyperlink>
          </w:p>
        </w:tc>
        <w:tc>
          <w:tcPr>
            <w:tcW w:w="7280" w:type="dxa"/>
            <w:tcBorders/>
            <w:shd w:fill="FFFFFF" w:val="clear"/>
            <w:vAlign w:val="center"/>
          </w:tcPr>
          <w:p>
            <w:pPr>
              <w:pStyle w:val="TableContents"/>
              <w:bidi w:val="0"/>
              <w:spacing w:before="0" w:after="0"/>
              <w:ind w:left="0" w:right="0" w:hanging="0"/>
              <w:jc w:val="left"/>
              <w:rPr/>
            </w:pPr>
            <w:hyperlink w:anchor="quantitative">
              <w:r>
                <w:rPr>
                  <w:rStyle w:val="InternetLink"/>
                  <w:rFonts w:ascii="Times New Roman" w:hAnsi="Times New Roman"/>
                  <w:caps w:val="false"/>
                  <w:smallCaps w:val="false"/>
                  <w:sz w:val="20"/>
                  <w:u w:val="single"/>
                </w:rPr>
                <w:t>Quantitative and Qualitative Disclosures About Market Risk</w:t>
              </w:r>
            </w:hyperlink>
          </w:p>
        </w:tc>
        <w:tc>
          <w:tcPr>
            <w:tcW w:w="440" w:type="dxa"/>
            <w:tcBorders/>
            <w:shd w:fill="FFFFFF" w:val="clear"/>
            <w:vAlign w:val="center"/>
          </w:tcPr>
          <w:p>
            <w:pPr>
              <w:pStyle w:val="TableContents"/>
              <w:bidi w:val="0"/>
              <w:spacing w:before="0" w:after="0"/>
              <w:ind w:left="0" w:right="0" w:hanging="0"/>
              <w:jc w:val="right"/>
              <w:rPr/>
            </w:pPr>
            <w:hyperlink w:anchor="quantitative">
              <w:r>
                <w:rPr>
                  <w:rStyle w:val="InternetLink"/>
                  <w:rFonts w:ascii="Times New Roman" w:hAnsi="Times New Roman"/>
                  <w:caps w:val="false"/>
                  <w:smallCaps w:val="false"/>
                  <w:sz w:val="20"/>
                </w:rPr>
                <w:t>38</w:t>
              </w:r>
            </w:hyperlink>
          </w:p>
        </w:tc>
      </w:tr>
      <w:tr>
        <w:trPr/>
        <w:tc>
          <w:tcPr>
            <w:tcW w:w="710" w:type="dxa"/>
            <w:tcBorders/>
            <w:shd w:fill="CCEEFF" w:val="clear"/>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Item 4.</w:t>
              </w:r>
            </w:hyperlink>
          </w:p>
        </w:tc>
        <w:tc>
          <w:tcPr>
            <w:tcW w:w="7280" w:type="dxa"/>
            <w:tcBorders/>
            <w:shd w:fill="CCEEFF" w:val="clear"/>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Controls and Procedures</w:t>
              </w:r>
            </w:hyperlink>
          </w:p>
        </w:tc>
        <w:tc>
          <w:tcPr>
            <w:tcW w:w="440" w:type="dxa"/>
            <w:tcBorders/>
            <w:shd w:fill="CCEEFF" w:val="clear"/>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39</w:t>
              </w:r>
            </w:hyperlink>
          </w:p>
        </w:tc>
      </w:tr>
      <w:tr>
        <w:trPr/>
        <w:tc>
          <w:tcPr>
            <w:tcW w:w="71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r>
              <w:rPr/>
              <w:t> </w:t>
            </w:r>
          </w:p>
        </w:tc>
        <w:tc>
          <w:tcPr>
            <w:tcW w:w="440" w:type="dxa"/>
            <w:tcBorders/>
            <w:shd w:fill="FFFFFF" w:val="clear"/>
            <w:vAlign w:val="center"/>
          </w:tcPr>
          <w:p>
            <w:pPr>
              <w:pStyle w:val="TableContents"/>
              <w:bidi w:val="0"/>
              <w:spacing w:before="0" w:after="0"/>
              <w:ind w:left="0" w:right="0" w:hanging="0"/>
              <w:jc w:val="left"/>
              <w:rPr/>
            </w:pPr>
            <w:r>
              <w:rPr/>
              <w:t> </w:t>
            </w:r>
          </w:p>
        </w:tc>
      </w:tr>
      <w:tr>
        <w:trPr/>
        <w:tc>
          <w:tcPr>
            <w:tcW w:w="8430" w:type="dxa"/>
            <w:gridSpan w:val="3"/>
            <w:tcBorders/>
            <w:shd w:fill="CCEEFF" w:val="clear"/>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u w:val="single"/>
                </w:rPr>
                <w:t>Part II - Other Information</w:t>
              </w:r>
            </w:hyperlink>
          </w:p>
        </w:tc>
      </w:tr>
      <w:tr>
        <w:trPr/>
        <w:tc>
          <w:tcPr>
            <w:tcW w:w="710"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Item 1.</w:t>
              </w:r>
            </w:hyperlink>
          </w:p>
        </w:tc>
        <w:tc>
          <w:tcPr>
            <w:tcW w:w="7280"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Proceedings</w:t>
              </w:r>
            </w:hyperlink>
          </w:p>
        </w:tc>
        <w:tc>
          <w:tcPr>
            <w:tcW w:w="440" w:type="dxa"/>
            <w:tcBorders/>
            <w:shd w:fill="FFFFFF" w:val="clear"/>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40</w:t>
              </w:r>
            </w:hyperlink>
          </w:p>
        </w:tc>
      </w:tr>
      <w:tr>
        <w:trPr/>
        <w:tc>
          <w:tcPr>
            <w:tcW w:w="710" w:type="dxa"/>
            <w:tcBorders/>
            <w:shd w:fill="CCEEFF" w:val="clear"/>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Item 1A.</w:t>
              </w:r>
            </w:hyperlink>
          </w:p>
        </w:tc>
        <w:tc>
          <w:tcPr>
            <w:tcW w:w="7280" w:type="dxa"/>
            <w:tcBorders/>
            <w:shd w:fill="CCEEFF" w:val="clear"/>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Risk Factors</w:t>
              </w:r>
            </w:hyperlink>
          </w:p>
        </w:tc>
        <w:tc>
          <w:tcPr>
            <w:tcW w:w="440" w:type="dxa"/>
            <w:tcBorders/>
            <w:shd w:fill="CCEEFF" w:val="clear"/>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40</w:t>
              </w:r>
            </w:hyperlink>
          </w:p>
        </w:tc>
      </w:tr>
      <w:tr>
        <w:trPr/>
        <w:tc>
          <w:tcPr>
            <w:tcW w:w="710" w:type="dxa"/>
            <w:tcBorders/>
            <w:shd w:fill="FFFFFF" w:val="clear"/>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u w:val="single"/>
                </w:rPr>
                <w:t>Item 2.</w:t>
              </w:r>
            </w:hyperlink>
          </w:p>
        </w:tc>
        <w:tc>
          <w:tcPr>
            <w:tcW w:w="7280" w:type="dxa"/>
            <w:tcBorders/>
            <w:shd w:fill="FFFFFF" w:val="clear"/>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u w:val="single"/>
                </w:rPr>
                <w:t>Unregistered Sales of Equity Securities and Use of Proceeds</w:t>
              </w:r>
            </w:hyperlink>
          </w:p>
        </w:tc>
        <w:tc>
          <w:tcPr>
            <w:tcW w:w="440" w:type="dxa"/>
            <w:tcBorders/>
            <w:shd w:fill="FFFFFF" w:val="clear"/>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41</w:t>
              </w:r>
            </w:hyperlink>
          </w:p>
        </w:tc>
      </w:tr>
      <w:tr>
        <w:trPr/>
        <w:tc>
          <w:tcPr>
            <w:tcW w:w="710" w:type="dxa"/>
            <w:tcBorders/>
            <w:shd w:fill="CCEEFF" w:val="clear"/>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u w:val="single"/>
                </w:rPr>
                <w:t>Item 3.</w:t>
              </w:r>
            </w:hyperlink>
          </w:p>
        </w:tc>
        <w:tc>
          <w:tcPr>
            <w:tcW w:w="7280" w:type="dxa"/>
            <w:tcBorders/>
            <w:shd w:fill="CCEEFF" w:val="clear"/>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u w:val="single"/>
                </w:rPr>
                <w:t>Defaults Upon Senior Securities</w:t>
              </w:r>
            </w:hyperlink>
          </w:p>
        </w:tc>
        <w:tc>
          <w:tcPr>
            <w:tcW w:w="440" w:type="dxa"/>
            <w:tcBorders/>
            <w:shd w:fill="CCEEFF" w:val="clear"/>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41</w:t>
              </w:r>
            </w:hyperlink>
          </w:p>
        </w:tc>
      </w:tr>
      <w:tr>
        <w:trPr/>
        <w:tc>
          <w:tcPr>
            <w:tcW w:w="710" w:type="dxa"/>
            <w:tcBorders/>
            <w:shd w:fill="FFFFFF" w:val="clear"/>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Item 4.</w:t>
              </w:r>
            </w:hyperlink>
          </w:p>
        </w:tc>
        <w:tc>
          <w:tcPr>
            <w:tcW w:w="7280" w:type="dxa"/>
            <w:tcBorders/>
            <w:shd w:fill="FFFFFF" w:val="clear"/>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Mine Safety Disclosures</w:t>
              </w:r>
            </w:hyperlink>
          </w:p>
        </w:tc>
        <w:tc>
          <w:tcPr>
            <w:tcW w:w="440" w:type="dxa"/>
            <w:tcBorders/>
            <w:shd w:fill="FFFFFF" w:val="clear"/>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41</w:t>
              </w:r>
            </w:hyperlink>
          </w:p>
        </w:tc>
      </w:tr>
      <w:tr>
        <w:trPr/>
        <w:tc>
          <w:tcPr>
            <w:tcW w:w="710" w:type="dxa"/>
            <w:tcBorders/>
            <w:shd w:fill="CCEEFF" w:val="clear"/>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Item 5.</w:t>
              </w:r>
            </w:hyperlink>
          </w:p>
        </w:tc>
        <w:tc>
          <w:tcPr>
            <w:tcW w:w="7280" w:type="dxa"/>
            <w:tcBorders/>
            <w:shd w:fill="CCEEFF" w:val="clear"/>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Other Information</w:t>
              </w:r>
            </w:hyperlink>
          </w:p>
        </w:tc>
        <w:tc>
          <w:tcPr>
            <w:tcW w:w="440" w:type="dxa"/>
            <w:tcBorders/>
            <w:shd w:fill="CCEEFF" w:val="clear"/>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41</w:t>
              </w:r>
            </w:hyperlink>
          </w:p>
        </w:tc>
      </w:tr>
      <w:tr>
        <w:trPr/>
        <w:tc>
          <w:tcPr>
            <w:tcW w:w="710" w:type="dxa"/>
            <w:tcBorders/>
            <w:shd w:fill="FFFFFF" w:val="clear"/>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Item 6.</w:t>
              </w:r>
            </w:hyperlink>
          </w:p>
        </w:tc>
        <w:tc>
          <w:tcPr>
            <w:tcW w:w="7280" w:type="dxa"/>
            <w:tcBorders/>
            <w:shd w:fill="FFFFFF" w:val="clear"/>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Exhibits</w:t>
              </w:r>
            </w:hyperlink>
          </w:p>
        </w:tc>
        <w:tc>
          <w:tcPr>
            <w:tcW w:w="440" w:type="dxa"/>
            <w:tcBorders/>
            <w:shd w:fill="FFFFFF" w:val="clear"/>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42</w:t>
              </w:r>
            </w:hyperlink>
          </w:p>
        </w:tc>
      </w:tr>
      <w:tr>
        <w:trPr/>
        <w:tc>
          <w:tcPr>
            <w:tcW w:w="71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u w:val="single"/>
                </w:rPr>
                <w:t>Signatures</w:t>
              </w:r>
            </w:hyperlink>
          </w:p>
        </w:tc>
        <w:tc>
          <w:tcPr>
            <w:tcW w:w="440" w:type="dxa"/>
            <w:tcBorders/>
            <w:shd w:fill="CCEEFF" w:val="clear"/>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43</w:t>
              </w:r>
            </w:hyperlink>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pStyle w:val="TextBody"/>
        <w:bidi w:val="0"/>
        <w:spacing w:before="0" w:after="0"/>
        <w:ind w:left="0" w:right="0" w:firstLine="42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60"/>
        <w:gridCol w:w="110"/>
        <w:gridCol w:w="34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continue as a going concern;</w:t>
            </w:r>
          </w:p>
        </w:tc>
      </w:tr>
    </w:tbl>
    <w:p>
      <w:pPr>
        <w:pStyle w:val="TextBody"/>
        <w:bidi w:val="0"/>
        <w:spacing w:before="0" w:after="0"/>
        <w:ind w:left="0" w:right="0" w:firstLine="42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60"/>
        <w:gridCol w:w="110"/>
        <w:gridCol w:w="819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current level of indebtedness and compliance with requirements of our existing credit agreement;</w:t>
            </w:r>
          </w:p>
        </w:tc>
      </w:tr>
    </w:tbl>
    <w:p>
      <w:pPr>
        <w:pStyle w:val="TextBody"/>
        <w:bidi w:val="0"/>
        <w:spacing w:before="0" w:after="0"/>
        <w:ind w:left="0" w:right="0" w:hanging="0"/>
        <w:jc w:val="left"/>
        <w:rPr/>
      </w:pPr>
      <w:r>
        <w:rPr/>
        <w:t> </w:t>
      </w:r>
    </w:p>
    <w:tbl>
      <w:tblPr>
        <w:tblW w:w="8740" w:type="dxa"/>
        <w:jc w:val="left"/>
        <w:tblInd w:w="0" w:type="dxa"/>
        <w:tblLayout w:type="fixed"/>
        <w:tblCellMar>
          <w:top w:w="0" w:type="dxa"/>
          <w:left w:w="0" w:type="dxa"/>
          <w:bottom w:w="0" w:type="dxa"/>
          <w:right w:w="0" w:type="dxa"/>
        </w:tblCellMar>
      </w:tblPr>
      <w:tblGrid>
        <w:gridCol w:w="60"/>
        <w:gridCol w:w="110"/>
        <w:gridCol w:w="85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liquidity and our ability to resolve claims from unsecured creditors in the ordinary course of business;</w:t>
            </w:r>
          </w:p>
        </w:tc>
      </w:tr>
    </w:tbl>
    <w:p>
      <w:pPr>
        <w:pStyle w:val="TextBody"/>
        <w:bidi w:val="0"/>
        <w:spacing w:before="0" w:after="0"/>
        <w:ind w:left="0" w:right="0" w:hanging="0"/>
        <w:jc w:val="left"/>
        <w:rPr/>
      </w:pPr>
      <w:r>
        <w:rPr/>
        <w:t> </w:t>
      </w:r>
    </w:p>
    <w:tbl>
      <w:tblPr>
        <w:tblW w:w="9220" w:type="dxa"/>
        <w:jc w:val="left"/>
        <w:tblInd w:w="0" w:type="dxa"/>
        <w:tblLayout w:type="fixed"/>
        <w:tblCellMar>
          <w:top w:w="0" w:type="dxa"/>
          <w:left w:w="0" w:type="dxa"/>
          <w:bottom w:w="0" w:type="dxa"/>
          <w:right w:w="0" w:type="dxa"/>
        </w:tblCellMar>
      </w:tblPr>
      <w:tblGrid>
        <w:gridCol w:w="60"/>
        <w:gridCol w:w="110"/>
        <w:gridCol w:w="90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regain compliance with the continued listing standards of The Nasdaq Capital Market ("Nasdaq");</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and expectations regarding our acquisitions, dispositions and strategic alliances, and our ability to effect strategic transactions in the future;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industry conditions, including oversupply and decreasing prices of our customers' products which, in turn, have materially adversely impacted our sales and other results of operations and which may continue to do so in the future;</w:t>
            </w:r>
          </w:p>
        </w:tc>
      </w:tr>
    </w:tbl>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60"/>
        <w:gridCol w:w="110"/>
        <w:gridCol w:w="38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tariffs or interruptions to global trade;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potential for future charges associated with the impairment of our long-lived assets, inventory allowances and purchase commitment losses, and accounts receivable reserves;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and intent to access bankruptcy courts, receivership or similar processes, or otherwise wind-up our business and liquidate;</w:t>
            </w:r>
          </w:p>
        </w:tc>
      </w:tr>
    </w:tbl>
    <w:p>
      <w:pPr>
        <w:pStyle w:val="TextBody"/>
        <w:bidi w:val="0"/>
        <w:spacing w:before="0" w:after="0"/>
        <w:ind w:left="0" w:right="0" w:hanging="0"/>
        <w:jc w:val="left"/>
        <w:rPr/>
      </w:pPr>
      <w:r>
        <w:rPr/>
        <w:t> </w:t>
      </w:r>
    </w:p>
    <w:tbl>
      <w:tblPr>
        <w:tblW w:w="7660" w:type="dxa"/>
        <w:jc w:val="left"/>
        <w:tblInd w:w="0" w:type="dxa"/>
        <w:tblLayout w:type="fixed"/>
        <w:tblCellMar>
          <w:top w:w="0" w:type="dxa"/>
          <w:left w:w="0" w:type="dxa"/>
          <w:bottom w:w="0" w:type="dxa"/>
          <w:right w:w="0" w:type="dxa"/>
        </w:tblCellMar>
      </w:tblPr>
      <w:tblGrid>
        <w:gridCol w:w="60"/>
        <w:gridCol w:w="110"/>
        <w:gridCol w:w="74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impact of our restructuring activities on our expenses and cash expenditures;</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10"/>
        <w:gridCol w:w="759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dilution that may result from equity financings while our stock prices are depressed;</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60"/>
        <w:gridCol w:w="110"/>
        <w:gridCol w:w="86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conditions impacting our customers, including related crop prices and other factors impacting growers;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adverse effects of public health epidemics, including the COVID-19 pandemic, on our business,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
        <w:gridCol w:w="110"/>
        <w:gridCol w:w="27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interruptions in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federal and state legislation and regulations pertaining to agricultural products and the use and cultivation of cannabis in the United States and Canada;</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10"/>
        <w:gridCol w:w="417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public perceptions and acceptance of cannabis use;</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10"/>
        <w:gridCol w:w="61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fluctuations in the price of various crops and other factors affecting growers;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long-term non-cancellable leases under which many of our facilities operate, and our ability to renew or terminate our leases;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60"/>
        <w:gridCol w:w="110"/>
        <w:gridCol w:w="73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reliance on, and relationships with, a limited base of key suppliers for certain products;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4540" w:type="dxa"/>
        <w:jc w:val="left"/>
        <w:tblInd w:w="0" w:type="dxa"/>
        <w:tblLayout w:type="fixed"/>
        <w:tblCellMar>
          <w:top w:w="0" w:type="dxa"/>
          <w:left w:w="0" w:type="dxa"/>
          <w:bottom w:w="0" w:type="dxa"/>
          <w:right w:w="0" w:type="dxa"/>
        </w:tblCellMar>
      </w:tblPr>
      <w:tblGrid>
        <w:gridCol w:w="60"/>
        <w:gridCol w:w="110"/>
        <w:gridCol w:w="43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keep pace with technological advances;</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10"/>
        <w:gridCol w:w="38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execute our e-commerce business;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10"/>
        <w:gridCol w:w="300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being a public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identify appropriate acquisition targets, successfully acquire identified targets or successfully integrate the business of acquired companies;</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110"/>
        <w:gridCol w:w="31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of our marketing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110"/>
        <w:gridCol w:w="764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potential for a disruption or breach of our information technology systems or cyber-attack;</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10"/>
        <w:gridCol w:w="71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third parties, or the performance of third parties on which we depend;</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110"/>
        <w:gridCol w:w="53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change to our reputation or to the reputation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60"/>
        <w:gridCol w:w="110"/>
        <w:gridCol w:w="46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fluctuation in the prices of the products we distribute;</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10"/>
        <w:gridCol w:w="25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competitive industry pressures;</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110"/>
        <w:gridCol w:w="422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consolidation of businesses within our industry;</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60"/>
        <w:gridCol w:w="110"/>
        <w:gridCol w:w="45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with environmental, health and safety laws;</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60"/>
        <w:gridCol w:w="110"/>
        <w:gridCol w:w="863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protect and defend against litigation, including claims related to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60"/>
        <w:gridCol w:w="110"/>
        <w:gridCol w:w="44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shortages and relationships with key suppliers;</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60"/>
        <w:gridCol w:w="110"/>
        <w:gridCol w:w="381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attract and retain key employees;</w:t>
            </w:r>
          </w:p>
        </w:tc>
      </w:tr>
    </w:tbl>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0"/>
        <w:gridCol w:w="110"/>
        <w:gridCol w:w="38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volatility of the price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110"/>
        <w:gridCol w:w="357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marketability of our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risks and uncertainties, including those listed herein as well as under the heading “Risk Factors” in our Annual Report on Form 10-K filed with the U.S. Securities and Exchange Commission (the “SEC”) on March 27, 2026 (the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SPECIAL NOTE REGARDING USE OF TRADE NAMES AND TRADEMARKS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Hydrofarm” and other trade names and trademarks of ours appearing in this Quarterly Report on Form 10-Q are our property. This Quarterly Report on Form 10-Q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SPECIAL NOTE REGARDING CERTAIN TERMINOLOGY IN THIS QUARTERLY REPORT ON 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context otherwise indicates, references in this Quarterly Report on Form 10-Q to the terms “Hydrofarm,” “the Company,” “we,” “our” and “us” refer to Hydrofarm Holdings Group, Inc. and its subsidiaries.</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bookmarkStart w:id="3" w:name="part1"/>
      <w:bookmarkEnd w:id="3"/>
      <w:r>
        <w:rPr>
          <w:rFonts w:ascii="Times New Roman" w:hAnsi="Times New Roman"/>
          <w:b/>
          <w:caps w:val="false"/>
          <w:smallCaps w:val="false"/>
          <w:sz w:val="20"/>
        </w:rPr>
        <w:t>PART I - 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financialstmts"/>
      <w:bookmarkEnd w:id="4"/>
      <w:r>
        <w:rPr>
          <w:rFonts w:ascii="Times New Roman" w:hAnsi="Times New Roman"/>
          <w:b/>
          <w:caps w:val="false"/>
          <w:smallCaps w:val="false"/>
          <w:sz w:val="20"/>
        </w:rPr>
        <w:t>ITEM 1. FINANCIAL STATEMENTS</w:t>
      </w:r>
      <w:r>
        <w:rPr>
          <w:rFonts w:ascii="Times New Roman" w:hAnsi="Times New Roman"/>
          <w:caps w:val="false"/>
          <w:smallCaps w:val="false"/>
          <w:sz w:val="20"/>
        </w:rPr>
        <w:t xml:space="preserve">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bookmarkStart w:id="5" w:name="balancesheets"/>
      <w:bookmarkEnd w:id="5"/>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030"/>
        <w:gridCol w:w="60"/>
        <w:gridCol w:w="125"/>
        <w:gridCol w:w="755"/>
        <w:gridCol w:w="80"/>
        <w:gridCol w:w="60"/>
        <w:gridCol w:w="143"/>
        <w:gridCol w:w="870"/>
        <w:gridCol w:w="82"/>
      </w:tblGrid>
      <w:tr>
        <w:trPr/>
        <w:tc>
          <w:tcPr>
            <w:tcW w:w="80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6,154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8,186</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22,769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33,324</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3,622</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755"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39,880</w:t>
            </w:r>
          </w:p>
        </w:tc>
        <w:tc>
          <w:tcPr>
            <w:tcW w:w="8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870"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51,441</w:t>
            </w:r>
          </w:p>
        </w:tc>
        <w:tc>
          <w:tcPr>
            <w:tcW w:w="82"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30,334</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31,419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37,765</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1,463</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101,578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123,804</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9,752</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13,914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7,688</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888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2,742</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operating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7,543</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finance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455</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114,420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111,853</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148,003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140,033</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operating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28,425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32,800</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finance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7,143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7,381</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2,130</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4,858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4,706</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190,599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187,100</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(Note 15)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Stockholders’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300,000,000 shares authorized; 4,814,612 and 4,667,004 shares issued and outstanding at June 30, 2026, and December 31, 2025, respectively)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791,525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8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791,227</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(8,053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(7,272</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80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(872,493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(847,251</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8030"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stockholders’ deficit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(89,021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(63,296</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8030"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101,578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123,804</w:t>
            </w:r>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bookmarkStart w:id="6" w:name="operationsstmts"/>
      <w:bookmarkEnd w:id="6"/>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9499" w:type="dxa"/>
        <w:jc w:val="left"/>
        <w:tblInd w:w="0" w:type="dxa"/>
        <w:tblLayout w:type="fixed"/>
        <w:tblCellMar>
          <w:top w:w="0" w:type="dxa"/>
          <w:left w:w="0" w:type="dxa"/>
          <w:bottom w:w="0" w:type="dxa"/>
          <w:right w:w="0" w:type="dxa"/>
        </w:tblCellMar>
      </w:tblPr>
      <w:tblGrid>
        <w:gridCol w:w="4565"/>
        <w:gridCol w:w="60"/>
        <w:gridCol w:w="146"/>
        <w:gridCol w:w="989"/>
        <w:gridCol w:w="93"/>
        <w:gridCol w:w="70"/>
        <w:gridCol w:w="146"/>
        <w:gridCol w:w="989"/>
        <w:gridCol w:w="80"/>
        <w:gridCol w:w="60"/>
        <w:gridCol w:w="133"/>
        <w:gridCol w:w="903"/>
        <w:gridCol w:w="85"/>
        <w:gridCol w:w="64"/>
        <w:gridCol w:w="133"/>
        <w:gridCol w:w="903"/>
        <w:gridCol w:w="80"/>
      </w:tblGrid>
      <w:tr>
        <w:trPr/>
        <w:tc>
          <w:tcPr>
            <w:tcW w:w="4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23,211</w:t>
            </w:r>
          </w:p>
        </w:tc>
        <w:tc>
          <w:tcPr>
            <w:tcW w:w="93"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39,245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51,735</w:t>
            </w:r>
          </w:p>
        </w:tc>
        <w:tc>
          <w:tcPr>
            <w:tcW w:w="85"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79,779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20,577</w:t>
            </w:r>
          </w:p>
        </w:tc>
        <w:tc>
          <w:tcPr>
            <w:tcW w:w="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36,451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47,264</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70,108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2,634</w:t>
            </w:r>
          </w:p>
        </w:tc>
        <w:tc>
          <w:tcPr>
            <w:tcW w:w="93"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4,471</w:t>
            </w:r>
          </w:p>
        </w:tc>
        <w:tc>
          <w:tcPr>
            <w:tcW w:w="85"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9,671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w:t>
            </w:r>
          </w:p>
        </w:tc>
        <w:tc>
          <w:tcPr>
            <w:tcW w:w="64"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10,062</w:t>
            </w:r>
          </w:p>
        </w:tc>
        <w:tc>
          <w:tcPr>
            <w:tcW w:w="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16,140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20,630</w:t>
            </w:r>
          </w:p>
        </w:tc>
        <w:tc>
          <w:tcPr>
            <w:tcW w:w="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34,003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from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(7,428</w:t>
            </w:r>
          </w:p>
        </w:tc>
        <w:tc>
          <w:tcPr>
            <w:tcW w:w="9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(13,346</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(16,159</w:t>
            </w:r>
          </w:p>
        </w:tc>
        <w:tc>
          <w:tcPr>
            <w:tcW w:w="8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4"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(24,332</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(3,453</w:t>
            </w:r>
          </w:p>
        </w:tc>
        <w:tc>
          <w:tcPr>
            <w:tcW w:w="9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(3,391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(9,319</w:t>
            </w:r>
          </w:p>
        </w:tc>
        <w:tc>
          <w:tcPr>
            <w:tcW w:w="8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(6,768</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w:t>
            </w:r>
          </w:p>
        </w:tc>
        <w:tc>
          <w:tcPr>
            <w:tcW w:w="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4"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tax</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(10,856</w:t>
            </w:r>
          </w:p>
        </w:tc>
        <w:tc>
          <w:tcPr>
            <w:tcW w:w="9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(16,959</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(25,575</w:t>
            </w:r>
          </w:p>
        </w:tc>
        <w:tc>
          <w:tcPr>
            <w:tcW w:w="8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(31,262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225</w:t>
            </w:r>
          </w:p>
        </w:tc>
        <w:tc>
          <w:tcPr>
            <w:tcW w:w="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(10,631</w:t>
            </w:r>
          </w:p>
        </w:tc>
        <w:tc>
          <w:tcPr>
            <w:tcW w:w="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(16,861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(25,242</w:t>
            </w:r>
          </w:p>
        </w:tc>
        <w:tc>
          <w:tcPr>
            <w:tcW w:w="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(31,246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w:t>
            </w:r>
          </w:p>
        </w:tc>
        <w:tc>
          <w:tcPr>
            <w:tcW w:w="64"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(2.23</w:t>
            </w:r>
          </w:p>
        </w:tc>
        <w:tc>
          <w:tcPr>
            <w:tcW w:w="9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(3.63</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(5.29</w:t>
            </w:r>
          </w:p>
        </w:tc>
        <w:tc>
          <w:tcPr>
            <w:tcW w:w="8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4"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(6.75</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(2.23</w:t>
            </w:r>
          </w:p>
        </w:tc>
        <w:tc>
          <w:tcPr>
            <w:tcW w:w="9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(5.29</w:t>
            </w:r>
          </w:p>
        </w:tc>
        <w:tc>
          <w:tcPr>
            <w:tcW w:w="8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(6.75</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w:t>
            </w:r>
          </w:p>
        </w:tc>
        <w:tc>
          <w:tcPr>
            <w:tcW w:w="64"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4,776,834</w:t>
            </w:r>
          </w:p>
        </w:tc>
        <w:tc>
          <w:tcPr>
            <w:tcW w:w="93"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4,646,096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4,770,252</w:t>
            </w:r>
          </w:p>
        </w:tc>
        <w:tc>
          <w:tcPr>
            <w:tcW w:w="85"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4,630,390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4,776,834</w:t>
            </w:r>
          </w:p>
        </w:tc>
        <w:tc>
          <w:tcPr>
            <w:tcW w:w="93"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4,646,096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4,770,252</w:t>
            </w:r>
          </w:p>
        </w:tc>
        <w:tc>
          <w:tcPr>
            <w:tcW w:w="85"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4,630,390</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bookmarkStart w:id="7" w:name="complossstmts"/>
      <w:bookmarkEnd w:id="7"/>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COMPREHENSIVE LOSS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8134" w:type="dxa"/>
        <w:jc w:val="left"/>
        <w:tblInd w:w="0" w:type="dxa"/>
        <w:tblLayout w:type="fixed"/>
        <w:tblCellMar>
          <w:top w:w="0" w:type="dxa"/>
          <w:left w:w="0" w:type="dxa"/>
          <w:bottom w:w="0" w:type="dxa"/>
          <w:right w:w="0" w:type="dxa"/>
        </w:tblCellMar>
      </w:tblPr>
      <w:tblGrid>
        <w:gridCol w:w="3200"/>
        <w:gridCol w:w="60"/>
        <w:gridCol w:w="180"/>
        <w:gridCol w:w="936"/>
        <w:gridCol w:w="115"/>
        <w:gridCol w:w="86"/>
        <w:gridCol w:w="180"/>
        <w:gridCol w:w="936"/>
        <w:gridCol w:w="80"/>
        <w:gridCol w:w="60"/>
        <w:gridCol w:w="164"/>
        <w:gridCol w:w="855"/>
        <w:gridCol w:w="105"/>
        <w:gridCol w:w="78"/>
        <w:gridCol w:w="164"/>
        <w:gridCol w:w="855"/>
        <w:gridCol w:w="80"/>
      </w:tblGrid>
      <w:tr>
        <w:trPr/>
        <w:tc>
          <w:tcPr>
            <w:tcW w:w="32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2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(10,631</w:t>
            </w:r>
          </w:p>
        </w:tc>
        <w:tc>
          <w:tcPr>
            <w:tcW w:w="11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6"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(16,861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(25,242</w:t>
            </w:r>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(31,246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00" w:type="dxa"/>
            <w:tcBorders/>
            <w:shd w:fill="FFFFFF" w:val="clear"/>
            <w:vAlign w:val="center"/>
          </w:tcPr>
          <w:p>
            <w:pPr>
              <w:pStyle w:val="TableContents"/>
              <w:bidi w:val="0"/>
              <w:spacing w:before="0" w:after="283"/>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Other comprehensive (loss) gain:</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left"/>
              <w:rPr/>
            </w:pPr>
            <w:r>
              <w:rPr/>
              <w:t> </w:t>
            </w:r>
          </w:p>
        </w:tc>
        <w:tc>
          <w:tcPr>
            <w:tcW w:w="115" w:type="dxa"/>
            <w:tcBorders/>
            <w:shd w:fill="FFFFFF" w:val="clear"/>
            <w:vAlign w:val="center"/>
          </w:tcPr>
          <w:p>
            <w:pPr>
              <w:pStyle w:val="TableContents"/>
              <w:bidi w:val="0"/>
              <w:spacing w:before="0" w:after="0"/>
              <w:ind w:left="0" w:right="0" w:hanging="0"/>
              <w:jc w:val="left"/>
              <w:rPr/>
            </w:pPr>
            <w:r>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(loss) gain</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(400</w:t>
            </w:r>
          </w:p>
        </w:tc>
        <w:tc>
          <w:tcPr>
            <w:tcW w:w="1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6"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1,665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(781</w:t>
            </w:r>
          </w:p>
        </w:tc>
        <w:tc>
          <w:tcPr>
            <w:tcW w:w="1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1,802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20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(11,031</w:t>
            </w:r>
          </w:p>
        </w:tc>
        <w:tc>
          <w:tcPr>
            <w:tcW w:w="11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(15,196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(26,023</w:t>
            </w:r>
          </w:p>
        </w:tc>
        <w:tc>
          <w:tcPr>
            <w:tcW w:w="10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(29,444</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bookmarkStart w:id="8" w:name="equitystmts"/>
      <w:bookmarkEnd w:id="8"/>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(DEFICIT)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for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31"/>
        <w:gridCol w:w="60"/>
        <w:gridCol w:w="60"/>
        <w:gridCol w:w="845"/>
        <w:gridCol w:w="80"/>
        <w:gridCol w:w="60"/>
        <w:gridCol w:w="220"/>
        <w:gridCol w:w="460"/>
        <w:gridCol w:w="60"/>
        <w:gridCol w:w="60"/>
        <w:gridCol w:w="140"/>
        <w:gridCol w:w="780"/>
        <w:gridCol w:w="80"/>
        <w:gridCol w:w="60"/>
        <w:gridCol w:w="241"/>
        <w:gridCol w:w="1054"/>
        <w:gridCol w:w="80"/>
        <w:gridCol w:w="60"/>
        <w:gridCol w:w="158"/>
        <w:gridCol w:w="957"/>
        <w:gridCol w:w="80"/>
        <w:gridCol w:w="60"/>
        <w:gridCol w:w="172"/>
        <w:gridCol w:w="965"/>
        <w:gridCol w:w="82"/>
      </w:tblGrid>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Total</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4,615,725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790,565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(8,774</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(571,846</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209,945</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vesting of stock awards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56,943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repurchased for withholding tax on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(13,648</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284</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(16,861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(16,861</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gain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1,665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1,665</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4,659,020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790,825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(7,109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(588,707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195,009</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4,764,612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791,380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(7,653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(861,862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(78,135</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vesting of stock awards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50,000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145</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(10,631</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(10,631</w:t>
            </w:r>
          </w:p>
        </w:tc>
        <w:tc>
          <w:tcPr>
            <w:tcW w:w="82"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(400</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4,814,612</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791,525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(8,053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(872,493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(89,021</w:t>
            </w:r>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31"/>
        <w:gridCol w:w="60"/>
        <w:gridCol w:w="60"/>
        <w:gridCol w:w="845"/>
        <w:gridCol w:w="80"/>
        <w:gridCol w:w="60"/>
        <w:gridCol w:w="220"/>
        <w:gridCol w:w="460"/>
        <w:gridCol w:w="60"/>
        <w:gridCol w:w="60"/>
        <w:gridCol w:w="140"/>
        <w:gridCol w:w="780"/>
        <w:gridCol w:w="80"/>
        <w:gridCol w:w="60"/>
        <w:gridCol w:w="241"/>
        <w:gridCol w:w="1054"/>
        <w:gridCol w:w="80"/>
        <w:gridCol w:w="60"/>
        <w:gridCol w:w="158"/>
        <w:gridCol w:w="957"/>
        <w:gridCol w:w="80"/>
        <w:gridCol w:w="60"/>
        <w:gridCol w:w="172"/>
        <w:gridCol w:w="965"/>
        <w:gridCol w:w="82"/>
      </w:tblGrid>
      <w:tr>
        <w:trPr/>
        <w:tc>
          <w:tcPr>
            <w:tcW w:w="3331" w:type="dxa"/>
            <w:tcBorders/>
            <w:shd w:fill="FFFFFF" w:val="clear"/>
            <w:vAlign w:val="center"/>
          </w:tcPr>
          <w:p>
            <w:pPr>
              <w:pStyle w:val="TableContents"/>
              <w:bidi w:val="0"/>
              <w:spacing w:before="0" w:after="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Total</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December 31, 2024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4,614,279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790,094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(8,911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(557,461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223,722</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vesting of stock awards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59,210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repurchased for withholding tax on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(14,469</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758</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(31,246</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(31,246</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gain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1,802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1,802</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4,659,020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790,825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(7,109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(588,707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195,009</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4,667,004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791,227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(7,272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(847,251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(63,296</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vesting of stock awards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157,081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repurchased for withholding tax on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(9,473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(25,242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(25,242</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(781</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4,814,612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791,525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(8,053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(872,493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(89,021</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pPr>
      <w:r>
        <w:rPr/>
        <w:t> </w:t>
      </w:r>
    </w:p>
    <w:p>
      <w:pPr>
        <w:pStyle w:val="TextBody"/>
        <w:bidi w:val="0"/>
        <w:spacing w:before="0" w:after="0"/>
        <w:ind w:left="0" w:right="0" w:firstLine="42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firstLine="4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bookmarkStart w:id="9" w:name="cashflowsstmts"/>
      <w:bookmarkEnd w:id="9"/>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CASH FLOWS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8591" w:type="dxa"/>
        <w:jc w:val="left"/>
        <w:tblInd w:w="0" w:type="dxa"/>
        <w:tblLayout w:type="fixed"/>
        <w:tblCellMar>
          <w:top w:w="0" w:type="dxa"/>
          <w:left w:w="0" w:type="dxa"/>
          <w:bottom w:w="0" w:type="dxa"/>
          <w:right w:w="0" w:type="dxa"/>
        </w:tblCellMar>
      </w:tblPr>
      <w:tblGrid>
        <w:gridCol w:w="6230"/>
        <w:gridCol w:w="60"/>
        <w:gridCol w:w="164"/>
        <w:gridCol w:w="855"/>
        <w:gridCol w:w="105"/>
        <w:gridCol w:w="78"/>
        <w:gridCol w:w="164"/>
        <w:gridCol w:w="855"/>
        <w:gridCol w:w="80"/>
      </w:tblGrid>
      <w:tr>
        <w:trPr/>
        <w:tc>
          <w:tcPr>
            <w:tcW w:w="6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(25,242</w:t>
            </w:r>
          </w:p>
        </w:tc>
        <w:tc>
          <w:tcPr>
            <w:tcW w:w="1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(31,246</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depletion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2,019</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14,721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680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inventory obsolescence</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426</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882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3,149</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3,355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Non-cash operating lease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3,774</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3,923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deferred financing costs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2,593</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Changes in assets and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(140</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8,972</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2,878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1,060</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(182</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995</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6,275</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(2,259</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(1,848</w:t>
            </w:r>
          </w:p>
        </w:tc>
        <w:tc>
          <w:tcPr>
            <w:tcW w:w="1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(527</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(3,739</w:t>
            </w:r>
          </w:p>
        </w:tc>
        <w:tc>
          <w:tcPr>
            <w:tcW w:w="1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(3,851</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CCEEFF" w:val="clear"/>
            <w:vAlign w:val="center"/>
          </w:tcPr>
          <w:p>
            <w:pPr>
              <w:pStyle w:val="TableContents"/>
              <w:bidi w:val="0"/>
              <w:spacing w:before="0" w:after="283"/>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238</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855"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(707</w:t>
            </w:r>
          </w:p>
        </w:tc>
        <w:tc>
          <w:tcPr>
            <w:tcW w:w="10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855"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(10,047</w:t>
            </w:r>
          </w:p>
        </w:tc>
        <w:tc>
          <w:tcPr>
            <w:tcW w:w="8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 expenditures of property, plant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w:t>
            </w:r>
          </w:p>
        </w:tc>
        <w:tc>
          <w:tcPr>
            <w:tcW w:w="1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(525</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property, plant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1,506</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cash from (used in) investing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855"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1,426</w:t>
            </w:r>
          </w:p>
        </w:tc>
        <w:tc>
          <w:tcPr>
            <w:tcW w:w="10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855"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(501</w:t>
            </w:r>
          </w:p>
        </w:tc>
        <w:tc>
          <w:tcPr>
            <w:tcW w:w="8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foreign revolving credit facilities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158</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Repayments of foreign revolving credit facilities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(176</w:t>
            </w:r>
          </w:p>
        </w:tc>
        <w:tc>
          <w:tcPr>
            <w:tcW w:w="1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(225</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Repayments of Term Loan</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pPr>
            <w:r>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(4,851</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Payment of withholding tax related to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w:t>
            </w:r>
          </w:p>
        </w:tc>
        <w:tc>
          <w:tcPr>
            <w:tcW w:w="1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Finance lease principal payments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(229</w:t>
            </w:r>
          </w:p>
        </w:tc>
        <w:tc>
          <w:tcPr>
            <w:tcW w:w="1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(228</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5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(261</w:t>
            </w:r>
          </w:p>
        </w:tc>
        <w:tc>
          <w:tcPr>
            <w:tcW w:w="10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5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(5,121</w:t>
            </w:r>
          </w:p>
        </w:tc>
        <w:tc>
          <w:tcPr>
            <w:tcW w:w="8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(154</w:t>
            </w:r>
          </w:p>
        </w:tc>
        <w:tc>
          <w:tcPr>
            <w:tcW w:w="1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549</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5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304</w:t>
            </w:r>
          </w:p>
        </w:tc>
        <w:tc>
          <w:tcPr>
            <w:tcW w:w="10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5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(15,120</w:t>
            </w:r>
          </w:p>
        </w:tc>
        <w:tc>
          <w:tcPr>
            <w:tcW w:w="8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26,111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6,613</w:t>
            </w:r>
          </w:p>
        </w:tc>
        <w:tc>
          <w:tcPr>
            <w:tcW w:w="1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10,991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Non-cash investing and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acquired under operating lease obligations, net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shd w:fill="FFFFFF" w:val="clear"/>
            <w:vAlign w:val="center"/>
          </w:tcPr>
          <w:p>
            <w:pPr>
              <w:pStyle w:val="TableContents"/>
              <w:bidi w:val="0"/>
              <w:spacing w:before="0" w:after="0"/>
              <w:ind w:left="0" w:right="0" w:hanging="0"/>
              <w:jc w:val="right"/>
              <w:rPr/>
            </w:pPr>
            <w:r>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2,166</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Capital expenditures included in accounts payable and accrued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Supplemental information</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245</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6,920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w:t>
            </w:r>
          </w:p>
        </w:tc>
        <w:tc>
          <w:tcPr>
            <w:tcW w:w="105"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343</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0" w:name="notes"/>
      <w:bookmarkEnd w:id="10"/>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THE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Description of the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Hydrofarm Holdings Group, Inc. (collectively with its subsidiaries, the "Company") was formed in </w:t>
      </w:r>
      <w:r>
        <w:rPr>
          <w:rStyle w:val="Emphasis"/>
          <w:rFonts w:ascii="Times New Roman" w:hAnsi="Times New Roman"/>
          <w:caps w:val="false"/>
          <w:smallCaps w:val="false"/>
          <w:sz w:val="20"/>
        </w:rPr>
        <w:t xml:space="preserve">May 2017 </w:t>
      </w:r>
      <w:r>
        <w:rPr>
          <w:rFonts w:ascii="Times New Roman" w:hAnsi="Times New Roman"/>
          <w:caps w:val="false"/>
          <w:smallCaps w:val="false"/>
          <w:sz w:val="20"/>
        </w:rPr>
        <w:t xml:space="preserve">under the laws of the state of Delaware to acquire and continue the business originally founded in </w:t>
      </w:r>
      <w:r>
        <w:rPr>
          <w:rStyle w:val="Emphasis"/>
          <w:rFonts w:ascii="Times New Roman" w:hAnsi="Times New Roman"/>
          <w:caps w:val="false"/>
          <w:smallCaps w:val="false"/>
          <w:sz w:val="20"/>
        </w:rPr>
        <w:t>1977.</w:t>
      </w:r>
      <w:r>
        <w:rPr>
          <w:rFonts w:ascii="Times New Roman" w:hAnsi="Times New Roman"/>
          <w:caps w:val="false"/>
          <w:smallCaps w:val="false"/>
          <w:sz w:val="20"/>
        </w:rPr>
        <w:t xml:space="preserve"> The Company is a leading independent manufacturer and distributor of branded hydroponics equipment and supplies for controlled environment agriculture ("CEA"), including grow lights, climate control solutions, grow media and nutrients, as well as a broad portfolio of innovative, proprietary branded products. Products offered include agricultural lighting devices, indoor climate control equipment, nutrients, and plant additives used to grow, farm and cultivate cannabis, flowers, fruits, plants, vegetables, grains and herbs in controlled environment settings that allow end users to control key farming variables including temperature, humidity, CO</w:t>
      </w:r>
      <w:r>
        <w:rPr>
          <w:rStyle w:val="Emphasis"/>
          <w:rFonts w:ascii="Times New Roman" w:hAnsi="Times New Roman"/>
          <w:caps w:val="false"/>
          <w:smallCaps w:val="false"/>
          <w:position w:val="-2"/>
          <w:sz w:val="16"/>
          <w:sz w:val="20"/>
        </w:rPr>
        <w:t>2</w:t>
      </w:r>
      <w:r>
        <w:rPr>
          <w:rFonts w:ascii="Times New Roman" w:hAnsi="Times New Roman"/>
          <w:caps w:val="false"/>
          <w:smallCaps w:val="false"/>
          <w:sz w:val="20"/>
        </w:rPr>
        <w:t>, light intensity and color, nutrient concentration and pH.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sz w:val="20"/>
        </w:rPr>
        <w:t>2.</w:t>
      </w:r>
      <w:r>
        <w:rPr>
          <w:rFonts w:ascii="Times New Roman" w:hAnsi="Times New Roman"/>
          <w:b/>
          <w:sz w:val="20"/>
        </w:rPr>
        <w:t xml:space="preserve"> LIQUIDITY AND GOING CONCERN</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b/>
          <w:i/>
          <w:sz w:val="20"/>
        </w:rPr>
        <w:t>Going concern</w:t>
      </w:r>
      <w:r>
        <w:rPr>
          <w:rFonts w:ascii="Times New Roman" w:hAnsi="Times New Roman"/>
          <w:sz w:val="20"/>
        </w:rPr>
        <w:t xml:space="preserve">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Management has evaluated whether conditions or events, considered in the aggregate, raise substantial doubt about the Company’s ability to continue as a going concern for a period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date that these financial statements are issued.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had $6,613 in cash, cash equivalents and restricted cash and a working capital deficit of $108,123. The Company has incurred recurring operating losses, negative cash flows from operations, significant debt obligations due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due to an event of default on the Company's outstanding Term Loan (as defined below)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in compliance with certain Nasdaq listing requirements, including the minimum stockholders' equity and minimum bid price requirements. These conditions and events, considered in the aggregate, raise substantial doubt about the Company’s ability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Management’s plans to address these conditions include reducing costs through restructuring and other initiatives, including facility consolidations, headcount reductions, focusing on our proprietary brand offerings and expanding and optimizing our logistics business. To improve liquidity the Company is negotiating with lenders and key vendors, and is pursuing additional financing or strategic alternatives including through an offering of equity securities, the sale of assets or businesses, including the sale of Aurora Peat Products ULC ("APP"). Refer to Note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for further details. Excluding the sale of APP, these plans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Company’s control, and therefore cannot be deemed probable. As a result, the Company has concluded that management’s plans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alleviate substantial doubt about the Company’s ability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These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to the specific amounts and classifications of assets and liabilities, which might be necessary should we be unable to continue as a going concern.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Nasdaq listing compliance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 xml:space="preserve">the Listing Qualifications Department of The Nasdaq Stock Market LLC (“Nasdaq”) notified the Company that it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compliance with the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million minimum stockholders' equity requirement under Nasdaq Listing Rule </w:t>
      </w:r>
      <w:r>
        <w:rPr>
          <w:rStyle w:val="Emphasis"/>
          <w:rFonts w:ascii="Times New Roman" w:hAnsi="Times New Roman"/>
          <w:caps w:val="false"/>
          <w:smallCaps w:val="false"/>
          <w:sz w:val="20"/>
        </w:rPr>
        <w:t>5550</w:t>
      </w:r>
      <w:r>
        <w:rPr>
          <w:rFonts w:ascii="Times New Roman" w:hAnsi="Times New Roman"/>
          <w:caps w:val="false"/>
          <w:smallCaps w:val="false"/>
          <w:sz w:val="20"/>
        </w:rPr>
        <w:t>(b)(</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Although Nasdaq subsequently granted the Company an extension to regain compliance, on </w:t>
      </w:r>
      <w:r>
        <w:rPr>
          <w:rStyle w:val="Emphasis"/>
          <w:rFonts w:ascii="Times New Roman" w:hAnsi="Times New Roman"/>
          <w:caps w:val="false"/>
          <w:smallCaps w:val="false"/>
          <w:sz w:val="20"/>
        </w:rPr>
        <w:t xml:space="preserve">July 2, 2026 </w:t>
      </w:r>
      <w:r>
        <w:rPr>
          <w:rFonts w:ascii="Times New Roman" w:hAnsi="Times New Roman"/>
          <w:caps w:val="false"/>
          <w:smallCaps w:val="false"/>
          <w:sz w:val="20"/>
        </w:rPr>
        <w:t xml:space="preserve">Nasdaq determined that the Company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the terms of that extension. The Company timely requested a hearing before the Nasdaq Hearing Panel on </w:t>
      </w:r>
      <w:r>
        <w:rPr>
          <w:rStyle w:val="Emphasis"/>
          <w:rFonts w:ascii="Times New Roman" w:hAnsi="Times New Roman"/>
          <w:caps w:val="false"/>
          <w:smallCaps w:val="false"/>
          <w:sz w:val="20"/>
        </w:rPr>
        <w:t xml:space="preserve">July 9, 2026, </w:t>
      </w:r>
      <w:r>
        <w:rPr>
          <w:rFonts w:ascii="Times New Roman" w:hAnsi="Times New Roman"/>
          <w:caps w:val="false"/>
          <w:smallCaps w:val="false"/>
          <w:sz w:val="20"/>
        </w:rPr>
        <w:t xml:space="preserve">which stayed any further action by Nasdaq pending completion of the hearing process. The Company is evaluating available options to regain compliance; however,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it will do so or that any additional extension will be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addition, on </w:t>
      </w:r>
      <w:r>
        <w:rPr>
          <w:rStyle w:val="Emphasis"/>
          <w:rFonts w:ascii="Times New Roman" w:hAnsi="Times New Roman"/>
          <w:caps w:val="false"/>
          <w:smallCaps w:val="false"/>
          <w:sz w:val="20"/>
        </w:rPr>
        <w:t xml:space="preserve">July 6, 2026, </w:t>
      </w:r>
      <w:r>
        <w:rPr>
          <w:rFonts w:ascii="Times New Roman" w:hAnsi="Times New Roman"/>
          <w:caps w:val="false"/>
          <w:smallCaps w:val="false"/>
          <w:sz w:val="20"/>
        </w:rPr>
        <w:t xml:space="preserve">Nasdaq notified the Company that it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compliance with the minimum bid price requirement under Nasdaq Listing Rule </w:t>
      </w:r>
      <w:r>
        <w:rPr>
          <w:rStyle w:val="Emphasis"/>
          <w:rFonts w:ascii="Times New Roman" w:hAnsi="Times New Roman"/>
          <w:caps w:val="false"/>
          <w:smallCaps w:val="false"/>
          <w:sz w:val="20"/>
        </w:rPr>
        <w:t>5550</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because its common stock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maintained a closing bid price of at least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for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consecutive business days. The Company has a </w:t>
      </w:r>
      <w:r>
        <w:rPr>
          <w:rStyle w:val="Emphasis"/>
          <w:rFonts w:ascii="Times New Roman" w:hAnsi="Times New Roman"/>
          <w:caps w:val="false"/>
          <w:smallCaps w:val="false"/>
          <w:sz w:val="20"/>
        </w:rPr>
        <w:t>180</w:t>
      </w:r>
      <w:r>
        <w:rPr>
          <w:rFonts w:ascii="Times New Roman" w:hAnsi="Times New Roman"/>
          <w:caps w:val="false"/>
          <w:smallCaps w:val="false"/>
          <w:sz w:val="20"/>
        </w:rPr>
        <w:t>-day compliance period to regain compliance and is evaluating available alternatives.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BASIS OF PRESENTATION AND SIGNIFICANT ACCOUNTING POLICIES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Basis of presentation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condensed consolidated financial statements include the accounts of the Company and its wholly-owned subsidiaries and have been prepared in accordance with accounting principles generally accepted in the United States of America (“U.S. GAAP”) and the requirements of the SEC for interim financial reporting. As permitted under those rules, certain footnotes or other financial information that are normally required by U.S. GAAP can be condensed or omitted. These condensed consolidated financial statements have been prepared on the same basis as the Company's annual consolidated financial statements and, in the opinion of management, reflect all normal and recurring adjustments which are necessary for the fair statement of the Company’s financial information. These interim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to be expected for the fiscal year ending </w:t>
      </w:r>
      <w:r>
        <w:rPr>
          <w:rStyle w:val="Emphasis"/>
          <w:rFonts w:ascii="Times New Roman" w:hAnsi="Times New Roman"/>
          <w:caps w:val="false"/>
          <w:smallCaps w:val="false"/>
          <w:sz w:val="20"/>
        </w:rPr>
        <w:t xml:space="preserve"> December 31, 2026</w:t>
      </w:r>
      <w:r>
        <w:rPr>
          <w:rFonts w:ascii="Times New Roman" w:hAnsi="Times New Roman"/>
          <w:caps w:val="false"/>
          <w:smallCaps w:val="false"/>
          <w:sz w:val="20"/>
        </w:rPr>
        <w:t>, or for any other interim period or for any other future year.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condensed consolidated balance sheet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has been derived from the audited consolidated financial statements of the Company, which is included in the </w:t>
      </w:r>
      <w:r>
        <w:rPr>
          <w:rStyle w:val="Emphasis"/>
          <w:rFonts w:ascii="Times New Roman" w:hAnsi="Times New Roman"/>
          <w:caps w:val="false"/>
          <w:smallCaps w:val="false"/>
          <w:sz w:val="20"/>
        </w:rPr>
        <w:t>2025</w:t>
      </w:r>
      <w:r>
        <w:rPr>
          <w:rFonts w:ascii="Times New Roman" w:hAnsi="Times New Roman"/>
          <w:caps w:val="false"/>
          <w:smallCaps w:val="false"/>
          <w:sz w:val="20"/>
        </w:rPr>
        <w:t> Annual Report. These condensed consolidated financial statements should be read in conjunction with the Company’s audited consolidated financial statements and the notes thereto included in the </w:t>
      </w:r>
      <w:r>
        <w:rPr>
          <w:rStyle w:val="Emphasis"/>
          <w:rFonts w:ascii="Times New Roman" w:hAnsi="Times New Roman"/>
          <w:caps w:val="false"/>
          <w:smallCaps w:val="false"/>
          <w:sz w:val="20"/>
        </w:rPr>
        <w:t>2025</w:t>
      </w:r>
      <w:r>
        <w:rPr>
          <w:rFonts w:ascii="Times New Roman" w:hAnsi="Times New Roman"/>
          <w:caps w:val="false"/>
          <w:smallCaps w:val="false"/>
          <w:sz w:val="20"/>
        </w:rPr>
        <w:t> Annual Report.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Use of estimates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Estimates are based on historical experience and on various other assumptions that are believed to be reasonable under the circumstances. Significant estimates include provisions for sales returns, rebates and claims from customers, realization of accounts receivable and inventories, fair value of assets acquired and liabilities assumed for business combinations, valuation of intangible assets, estimated useful lives of long-lived assets, incremental borrowing rate applied in lease accounting, valuation of stock-based compensation, recognition of deferred income taxes, classification of debt pursuant to certain terms in the Company's credit agreements, recognition of liabilities related to commitments and contingencies, asset retirement obligations ("AROs"), and valuation allowances.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these estimates. On an ongoing basis, the Company reviews its estimates to ensure that these estimates appropriately reflect changes in its business or new information available.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Segment and entity-wide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Segment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chief operating decision maker ("CODM") is the Chief Executive Officer (the "CEO") who reviews financial information for the purposes of making operating decisions, assessing financial performance and allocating resources. The business is organized as one operating segment managed on a consolidated basis, and one reportable segment, which is the distribution and manufacture of CEA equipment and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purposes of making operating decisions, assessing financial performance and allocating resources, the CODM reviews financial statement metrics on a consolidated basis, including net sales, gross profit, SG&amp;A, and net loss as presented in the consolidated statements of operations. Net loss is the primary measure of profit or loss reviewed by the CODM. In addition, the CODM reviews consolidated total assets and significant components such as inventories, cash and other assets for the purpose of evaluating financial performance. Significant expense categories regularly reviewed by the CODM are comprised of cost of goods sold and SG&amp;A. The other components of net loss as disclosed in the statements of operations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 segment expenses are impairments, loss on asset disposition, interest expense, other income (expense), net, and income tax benefit. Since the Company operates as one reportable segment, all required segment financial information is found in the condensed consolidated financial statements and notes, and within the entity-wide disclosures presented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Entity-wide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sales and property, plant and equipment, net and operating lease right-of-use ("ROU") assets, in the United States and Canada, as determined by the location of the subsidiaries, are shown below. Other foreign locations, which are immaterial, individually and in the aggregate, are included in the United States below.</w:t>
      </w:r>
    </w:p>
    <w:p>
      <w:pPr>
        <w:pStyle w:val="TextBody"/>
        <w:bidi w:val="0"/>
        <w:spacing w:before="0" w:after="0"/>
        <w:ind w:left="0" w:right="0" w:hanging="0"/>
        <w:jc w:val="left"/>
        <w:rPr/>
      </w:pPr>
      <w:r>
        <w:rPr/>
        <w:t> </w:t>
      </w:r>
    </w:p>
    <w:tbl>
      <w:tblPr>
        <w:tblW w:w="7282" w:type="dxa"/>
        <w:jc w:val="left"/>
        <w:tblInd w:w="0" w:type="dxa"/>
        <w:tblLayout w:type="fixed"/>
        <w:tblCellMar>
          <w:top w:w="0" w:type="dxa"/>
          <w:left w:w="0" w:type="dxa"/>
          <w:bottom w:w="0" w:type="dxa"/>
          <w:right w:w="0" w:type="dxa"/>
        </w:tblCellMar>
      </w:tblPr>
      <w:tblGrid>
        <w:gridCol w:w="2345"/>
        <w:gridCol w:w="60"/>
        <w:gridCol w:w="193"/>
        <w:gridCol w:w="915"/>
        <w:gridCol w:w="124"/>
        <w:gridCol w:w="93"/>
        <w:gridCol w:w="193"/>
        <w:gridCol w:w="915"/>
        <w:gridCol w:w="80"/>
        <w:gridCol w:w="60"/>
        <w:gridCol w:w="177"/>
        <w:gridCol w:w="836"/>
        <w:gridCol w:w="113"/>
        <w:gridCol w:w="85"/>
        <w:gridCol w:w="177"/>
        <w:gridCol w:w="836"/>
        <w:gridCol w:w="80"/>
      </w:tblGrid>
      <w:tr>
        <w:trPr/>
        <w:tc>
          <w:tcPr>
            <w:tcW w:w="23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3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United States</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17,359</w:t>
            </w:r>
          </w:p>
        </w:tc>
        <w:tc>
          <w:tcPr>
            <w:tcW w:w="124"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31,316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38,401</w:t>
            </w:r>
          </w:p>
        </w:tc>
        <w:tc>
          <w:tcPr>
            <w:tcW w:w="113"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63,593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Canada</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6,651</w:t>
            </w:r>
          </w:p>
        </w:tc>
        <w:tc>
          <w:tcPr>
            <w:tcW w:w="124"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83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14,748</w:t>
            </w:r>
          </w:p>
        </w:tc>
        <w:tc>
          <w:tcPr>
            <w:tcW w:w="113"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83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17,308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Eliminations</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(799</w:t>
            </w:r>
          </w:p>
        </w:tc>
        <w:tc>
          <w:tcPr>
            <w:tcW w:w="1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(1,414</w:t>
            </w:r>
          </w:p>
        </w:tc>
        <w:tc>
          <w:tcPr>
            <w:tcW w:w="1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5"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(1,122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345"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consolidated net sales</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23,211</w:t>
            </w:r>
          </w:p>
        </w:tc>
        <w:tc>
          <w:tcPr>
            <w:tcW w:w="12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9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39,245</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51,735</w:t>
            </w:r>
          </w:p>
        </w:tc>
        <w:tc>
          <w:tcPr>
            <w:tcW w:w="11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7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79,779</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8788" w:type="dxa"/>
        <w:jc w:val="left"/>
        <w:tblInd w:w="0" w:type="dxa"/>
        <w:tblLayout w:type="fixed"/>
        <w:tblCellMar>
          <w:top w:w="0" w:type="dxa"/>
          <w:left w:w="0" w:type="dxa"/>
          <w:bottom w:w="0" w:type="dxa"/>
          <w:right w:w="0" w:type="dxa"/>
        </w:tblCellMar>
      </w:tblPr>
      <w:tblGrid>
        <w:gridCol w:w="6680"/>
        <w:gridCol w:w="60"/>
        <w:gridCol w:w="126"/>
        <w:gridCol w:w="598"/>
        <w:gridCol w:w="60"/>
        <w:gridCol w:w="60"/>
        <w:gridCol w:w="199"/>
        <w:gridCol w:w="945"/>
        <w:gridCol w:w="60"/>
      </w:tblGrid>
      <w:tr>
        <w:trPr/>
        <w:tc>
          <w:tcPr>
            <w:tcW w:w="66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66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668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United States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30,312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38,071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668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Canada</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9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27,494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30,028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668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property, plant and equipment, net and operating lease 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57,806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68,099</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products sold by the Company are similar and classified as CEA equipment and supplies.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Fair value measurements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Fair value is the price that would be received to sell an asset or paid to transfer a liability in an orderly transaction between market participants at the measurement date. The Company has applied the framework for measuring fair value which requires a fair value hierarchy to be applied to all fair value measurements. All financial instruments recognized at fair value are classified into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in the fair value hierarchy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Valuation based on quoted prices (unadjusted) observed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Valuation techniques based on inputs that are quoted prices of similar instruments in active markets; quoted prices for identical or similar instruments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active markets; inputs other than quoted prices used in a valuation model that are observable for that instrument; and inputs that are derived from or, corroborated by, observable market data by correlation or other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Valuation techniques with significant unobservable market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measures certain non-financial assets and liabilities, including long-lived assets and intangible assets at fair value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Inventories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Inventories consist of finished goods, work-in-process, and raw materials used in manufacturing products. Inventories are stated at the lower of cost or net realizable value, principally determined by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out method of accounting. The Company maintains an allowance for excess and obsolete inventory. The estimate for excess and obsolete inventory is based upon assumptions about current and anticipated demand, customer preferences, business strategies, and market conditions. Management reviews these assumptions periodically to determine if any adjustments are needed to the allowance for excess and obsolete inventory. The establishment of an allowance for excess and obsolete inventory establishes a new cost basis in the inventory. Such allowance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reduced until the product is sold or otherwise disposed. If inventory is sold, any related reserves would be reversed in the period of sale. The Company estimates inventory markdowns relating to restructuring charges based upon business strategies, management's actions with respect to inventory of raw materials and products and brands being removed from the Company's portfolio, current and anticipated demand, customer preferences, and market conditions.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follows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which requires that revenue recognized from contracts with customers be disaggregated into categories that depict how the nature, amount, timing and uncertainty of revenue and cash flows are affected by economic factors. The Company has determined that revenue is generated from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category, which is the manufacture and distribution of CEA equipment and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is recognized as control of promised goods is transferred to customers, which generally occurs upon receipt at customers’ locations determined by the specific terms of the contract. Arrangements generally have a single performance obligation and revenue is reported net of variable consideration which includes applicable volume rebates, cash discounts and sales returns and allowances. Variable consideration is estimated and recorded at the time of sale.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The amount billed to customers for shipping and handling costs included in net sales was $1,103 and $2,029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respectively, and $1,179 and $2,582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Shipping and handling costs that occur before the customer obtains control of the goods are deemed to be fulfillment activities and are accounted for as fulfillment costs included in cost of goods sold.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noncash consideration for the sale of goods. Contract consideration received from a customer prior to revenue recognition is recorded as a contract liability and is recognized as revenue when the Company satisfies the related performance obligation under the terms of the contract. The Company's contract liabilities, which consist primarily of customer deposits reported within deferred revenue on the condensed consolidated balance sheets, totaled $888 and $2,742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respectively.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Company recorded customer deposits of $212, recognized $829 of deferred revenue, and noted $250 of additional decreases primarily due to foreign exchange rate fluctuations.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recorded customer deposits of $730, recognized $2,446 of deferred revenue, and noted $138 of additional decreases primarily due to foreign exchange rate fluctuations.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financing components and the majority of revenue is recognized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Excluded from revenue are any taxes assessed by governmental authorities, including value-added and other sales-related taxes that are imposed on and concurrent with revenue-generating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Income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income tax provision is calculated for an interim period by distinguishing between elements recognized in the income tax provision through applying an estimated annual effective tax rate (the “ETR”) to a measure of year-to-date operating results referred to as “ordinary income (or loss),” and discretely recognizing specific events referred to as “discrete items” as they occur. The income tax provision or benefit for each interim period is the difference between the year-to-date amount for the current period and the year-to-date amount for the prior period. Under Financial Accounting Standards Board ("FASB") Accounting Standards Codification ("ASC") </w:t>
      </w:r>
      <w:r>
        <w:rPr>
          <w:rStyle w:val="Emphasis"/>
          <w:rFonts w:ascii="Times New Roman" w:hAnsi="Times New Roman"/>
          <w:caps w:val="false"/>
          <w:smallCaps w:val="false"/>
          <w:sz w:val="20"/>
        </w:rPr>
        <w:t>740</w:t>
      </w:r>
      <w:r>
        <w:rPr>
          <w:rFonts w:ascii="Times New Roman" w:hAnsi="Times New Roman"/>
          <w:caps w:val="false"/>
          <w:smallCaps w:val="false"/>
          <w:sz w:val="20"/>
        </w:rPr>
        <w:t>-</w:t>
      </w:r>
      <w:r>
        <w:rPr>
          <w:rStyle w:val="Emphasis"/>
          <w:rFonts w:ascii="Times New Roman" w:hAnsi="Times New Roman"/>
          <w:caps w:val="false"/>
          <w:smallCaps w:val="false"/>
          <w:sz w:val="20"/>
        </w:rPr>
        <w:t>270</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entities subject to income taxes in multiple jurisdictions should apply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overall ETR instead of separate ETRs for each jurisdiction when calculating the interim-period income tax or benefit related to consolidated ordinary income (or loss) for the year-to-date interim period, except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Recent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 - Reporting Comprehensive Income - 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which requires a public entity to disclose additional information about specific expense categories in the notes to financial statements on an annual and interim basis. The amendments are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A public entity should apply the amendments either prospectively to financial statements issued for reporting periods after the effective date of this ASU or retrospectively to any or all prior periods presented in the financial statements. The Company is currently evaluating the impact that adoption of this accounting standard will have on its financial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 - Credit Losses: Measurement of Credit Losses for Accounts Receivable and Contract Assets</w:t>
      </w:r>
      <w:r>
        <w:rPr>
          <w:rFonts w:ascii="Times New Roman" w:hAnsi="Times New Roman"/>
          <w:caps w:val="false"/>
          <w:smallCaps w:val="false"/>
          <w:sz w:val="20"/>
        </w:rPr>
        <w:t xml:space="preserve">, which provides a practical expedient permitting companies to assume that conditions at the balance sheet date remain unchanged over the life of the asset when estimating expected credit losses for current accounts receivable and current contract assets. This guidance is effective for annual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and interim reporting periods within those annual reporting periods. Early adoption is permitted and is effective on a prospective basis. The Company elected to apply this practical expedient upon adoption of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which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condensed consolidated financial statements for the period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Intangibles - Goodwill and Other - 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Targeted Improvements to the Accounting for Internal-Use Software</w:t>
      </w:r>
      <w:r>
        <w:rPr>
          <w:rFonts w:ascii="Times New Roman" w:hAnsi="Times New Roman"/>
          <w:caps w:val="false"/>
          <w:smallCaps w:val="false"/>
          <w:sz w:val="20"/>
        </w:rPr>
        <w:t>, which makes targeted improvements to the accounting for internal-use software by removing references to “development stages”. The update also clarifies the criteria for capitalization, which begins when both of the following occur: (</w:t>
      </w:r>
      <w:r>
        <w:rPr>
          <w:rStyle w:val="Emphasis"/>
          <w:rFonts w:ascii="Times New Roman" w:hAnsi="Times New Roman"/>
          <w:caps w:val="false"/>
          <w:smallCaps w:val="false"/>
          <w:sz w:val="20"/>
        </w:rPr>
        <w:t>1</w:t>
      </w:r>
      <w:r>
        <w:rPr>
          <w:rFonts w:ascii="Times New Roman" w:hAnsi="Times New Roman"/>
          <w:caps w:val="false"/>
          <w:smallCaps w:val="false"/>
          <w:sz w:val="20"/>
        </w:rPr>
        <w:t>) management has authorized and committed to funding the software project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it is probable that the project will be completed and the software will be used to perform the function intended. The guidance is effective for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and for interim periods within those annual reporting periods, with early adoption permitted, and can be applied prospectively, retrospectively, or via a modified prospective transition method. The Company is currently evaluating the impact that adoption of this accounting standard will have on its financial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RESTRUCTURING AND ASSET SALES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Restructuring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Style w:val="Emphasis"/>
          <w:rFonts w:ascii="Times New Roman" w:hAnsi="Times New Roman"/>
          <w:i/>
          <w:caps w:val="false"/>
          <w:smallCaps w:val="false"/>
          <w:sz w:val="20"/>
        </w:rPr>
        <w:t>2023</w:t>
      </w:r>
      <w:r>
        <w:rPr>
          <w:rFonts w:ascii="Times New Roman" w:hAnsi="Times New Roman"/>
          <w:i/>
          <w:caps w:val="false"/>
          <w:smallCaps w:val="false"/>
          <w:sz w:val="20"/>
        </w:rPr>
        <w:t xml:space="preserve"> Restructuring Plan</w:t>
      </w:r>
      <w:r>
        <w:rPr>
          <w:rFonts w:ascii="Times New Roman" w:hAnsi="Times New Roman"/>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completed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Restructuring Plan and incurred approximately $362 of restructuring charges, which were primarily cash charges and recorded within cost of goods sold on the consolidated statement of operations during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remaining accrual balance of $103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was settled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there is no remaining accrual balance. Total costs incurred relating to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Restructuring Plan were (i) $9,737 of non-cash charges relating primarily to inventory markdowns, and (ii) $2,034 of cash charges relating primarily to the consolidation of U.S. manufacturing facilities. Restructuring actions in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Restructuring Plan were primarily U.S. manufacturing facility consolidations, in particular with respect to production of certain durable equipment products. Restructuring activities included termination and disposal costs associated with inventory, facilities, and headcount reductions, and non-cash charges consisting of fixed asset and inventory write-downs.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Style w:val="Emphasis"/>
          <w:rFonts w:ascii="Times New Roman" w:hAnsi="Times New Roman"/>
          <w:i/>
          <w:caps w:val="false"/>
          <w:smallCaps w:val="false"/>
          <w:sz w:val="20"/>
        </w:rPr>
        <w:t>2025</w:t>
      </w:r>
      <w:r>
        <w:rPr>
          <w:rFonts w:ascii="Times New Roman" w:hAnsi="Times New Roman"/>
          <w:i/>
          <w:caps w:val="false"/>
          <w:smallCaps w:val="false"/>
          <w:sz w:val="20"/>
        </w:rPr>
        <w:t xml:space="preserve"> Restructuring Plan</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initiated a restructuring plan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to reduce its product portfolio and operational footprint to decrease costs and improve efficiency.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actions entail (i) eliminating a significant portion of the Company's product portfolio, primarily underperforming distributed brands, to improve supply chain and operational focus, (ii) further reductions in the distribution center network and manufacturing footprint including inventory reductions, and (iii) corresponding headcount reductions.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incurred the following estimated restructuring costs for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6703" w:type="dxa"/>
        <w:jc w:val="left"/>
        <w:tblInd w:w="0" w:type="dxa"/>
        <w:tblLayout w:type="fixed"/>
        <w:tblCellMar>
          <w:top w:w="0" w:type="dxa"/>
          <w:left w:w="0" w:type="dxa"/>
          <w:bottom w:w="0" w:type="dxa"/>
          <w:right w:w="0" w:type="dxa"/>
        </w:tblCellMar>
      </w:tblPr>
      <w:tblGrid>
        <w:gridCol w:w="3305"/>
        <w:gridCol w:w="60"/>
        <w:gridCol w:w="345"/>
        <w:gridCol w:w="1339"/>
        <w:gridCol w:w="60"/>
        <w:gridCol w:w="60"/>
        <w:gridCol w:w="302"/>
        <w:gridCol w:w="1172"/>
        <w:gridCol w:w="60"/>
      </w:tblGrid>
      <w:tr>
        <w:trPr/>
        <w:tc>
          <w:tcPr>
            <w:tcW w:w="33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0"/>
              <w:ind w:left="0" w:right="0" w:hanging="0"/>
              <w:jc w:val="left"/>
              <w:rPr/>
            </w:pPr>
            <w:r>
              <w:rPr/>
              <w:t> </w:t>
            </w:r>
          </w:p>
        </w:tc>
        <w:tc>
          <w:tcPr>
            <w:tcW w:w="3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7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2,757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FFFFFF" w:val="clear"/>
            <w:vAlign w:val="center"/>
          </w:tcPr>
          <w:p>
            <w:pPr>
              <w:pStyle w:val="TableContents"/>
              <w:bidi w:val="0"/>
              <w:spacing w:before="0" w:after="0"/>
              <w:ind w:left="0" w:right="0" w:hanging="0"/>
              <w:jc w:val="left"/>
              <w:rPr/>
            </w:pPr>
            <w:r>
              <w:rPr/>
              <w:t> </w:t>
            </w:r>
          </w:p>
        </w:tc>
        <w:tc>
          <w:tcPr>
            <w:tcW w:w="3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2,297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3,105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2025 Restructuring Plan charges</w:t>
            </w:r>
          </w:p>
        </w:tc>
        <w:tc>
          <w:tcPr>
            <w:tcW w:w="60" w:type="dxa"/>
            <w:tcBorders/>
            <w:shd w:fill="CCEEFF" w:val="clear"/>
            <w:vAlign w:val="center"/>
          </w:tcPr>
          <w:p>
            <w:pPr>
              <w:pStyle w:val="TableContents"/>
              <w:bidi w:val="0"/>
              <w:spacing w:before="0" w:after="0"/>
              <w:ind w:left="0" w:right="0" w:hanging="0"/>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3,365</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5,862</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3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5" w:type="dxa"/>
            <w:tcBorders/>
            <w:shd w:fill="FFFFFF" w:val="clear"/>
            <w:vAlign w:val="center"/>
          </w:tcPr>
          <w:p>
            <w:pPr>
              <w:pStyle w:val="TableContents"/>
              <w:bidi w:val="0"/>
              <w:spacing w:before="0" w:after="0"/>
              <w:ind w:left="0" w:right="0" w:hanging="0"/>
              <w:jc w:val="left"/>
              <w:rPr/>
            </w:pPr>
            <w:r>
              <w:rPr/>
              <w:t> </w:t>
            </w:r>
          </w:p>
        </w:tc>
        <w:tc>
          <w:tcPr>
            <w:tcW w:w="133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02" w:type="dxa"/>
            <w:tcBorders/>
            <w:shd w:fill="FFFFFF" w:val="clear"/>
            <w:vAlign w:val="center"/>
          </w:tcPr>
          <w:p>
            <w:pPr>
              <w:pStyle w:val="TableContents"/>
              <w:bidi w:val="0"/>
              <w:spacing w:before="0" w:after="0"/>
              <w:ind w:left="0" w:right="0" w:hanging="0"/>
              <w:jc w:val="left"/>
              <w:rPr/>
            </w:pPr>
            <w:r>
              <w:rPr/>
              <w:t> </w:t>
            </w:r>
          </w:p>
        </w:tc>
        <w:tc>
          <w:tcPr>
            <w:tcW w:w="117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3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vAlign w:val="center"/>
          </w:tcPr>
          <w:p>
            <w:pPr>
              <w:pStyle w:val="TableContents"/>
              <w:bidi w:val="0"/>
              <w:spacing w:before="0" w:after="0"/>
              <w:ind w:left="0" w:right="0" w:hanging="0"/>
              <w:jc w:val="left"/>
              <w:rPr/>
            </w:pPr>
            <w:r>
              <w:rPr/>
              <w:t> </w:t>
            </w:r>
          </w:p>
        </w:tc>
        <w:tc>
          <w:tcPr>
            <w:tcW w:w="3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7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2,713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Non-cash</w:t>
            </w:r>
          </w:p>
        </w:tc>
        <w:tc>
          <w:tcPr>
            <w:tcW w:w="60" w:type="dxa"/>
            <w:tcBorders/>
            <w:shd w:fill="FFFFFF" w:val="clear"/>
            <w:vAlign w:val="center"/>
          </w:tcPr>
          <w:p>
            <w:pPr>
              <w:pStyle w:val="TableContents"/>
              <w:bidi w:val="0"/>
              <w:spacing w:before="0" w:after="0"/>
              <w:ind w:left="0" w:right="0" w:hanging="0"/>
              <w:jc w:val="left"/>
              <w:rPr/>
            </w:pPr>
            <w:r>
              <w:rPr/>
              <w:t> </w:t>
            </w:r>
          </w:p>
        </w:tc>
        <w:tc>
          <w:tcPr>
            <w:tcW w:w="3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2,340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3,149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2025 Restructuring Plan charges</w:t>
            </w:r>
          </w:p>
        </w:tc>
        <w:tc>
          <w:tcPr>
            <w:tcW w:w="60" w:type="dxa"/>
            <w:tcBorders/>
            <w:shd w:fill="CCEEFF" w:val="clear"/>
            <w:vAlign w:val="center"/>
          </w:tcPr>
          <w:p>
            <w:pPr>
              <w:pStyle w:val="TableContents"/>
              <w:bidi w:val="0"/>
              <w:spacing w:before="0" w:after="0"/>
              <w:ind w:left="0" w:right="0" w:hanging="0"/>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3,365</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5,862</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Non-cash charges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were primarily associated with the write-down of certain ROU assets which were primarily recorded in SG&amp;A and inventory write-downs which were primarily recorded in cost of goods sold on the condensed consolidated statements of operations. Cash charges were primarily comprised of costs incurred to relocate and terminate certain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Total costs relating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incurred since its inception through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were (i) $7,535 of non-cash charges comprised primarily of inventory markdowns and the write-down of certain ROU assets, and (ii) $3,564 of cash charges comprised primarily of costs incurred to relocate and terminate certain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present the activity in accrued expenses and other current liabilities for restructuring costs related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5909" w:type="dxa"/>
        <w:jc w:val="left"/>
        <w:tblInd w:w="0" w:type="dxa"/>
        <w:tblLayout w:type="fixed"/>
        <w:tblCellMar>
          <w:top w:w="0" w:type="dxa"/>
          <w:left w:w="0" w:type="dxa"/>
          <w:bottom w:w="0" w:type="dxa"/>
          <w:right w:w="0" w:type="dxa"/>
        </w:tblCellMar>
      </w:tblPr>
      <w:tblGrid>
        <w:gridCol w:w="4085"/>
        <w:gridCol w:w="60"/>
        <w:gridCol w:w="314"/>
        <w:gridCol w:w="1370"/>
        <w:gridCol w:w="80"/>
      </w:tblGrid>
      <w:tr>
        <w:trPr/>
        <w:tc>
          <w:tcPr>
            <w:tcW w:w="40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0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Restructuring Accruals as of March 31, 2026</w:t>
            </w:r>
          </w:p>
        </w:tc>
        <w:tc>
          <w:tcPr>
            <w:tcW w:w="6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314" w:type="dxa"/>
            <w:tcBorders>
              <w:top w:val="single" w:sz="2" w:space="0" w:color="000000"/>
            </w:tcBorders>
            <w:shd w:fill="CCEEFF" w:val="clear"/>
            <w:tcMar>
              <w:top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7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749</w:t>
            </w:r>
          </w:p>
        </w:tc>
        <w:tc>
          <w:tcPr>
            <w:tcW w:w="8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r>
      <w:tr>
        <w:trPr/>
        <w:tc>
          <w:tcPr>
            <w:tcW w:w="4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Expense</w:t>
            </w:r>
          </w:p>
        </w:tc>
        <w:tc>
          <w:tcPr>
            <w:tcW w:w="60" w:type="dxa"/>
            <w:tcBorders/>
            <w:shd w:fill="FFFFFF" w:val="clear"/>
            <w:vAlign w:val="center"/>
          </w:tcPr>
          <w:p>
            <w:pPr>
              <w:pStyle w:val="TableContents"/>
              <w:bidi w:val="0"/>
              <w:spacing w:before="0" w:after="0"/>
              <w:ind w:left="0" w:right="0" w:hanging="0"/>
              <w:jc w:val="left"/>
              <w:rPr/>
            </w:pPr>
            <w:r>
              <w:rPr/>
              <w:t> </w:t>
            </w:r>
          </w:p>
        </w:tc>
        <w:tc>
          <w:tcPr>
            <w:tcW w:w="314" w:type="dxa"/>
            <w:tcBorders/>
            <w:shd w:fill="FFFFFF" w:val="clear"/>
            <w:vAlign w:val="center"/>
          </w:tcPr>
          <w:p>
            <w:pPr>
              <w:pStyle w:val="TableContents"/>
              <w:bidi w:val="0"/>
              <w:spacing w:before="0" w:after="0"/>
              <w:ind w:left="0" w:right="0" w:hanging="0"/>
              <w:jc w:val="left"/>
              <w:rPr/>
            </w:pPr>
            <w:r>
              <w:rPr/>
              <w:t> </w:t>
            </w:r>
          </w:p>
        </w:tc>
        <w:tc>
          <w:tcPr>
            <w:tcW w:w="13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Payments</w:t>
            </w:r>
          </w:p>
        </w:tc>
        <w:tc>
          <w:tcPr>
            <w:tcW w:w="60" w:type="dxa"/>
            <w:tcBorders/>
            <w:shd w:fill="CCEEFF" w:val="clear"/>
            <w:vAlign w:val="center"/>
          </w:tcPr>
          <w:p>
            <w:pPr>
              <w:pStyle w:val="TableContents"/>
              <w:bidi w:val="0"/>
              <w:spacing w:before="0" w:after="0"/>
              <w:ind w:left="0" w:right="0" w:hanging="0"/>
              <w:jc w:val="left"/>
              <w:rPr/>
            </w:pPr>
            <w:r>
              <w:rPr/>
              <w:t> </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(1,217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08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Restructuring Accruals as of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3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0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 </w:t>
            </w:r>
          </w:p>
        </w:tc>
        <w:tc>
          <w:tcPr>
            <w:tcW w:w="137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0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4" w:type="dxa"/>
            <w:tcBorders/>
            <w:shd w:fill="FFFFFF" w:val="clear"/>
            <w:vAlign w:val="center"/>
          </w:tcPr>
          <w:p>
            <w:pPr>
              <w:pStyle w:val="TableContents"/>
              <w:bidi w:val="0"/>
              <w:spacing w:before="0" w:after="0"/>
              <w:ind w:left="0" w:right="0" w:hanging="0"/>
              <w:jc w:val="left"/>
              <w:rPr/>
            </w:pPr>
            <w:r>
              <w:rPr/>
              <w:t> </w:t>
            </w:r>
          </w:p>
        </w:tc>
        <w:tc>
          <w:tcPr>
            <w:tcW w:w="137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0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84" w:type="dxa"/>
            <w:gridSpan w:val="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0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8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08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Restructuring Accruals as of December 31, 2025</w:t>
            </w:r>
          </w:p>
        </w:tc>
        <w:tc>
          <w:tcPr>
            <w:tcW w:w="60" w:type="dxa"/>
            <w:tcBorders/>
            <w:shd w:fill="FFFFFF" w:val="clear"/>
            <w:vAlign w:val="center"/>
          </w:tcPr>
          <w:p>
            <w:pPr>
              <w:pStyle w:val="TableContents"/>
              <w:bidi w:val="0"/>
              <w:spacing w:before="0" w:after="0"/>
              <w:ind w:left="0" w:right="0" w:hanging="0"/>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Expense</w:t>
            </w:r>
          </w:p>
        </w:tc>
        <w:tc>
          <w:tcPr>
            <w:tcW w:w="60"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 </w:t>
            </w:r>
          </w:p>
        </w:tc>
        <w:tc>
          <w:tcPr>
            <w:tcW w:w="13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2,713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Payments</w:t>
            </w:r>
          </w:p>
        </w:tc>
        <w:tc>
          <w:tcPr>
            <w:tcW w:w="60" w:type="dxa"/>
            <w:tcBorders/>
            <w:shd w:fill="FFFFFF" w:val="clear"/>
            <w:vAlign w:val="center"/>
          </w:tcPr>
          <w:p>
            <w:pPr>
              <w:pStyle w:val="TableContents"/>
              <w:bidi w:val="0"/>
              <w:spacing w:before="0" w:after="0"/>
              <w:ind w:left="0" w:right="0" w:hanging="0"/>
              <w:jc w:val="left"/>
              <w:rPr/>
            </w:pPr>
            <w:r>
              <w:rPr/>
              <w:t> </w:t>
            </w:r>
          </w:p>
        </w:tc>
        <w:tc>
          <w:tcPr>
            <w:tcW w:w="3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(2,358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0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Restructuring Accruals as of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3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does not anticipate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and related actions will result in material additional restructuring charges. The amounts the Company will ultimately expend could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Asset Sales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Goshen: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Company sold approximately 38 acres of the 120 acres of excess owned land at the Goshen, New York location. The sale price less costs to sell, in the amount of $1,415, was less than the net carrying value of the property, plant and equipment, and the Company recorded a $77 loss in SG&amp;A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INTANGIBLE ASSETS,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Finite lived intangible assets are tested for impairment at least annually, while all intangibles are tested for impairment when events or changes in circumstances indicate that,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a result of industry conditions, primarily attributable to an agricultural oversupply impacting our market and resulting in a decrease in indoor and outdoor cultivation, as well as continued declines in operating cash flows and profitability, the Company assessed long-lived assets for impairment and recorded an impairment charge of $232,179. Of the impairment charge, $228,395 was related to finite-lived intangible assets and $3,784 was related to property, plant, and equipment. The loss was recorded in impairments in the consolidated statement of operations for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estimated fair value based on the income approach and market approach. Under the income approach, the Company estimated the fair value of the asset group on the present value of estimated future cash flows, which the Company considered to be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 in the fair value hierarchy. Amortization expense related to intangible assets was $5,931 and $11,864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carrying value of intangible assets, net, consisting of an indefinite-lived tradename was $2,801 as of each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LOSS PER COMMON SHARE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loss per common share is computed using net loss divided by the weighted-average number of common shares outstanding during each period, excluding unvested restricted stock units (“RSUs”) and performance stock units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Diluted loss per common share represents net loss divided by the weighted-average number of common shares outstanding during the period, including common stock equivalents. Common stock equivalents consist of shares subject to share-based awards with exercise prices less than the average market price of the Company’s common stock for the period, to the extent their inclusion would be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following table presents basic and diluted loss per common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400"/>
        <w:gridCol w:w="60"/>
        <w:gridCol w:w="140"/>
        <w:gridCol w:w="951"/>
        <w:gridCol w:w="89"/>
        <w:gridCol w:w="67"/>
        <w:gridCol w:w="140"/>
        <w:gridCol w:w="951"/>
        <w:gridCol w:w="80"/>
        <w:gridCol w:w="60"/>
        <w:gridCol w:w="130"/>
        <w:gridCol w:w="887"/>
        <w:gridCol w:w="83"/>
        <w:gridCol w:w="62"/>
        <w:gridCol w:w="130"/>
        <w:gridCol w:w="887"/>
        <w:gridCol w:w="88"/>
      </w:tblGrid>
      <w:tr>
        <w:trPr/>
        <w:tc>
          <w:tcPr>
            <w:tcW w:w="54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7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4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 w:type="dxa"/>
            <w:tcBorders/>
            <w:shd w:fill="FFFFFF" w:val="clear"/>
            <w:vAlign w:val="center"/>
          </w:tcPr>
          <w:p>
            <w:pPr>
              <w:pStyle w:val="TableContents"/>
              <w:bidi w:val="0"/>
              <w:spacing w:before="0" w:after="0"/>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0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40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(10,631</w:t>
            </w:r>
          </w:p>
        </w:tc>
        <w:tc>
          <w:tcPr>
            <w:tcW w:w="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7"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(16,861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(25,242</w:t>
            </w:r>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(31,246</w:t>
            </w:r>
          </w:p>
        </w:tc>
        <w:tc>
          <w:tcPr>
            <w:tcW w:w="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95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4,776,834</w:t>
            </w:r>
          </w:p>
        </w:tc>
        <w:tc>
          <w:tcPr>
            <w:tcW w:w="89" w:type="dxa"/>
            <w:tcBorders/>
            <w:shd w:fill="FFFFFF" w:val="clear"/>
            <w:vAlign w:val="center"/>
          </w:tcPr>
          <w:p>
            <w:pPr>
              <w:pStyle w:val="TableContents"/>
              <w:bidi w:val="0"/>
              <w:spacing w:before="0" w:after="0"/>
              <w:ind w:left="0" w:right="0" w:hanging="0"/>
              <w:jc w:val="left"/>
              <w:rPr/>
            </w:pPr>
            <w:r>
              <w:rPr/>
              <w:t> </w:t>
            </w:r>
          </w:p>
        </w:tc>
        <w:tc>
          <w:tcPr>
            <w:tcW w:w="67"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95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4,646,096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88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4,770,252</w:t>
            </w:r>
          </w:p>
        </w:tc>
        <w:tc>
          <w:tcPr>
            <w:tcW w:w="83"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88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4,630,390</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4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Dilutive effect of share based compensation awards using the treasury stock method</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540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Diluted weighted-average shares of common stock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4,776,834</w:t>
            </w:r>
          </w:p>
        </w:tc>
        <w:tc>
          <w:tcPr>
            <w:tcW w:w="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4,646,096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4,770,252</w:t>
            </w:r>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4,630,390</w:t>
            </w:r>
          </w:p>
        </w:tc>
        <w:tc>
          <w:tcPr>
            <w:tcW w:w="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40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Basic loss per common share</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(2.23</w:t>
            </w:r>
          </w:p>
        </w:tc>
        <w:tc>
          <w:tcPr>
            <w:tcW w:w="89"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7"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(5.29</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(6.75</w:t>
            </w:r>
          </w:p>
        </w:tc>
        <w:tc>
          <w:tcPr>
            <w:tcW w:w="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0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Diluted loss per common share</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(2.23</w:t>
            </w:r>
          </w:p>
        </w:tc>
        <w:tc>
          <w:tcPr>
            <w:tcW w:w="89"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7"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(3.63</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(5.29</w:t>
            </w:r>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(6.75</w:t>
            </w:r>
          </w:p>
        </w:tc>
        <w:tc>
          <w:tcPr>
            <w:tcW w:w="8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computation of the weighted-average shares of common stock outstanding for diluted loss per common share excludes the following potential shares of common stock as their inclusion would have an anti-dilutive effect on diluted loss per common share: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56"/>
        <w:gridCol w:w="60"/>
        <w:gridCol w:w="83"/>
        <w:gridCol w:w="977"/>
        <w:gridCol w:w="83"/>
        <w:gridCol w:w="83"/>
        <w:gridCol w:w="83"/>
        <w:gridCol w:w="977"/>
        <w:gridCol w:w="60"/>
        <w:gridCol w:w="60"/>
        <w:gridCol w:w="77"/>
        <w:gridCol w:w="903"/>
        <w:gridCol w:w="77"/>
        <w:gridCol w:w="77"/>
        <w:gridCol w:w="77"/>
        <w:gridCol w:w="903"/>
        <w:gridCol w:w="69"/>
      </w:tblGrid>
      <w:tr>
        <w:trPr/>
        <w:tc>
          <w:tcPr>
            <w:tcW w:w="555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55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556"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Shares subject to unvested or deferred performance and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298,779</w:t>
            </w:r>
          </w:p>
        </w:tc>
        <w:tc>
          <w:tcPr>
            <w:tcW w:w="83"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357,796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298,779</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357,796</w:t>
            </w:r>
          </w:p>
        </w:tc>
        <w:tc>
          <w:tcPr>
            <w:tcW w:w="69" w:type="dxa"/>
            <w:tcBorders/>
            <w:shd w:fill="CCEEFF" w:val="clear"/>
            <w:vAlign w:val="center"/>
          </w:tcPr>
          <w:p>
            <w:pPr>
              <w:pStyle w:val="TableContents"/>
              <w:bidi w:val="0"/>
              <w:spacing w:before="0" w:after="0"/>
              <w:ind w:left="0" w:right="0" w:hanging="0"/>
              <w:jc w:val="left"/>
              <w:rPr/>
            </w:pPr>
            <w:r>
              <w:rPr/>
              <w:t> </w:t>
            </w:r>
          </w:p>
        </w:tc>
      </w:tr>
      <w:tr>
        <w:trPr/>
        <w:tc>
          <w:tcPr>
            <w:tcW w:w="5556"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Shares subject to stock options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97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26,384</w:t>
            </w:r>
          </w:p>
        </w:tc>
        <w:tc>
          <w:tcPr>
            <w:tcW w:w="83"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97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34,045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26,384</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34,045</w:t>
            </w:r>
          </w:p>
        </w:tc>
        <w:tc>
          <w:tcPr>
            <w:tcW w:w="69"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ACCOUNTS RECEIVABLE, NET, AND INVENTORIES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net comprised the following:</w:t>
      </w:r>
    </w:p>
    <w:p>
      <w:pPr>
        <w:pStyle w:val="TextBody"/>
        <w:bidi w:val="0"/>
        <w:spacing w:before="0" w:after="0"/>
        <w:ind w:left="0" w:right="0" w:hanging="0"/>
        <w:jc w:val="left"/>
        <w:rPr/>
      </w:pPr>
      <w:r>
        <w:rPr/>
        <w:t> </w:t>
      </w:r>
    </w:p>
    <w:tbl>
      <w:tblPr>
        <w:tblW w:w="4688" w:type="dxa"/>
        <w:jc w:val="left"/>
        <w:tblInd w:w="0" w:type="dxa"/>
        <w:tblLayout w:type="fixed"/>
        <w:tblCellMar>
          <w:top w:w="0" w:type="dxa"/>
          <w:left w:w="0" w:type="dxa"/>
          <w:bottom w:w="0" w:type="dxa"/>
          <w:right w:w="0" w:type="dxa"/>
        </w:tblCellMar>
      </w:tblPr>
      <w:tblGrid>
        <w:gridCol w:w="2540"/>
        <w:gridCol w:w="60"/>
        <w:gridCol w:w="148"/>
        <w:gridCol w:w="576"/>
        <w:gridCol w:w="80"/>
        <w:gridCol w:w="60"/>
        <w:gridCol w:w="234"/>
        <w:gridCol w:w="910"/>
        <w:gridCol w:w="80"/>
      </w:tblGrid>
      <w:tr>
        <w:trPr/>
        <w:tc>
          <w:tcPr>
            <w:tcW w:w="25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5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Trade 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7,044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7,706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5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57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(362</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5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receivables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accounts receivable, net</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7,948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8,186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maintains an allowance for credit losses to provide for the estimated amount of receivables that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collected. To estimate the allowance for credit losses the Company applied the loss-rate method using relevant available information including historical write-off activity and current conditions. The allowance for credit losses is measured on a pooled basis when similar risk characteristics exist. When assessing whether to measure certain financial assets on a pooled basis, the Company considered various risk characteristics, including industry and risk characteristics of the customer. When a specific customer exhibits unique risk characteristics, such as significant deterioration in financial condition or other indicators that it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shares similar risk characteristics with the collective pool, that receivable is evaluated individually. Expected credit losses for individually evaluated receivables are measured based on expected cash recoveries, and any resulting specific reserves are included in the allowance for credit losses. Write-offs of accounts receivable are recorded to the allowance for credit losses. Any subsequent recoveries of previously written off balances are recorded as a reduction to credit loss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change in the allowance for credit losses consisted of the following:</w:t>
      </w:r>
    </w:p>
    <w:p>
      <w:pPr>
        <w:pStyle w:val="TextBody"/>
        <w:bidi w:val="0"/>
        <w:spacing w:before="0" w:after="0"/>
        <w:ind w:left="0" w:right="0" w:hanging="0"/>
        <w:jc w:val="left"/>
        <w:rPr/>
      </w:pPr>
      <w:r>
        <w:rPr/>
        <w:t> </w:t>
      </w:r>
    </w:p>
    <w:tbl>
      <w:tblPr>
        <w:tblW w:w="6663" w:type="dxa"/>
        <w:jc w:val="left"/>
        <w:tblInd w:w="0" w:type="dxa"/>
        <w:tblLayout w:type="fixed"/>
        <w:tblCellMar>
          <w:top w:w="0" w:type="dxa"/>
          <w:left w:w="0" w:type="dxa"/>
          <w:bottom w:w="0" w:type="dxa"/>
          <w:right w:w="0" w:type="dxa"/>
        </w:tblCellMar>
      </w:tblPr>
      <w:tblGrid>
        <w:gridCol w:w="1730"/>
        <w:gridCol w:w="60"/>
        <w:gridCol w:w="257"/>
        <w:gridCol w:w="815"/>
        <w:gridCol w:w="165"/>
        <w:gridCol w:w="123"/>
        <w:gridCol w:w="257"/>
        <w:gridCol w:w="815"/>
        <w:gridCol w:w="80"/>
        <w:gridCol w:w="60"/>
        <w:gridCol w:w="235"/>
        <w:gridCol w:w="744"/>
        <w:gridCol w:w="150"/>
        <w:gridCol w:w="113"/>
        <w:gridCol w:w="235"/>
        <w:gridCol w:w="744"/>
        <w:gridCol w:w="80"/>
      </w:tblGrid>
      <w:tr>
        <w:trPr/>
        <w:tc>
          <w:tcPr>
            <w:tcW w:w="17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3" w:type="dxa"/>
            <w:tcBorders/>
            <w:shd w:fill="FFFFFF" w:val="clear"/>
            <w:vAlign w:val="center"/>
          </w:tcPr>
          <w:p>
            <w:pPr>
              <w:pStyle w:val="TableContents"/>
              <w:bidi w:val="0"/>
              <w:spacing w:before="0" w:after="0"/>
              <w:ind w:left="0" w:right="0" w:hanging="0"/>
              <w:jc w:val="left"/>
              <w:rPr/>
            </w:pPr>
            <w:r>
              <w:rP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Beginning balance</w:t>
            </w:r>
          </w:p>
        </w:tc>
        <w:tc>
          <w:tcPr>
            <w:tcW w:w="60"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(277</w:t>
            </w:r>
          </w:p>
        </w:tc>
        <w:tc>
          <w:tcPr>
            <w:tcW w:w="16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23"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(362</w:t>
            </w:r>
          </w:p>
        </w:tc>
        <w:tc>
          <w:tcPr>
            <w:tcW w:w="15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13"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(706</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17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estimates</w:t>
            </w:r>
          </w:p>
        </w:tc>
        <w:tc>
          <w:tcPr>
            <w:tcW w:w="60" w:type="dxa"/>
            <w:tcBorders/>
            <w:shd w:fill="FFFFFF" w:val="clear"/>
            <w:vAlign w:val="center"/>
          </w:tcPr>
          <w:p>
            <w:pPr>
              <w:pStyle w:val="TableContents"/>
              <w:bidi w:val="0"/>
              <w:spacing w:before="0" w:after="0"/>
              <w:ind w:left="0" w:right="0" w:hanging="0"/>
              <w:jc w:val="left"/>
              <w:rPr/>
            </w:pPr>
            <w:r>
              <w:rPr/>
              <w:t> </w:t>
            </w:r>
          </w:p>
        </w:tc>
        <w:tc>
          <w:tcPr>
            <w:tcW w:w="257" w:type="dxa"/>
            <w:tcBorders/>
            <w:shd w:fill="FFFFFF" w:val="clear"/>
            <w:vAlign w:val="center"/>
          </w:tcPr>
          <w:p>
            <w:pPr>
              <w:pStyle w:val="TableContents"/>
              <w:bidi w:val="0"/>
              <w:spacing w:before="0" w:after="0"/>
              <w:ind w:left="0" w:right="0" w:hanging="0"/>
              <w:jc w:val="left"/>
              <w:rPr/>
            </w:pPr>
            <w:r>
              <w:rPr/>
              <w:t> </w:t>
            </w:r>
          </w:p>
        </w:tc>
        <w:tc>
          <w:tcPr>
            <w:tcW w:w="81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w:t>
            </w:r>
          </w:p>
        </w:tc>
        <w:tc>
          <w:tcPr>
            <w:tcW w:w="1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3" w:type="dxa"/>
            <w:tcBorders/>
            <w:shd w:fill="FFFFFF" w:val="clear"/>
            <w:vAlign w:val="center"/>
          </w:tcPr>
          <w:p>
            <w:pPr>
              <w:pStyle w:val="TableContents"/>
              <w:bidi w:val="0"/>
              <w:spacing w:before="0" w:after="0"/>
              <w:ind w:left="0" w:right="0" w:hanging="0"/>
              <w:jc w:val="left"/>
              <w:rPr/>
            </w:pPr>
            <w:r>
              <w:rPr/>
              <w:t> </w:t>
            </w:r>
          </w:p>
        </w:tc>
        <w:tc>
          <w:tcPr>
            <w:tcW w:w="257" w:type="dxa"/>
            <w:tcBorders/>
            <w:shd w:fill="FFFFFF" w:val="clear"/>
            <w:vAlign w:val="center"/>
          </w:tcPr>
          <w:p>
            <w:pPr>
              <w:pStyle w:val="TableContents"/>
              <w:bidi w:val="0"/>
              <w:spacing w:before="0" w:after="0"/>
              <w:ind w:left="0" w:right="0" w:hanging="0"/>
              <w:jc w:val="left"/>
              <w:rPr/>
            </w:pPr>
            <w:r>
              <w:rPr/>
              <w:t> </w:t>
            </w:r>
          </w:p>
        </w:tc>
        <w:tc>
          <w:tcPr>
            <w:tcW w:w="81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(95</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35" w:type="dxa"/>
            <w:tcBorders/>
            <w:shd w:fill="FFFFFF" w:val="clear"/>
            <w:vAlign w:val="center"/>
          </w:tcPr>
          <w:p>
            <w:pPr>
              <w:pStyle w:val="TableContents"/>
              <w:bidi w:val="0"/>
              <w:spacing w:before="0" w:after="0"/>
              <w:ind w:left="0" w:right="0" w:hanging="0"/>
              <w:jc w:val="left"/>
              <w:rPr/>
            </w:pPr>
            <w:r>
              <w:rPr/>
              <w:t> </w:t>
            </w:r>
          </w:p>
        </w:tc>
        <w:tc>
          <w:tcPr>
            <w:tcW w:w="74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w:t>
            </w:r>
          </w:p>
        </w:tc>
        <w:tc>
          <w:tcPr>
            <w:tcW w:w="15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235" w:type="dxa"/>
            <w:tcBorders/>
            <w:shd w:fill="FFFFFF" w:val="clear"/>
            <w:vAlign w:val="center"/>
          </w:tcPr>
          <w:p>
            <w:pPr>
              <w:pStyle w:val="TableContents"/>
              <w:bidi w:val="0"/>
              <w:spacing w:before="0" w:after="0"/>
              <w:ind w:left="0" w:right="0" w:hanging="0"/>
              <w:jc w:val="left"/>
              <w:rPr/>
            </w:pPr>
            <w:r>
              <w:rPr/>
              <w:t> </w:t>
            </w:r>
          </w:p>
        </w:tc>
        <w:tc>
          <w:tcPr>
            <w:tcW w:w="74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(680</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17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Write-offs</w:t>
            </w:r>
          </w:p>
        </w:tc>
        <w:tc>
          <w:tcPr>
            <w:tcW w:w="60"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w:t>
            </w:r>
          </w:p>
        </w:tc>
        <w:tc>
          <w:tcPr>
            <w:tcW w:w="165" w:type="dxa"/>
            <w:tcBorders/>
            <w:shd w:fill="CCEEFF" w:val="clear"/>
            <w:vAlign w:val="center"/>
          </w:tcPr>
          <w:p>
            <w:pPr>
              <w:pStyle w:val="TableContents"/>
              <w:bidi w:val="0"/>
              <w:spacing w:before="0" w:after="0"/>
              <w:ind w:left="0" w:right="0" w:hanging="0"/>
              <w:jc w:val="left"/>
              <w:rPr/>
            </w:pPr>
            <w:r>
              <w:rPr/>
              <w:t> </w:t>
            </w:r>
          </w:p>
        </w:tc>
        <w:tc>
          <w:tcPr>
            <w:tcW w:w="123"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w:t>
            </w:r>
          </w:p>
        </w:tc>
        <w:tc>
          <w:tcPr>
            <w:tcW w:w="15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17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Collections/Other</w:t>
            </w:r>
          </w:p>
        </w:tc>
        <w:tc>
          <w:tcPr>
            <w:tcW w:w="60" w:type="dxa"/>
            <w:tcBorders/>
            <w:shd w:fill="FFFF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23" w:type="dxa"/>
            <w:tcBorders/>
            <w:shd w:fill="FFFF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 w:type="dxa"/>
            <w:tcBorders/>
            <w:shd w:fill="FFFFFF" w:val="clear"/>
            <w:vAlign w:val="center"/>
          </w:tcPr>
          <w:p>
            <w:pPr>
              <w:pStyle w:val="TableContents"/>
              <w:bidi w:val="0"/>
              <w:spacing w:before="0" w:after="0"/>
              <w:ind w:left="0" w:right="0" w:hanging="0"/>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Ending balance</w:t>
            </w:r>
          </w:p>
        </w:tc>
        <w:tc>
          <w:tcPr>
            <w:tcW w:w="60" w:type="dxa"/>
            <w:tcBorders/>
            <w:shd w:fill="CCEEFF" w:val="clear"/>
            <w:vAlign w:val="center"/>
          </w:tcPr>
          <w:p>
            <w:pPr>
              <w:pStyle w:val="TableContents"/>
              <w:bidi w:val="0"/>
              <w:spacing w:before="0" w:after="0"/>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w:t>
            </w:r>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23" w:type="dxa"/>
            <w:tcBorders/>
            <w:shd w:fill="CCEEFF" w:val="clear"/>
            <w:vAlign w:val="center"/>
          </w:tcPr>
          <w:p>
            <w:pPr>
              <w:pStyle w:val="TableContents"/>
              <w:bidi w:val="0"/>
              <w:spacing w:before="0" w:after="0"/>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w:t>
            </w:r>
          </w:p>
        </w:tc>
        <w:tc>
          <w:tcPr>
            <w:tcW w:w="1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 w:type="dxa"/>
            <w:tcBorders/>
            <w:shd w:fill="CCEEFF" w:val="clear"/>
            <w:vAlign w:val="center"/>
          </w:tcPr>
          <w:p>
            <w:pPr>
              <w:pStyle w:val="TableContents"/>
              <w:bidi w:val="0"/>
              <w:spacing w:before="0" w:after="0"/>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Inventories comprised the following:</w:t>
      </w:r>
    </w:p>
    <w:p>
      <w:pPr>
        <w:pStyle w:val="TextBody"/>
        <w:bidi w:val="0"/>
        <w:spacing w:before="0" w:after="0"/>
        <w:ind w:left="0" w:right="0" w:hanging="0"/>
        <w:jc w:val="left"/>
        <w:rPr/>
      </w:pPr>
      <w:r>
        <w:rPr/>
        <w:t> </w:t>
      </w:r>
    </w:p>
    <w:tbl>
      <w:tblPr>
        <w:tblW w:w="5273" w:type="dxa"/>
        <w:jc w:val="left"/>
        <w:tblInd w:w="0" w:type="dxa"/>
        <w:tblLayout w:type="fixed"/>
        <w:tblCellMar>
          <w:top w:w="0" w:type="dxa"/>
          <w:left w:w="0" w:type="dxa"/>
          <w:bottom w:w="0" w:type="dxa"/>
          <w:right w:w="0" w:type="dxa"/>
        </w:tblCellMar>
      </w:tblPr>
      <w:tblGrid>
        <w:gridCol w:w="3125"/>
        <w:gridCol w:w="60"/>
        <w:gridCol w:w="126"/>
        <w:gridCol w:w="598"/>
        <w:gridCol w:w="80"/>
        <w:gridCol w:w="60"/>
        <w:gridCol w:w="199"/>
        <w:gridCol w:w="945"/>
        <w:gridCol w:w="80"/>
      </w:tblGrid>
      <w:tr>
        <w:trPr/>
        <w:tc>
          <w:tcPr>
            <w:tcW w:w="31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15,277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25,314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1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Work-in-process</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9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9,450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10,790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1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Allowance for inventory obsolescence</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(2,721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(3,652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12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inventories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22,769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33,324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and the Company maintains an allowance for excess and obsolete inventory that is based upon assumptions about future demand and market conditions. The allowance for excess and obsolete inventory is subject to increase based on changes in estimates and other factors and decrease based on sales of products and disposals.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LEASES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leases its distribution centers and manufacturing facilities from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under various non-cancelable lease agreements expiring at various dates through </w:t>
      </w:r>
      <w:r>
        <w:rPr>
          <w:rStyle w:val="Emphasis"/>
          <w:rFonts w:ascii="Times New Roman" w:hAnsi="Times New Roman"/>
          <w:caps w:val="false"/>
          <w:smallCaps w:val="false"/>
          <w:sz w:val="20"/>
        </w:rPr>
        <w:t>2038.</w:t>
      </w:r>
      <w:r>
        <w:rPr>
          <w:rFonts w:ascii="Times New Roman" w:hAnsi="Times New Roman"/>
          <w:caps w:val="false"/>
          <w:smallCaps w:val="false"/>
          <w:sz w:val="20"/>
        </w:rPr>
        <w:t xml:space="preserve"> Also, the Company leases some property, plant and equipment under finance leases. Certain leases contain escalation provisions and/or renewal options, giving the Company the right to extend the leases by up to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years. However, these options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reflected in the calculation of the ROU assets and lease liabilities due to uncertainty surrounding the likelihood of renewal. The Company recognizes operating lease costs over the respective lease periods, including short-term and month-to-month leases. The Company incurred operating lease costs of $2,184 and $4,428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respectively. The Company incurred operating lease costs of $2,415 and $4,799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respectively. These costs are included primarily within SG&amp;A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has operating subleases and logistics agreements which have been accounted for by reference to the underlying asset subject to the lease, primarily as an offset to rent expense, primarily within SG&amp;A.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recorded sublease and logistics income of $1,704 and $3,051,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Company recorded sublease and logistics income of $1,110 and $2,298,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ROU assets, finance lease assets, and lease liabilities were as follows:</w:t>
      </w:r>
    </w:p>
    <w:p>
      <w:pPr>
        <w:pStyle w:val="TextBody"/>
        <w:bidi w:val="0"/>
        <w:spacing w:before="0" w:after="0"/>
        <w:ind w:left="0" w:right="0" w:hanging="0"/>
        <w:jc w:val="left"/>
        <w:rPr/>
      </w:pPr>
      <w:r>
        <w:rPr/>
        <w:t> </w:t>
      </w:r>
    </w:p>
    <w:tbl>
      <w:tblPr>
        <w:tblW w:w="7653" w:type="dxa"/>
        <w:jc w:val="left"/>
        <w:tblInd w:w="0" w:type="dxa"/>
        <w:tblLayout w:type="fixed"/>
        <w:tblCellMar>
          <w:top w:w="0" w:type="dxa"/>
          <w:left w:w="0" w:type="dxa"/>
          <w:bottom w:w="0" w:type="dxa"/>
          <w:right w:w="0" w:type="dxa"/>
        </w:tblCellMar>
      </w:tblPr>
      <w:tblGrid>
        <w:gridCol w:w="1790"/>
        <w:gridCol w:w="60"/>
        <w:gridCol w:w="3695"/>
        <w:gridCol w:w="60"/>
        <w:gridCol w:w="126"/>
        <w:gridCol w:w="598"/>
        <w:gridCol w:w="60"/>
        <w:gridCol w:w="60"/>
        <w:gridCol w:w="199"/>
        <w:gridCol w:w="945"/>
        <w:gridCol w:w="60"/>
      </w:tblGrid>
      <w:tr>
        <w:trPr/>
        <w:tc>
          <w:tcPr>
            <w:tcW w:w="17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 Classification</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Lease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31,419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37,765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Finance lease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6,238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6,575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lease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37,657</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44,340</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9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Current portion of operating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7,666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7,543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Current portion of finance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9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Long-term operating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28,425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32,800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Long-term finance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7,143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7,381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43,694</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48,179</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aggregate future minimum lease payments under long-term non-cancelable operating and finance leases with remaining terms greater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are as follows:</w:t>
      </w:r>
    </w:p>
    <w:p>
      <w:pPr>
        <w:pStyle w:val="TextBody"/>
        <w:bidi w:val="0"/>
        <w:spacing w:before="0" w:after="0"/>
        <w:ind w:left="0" w:right="0" w:hanging="0"/>
        <w:jc w:val="left"/>
        <w:rPr/>
      </w:pPr>
      <w:r>
        <w:rPr/>
        <w:t> </w:t>
      </w:r>
    </w:p>
    <w:tbl>
      <w:tblPr>
        <w:tblW w:w="6105" w:type="dxa"/>
        <w:jc w:val="left"/>
        <w:tblInd w:w="0" w:type="dxa"/>
        <w:tblLayout w:type="fixed"/>
        <w:tblCellMar>
          <w:top w:w="0" w:type="dxa"/>
          <w:left w:w="0" w:type="dxa"/>
          <w:bottom w:w="0" w:type="dxa"/>
          <w:right w:w="0" w:type="dxa"/>
        </w:tblCellMar>
      </w:tblPr>
      <w:tblGrid>
        <w:gridCol w:w="4250"/>
        <w:gridCol w:w="60"/>
        <w:gridCol w:w="150"/>
        <w:gridCol w:w="710"/>
        <w:gridCol w:w="80"/>
        <w:gridCol w:w="60"/>
        <w:gridCol w:w="125"/>
        <w:gridCol w:w="590"/>
        <w:gridCol w:w="80"/>
      </w:tblGrid>
      <w:tr>
        <w:trPr/>
        <w:tc>
          <w:tcPr>
            <w:tcW w:w="42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Operating</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Finance</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For the period of July 1, 2026 to December 31, 2026</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418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9,163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8,635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5,776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2030</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4,653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838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2031</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3,637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5,524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lease payments</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40,368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10,112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portion representing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(4,277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(2,509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25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principal</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36,091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7,603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current portion</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(7,666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25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Long-term portion</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28,425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7,143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PROPERTY, PLANT AND EQUIPMENT,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Property, plant and equipment, net comprised the following:</w:t>
      </w:r>
    </w:p>
    <w:p>
      <w:pPr>
        <w:pStyle w:val="TextBody"/>
        <w:bidi w:val="0"/>
        <w:spacing w:before="0" w:after="0"/>
        <w:ind w:left="0" w:right="0" w:hanging="0"/>
        <w:jc w:val="left"/>
        <w:rPr/>
      </w:pPr>
      <w:r>
        <w:rPr/>
        <w:t> </w:t>
      </w:r>
    </w:p>
    <w:tbl>
      <w:tblPr>
        <w:tblW w:w="5639" w:type="dxa"/>
        <w:jc w:val="left"/>
        <w:tblInd w:w="0" w:type="dxa"/>
        <w:tblLayout w:type="fixed"/>
        <w:tblCellMar>
          <w:top w:w="0" w:type="dxa"/>
          <w:left w:w="0" w:type="dxa"/>
          <w:bottom w:w="0" w:type="dxa"/>
          <w:right w:w="0" w:type="dxa"/>
        </w:tblCellMar>
      </w:tblPr>
      <w:tblGrid>
        <w:gridCol w:w="3440"/>
        <w:gridCol w:w="60"/>
        <w:gridCol w:w="125"/>
        <w:gridCol w:w="650"/>
        <w:gridCol w:w="80"/>
        <w:gridCol w:w="60"/>
        <w:gridCol w:w="184"/>
        <w:gridCol w:w="960"/>
        <w:gridCol w:w="80"/>
      </w:tblGrid>
      <w:tr>
        <w:trPr/>
        <w:tc>
          <w:tcPr>
            <w:tcW w:w="34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23,141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23,577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Peat bogs and related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12,413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12,828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Building and improvements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96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8,917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4,093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3,398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96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3,721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Computer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3,044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490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Gross property, plant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53,677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56,710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(27,290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(26,376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44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property, plant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26,387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30,334</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Depreciation, depletion and amortization expense related to property, plant and equipment, net was $988 and $2,019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respectively. Depreciation, depletion and amortization expense related to property, plant and equipment, net was $1,481 and $2,857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respectively. As noted in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 </w:t>
      </w:r>
      <w:r>
        <w:rPr>
          <w:rFonts w:ascii="Times New Roman" w:hAnsi="Times New Roman"/>
          <w:i/>
          <w:caps w:val="false"/>
          <w:smallCaps w:val="false"/>
          <w:sz w:val="20"/>
        </w:rPr>
        <w:t>Intangible Assets, Net</w:t>
      </w:r>
      <w:r>
        <w:rPr>
          <w:rFonts w:ascii="Times New Roman" w:hAnsi="Times New Roman"/>
          <w:caps w:val="false"/>
          <w:smallCaps w:val="false"/>
          <w:sz w:val="20"/>
        </w:rPr>
        <w:t xml:space="preserve">, the Company recorded impairment charges of $3,784 for property, plant, and equipment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impairment charges were primarily related to Leasehold improvements, Land, and Building and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Land, Building and improvements and Computer equipment, contain finance leases assets, recorded at cost of $9,623, less accumulated depreciation of $3,385.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Land, Building and improvements, Computer equipment, and Machinery and equipment contain finance leases assets, recorded at cost of $9,817, less accumulated depreciation of $3,242.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Company operates peat bogs in Alberta, Canada. Under current provincial laws the Company is subject to certain AROs and the remediation of the peat bog sites are under provincial oversight. The Company periodically evaluates expected remediation costs associated with the peat bog sites that it operates. When the Company concludes that it is probable that a liability has been incurred, a provision is made for management's estimate of the liability.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had AROs of $156 and $170, respectively, recorded in Accrued expenses and other current liabilities on the condensed consolidated balance sheets.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had AROs of $4,584 and $4,668, respectively, recorded in other long-term liabilities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changes in AROs for the following periods:</w:t>
      </w:r>
    </w:p>
    <w:p>
      <w:pPr>
        <w:pStyle w:val="TextBody"/>
        <w:bidi w:val="0"/>
        <w:spacing w:before="0" w:after="0"/>
        <w:ind w:left="0" w:right="0" w:hanging="0"/>
        <w:jc w:val="left"/>
        <w:rPr/>
      </w:pPr>
      <w:r>
        <w:rPr/>
        <w:t> </w:t>
      </w:r>
    </w:p>
    <w:tbl>
      <w:tblPr>
        <w:tblW w:w="7684" w:type="dxa"/>
        <w:jc w:val="left"/>
        <w:tblInd w:w="0" w:type="dxa"/>
        <w:tblLayout w:type="fixed"/>
        <w:tblCellMar>
          <w:top w:w="0" w:type="dxa"/>
          <w:left w:w="0" w:type="dxa"/>
          <w:bottom w:w="0" w:type="dxa"/>
          <w:right w:w="0" w:type="dxa"/>
        </w:tblCellMar>
      </w:tblPr>
      <w:tblGrid>
        <w:gridCol w:w="2750"/>
        <w:gridCol w:w="60"/>
        <w:gridCol w:w="223"/>
        <w:gridCol w:w="868"/>
        <w:gridCol w:w="143"/>
        <w:gridCol w:w="107"/>
        <w:gridCol w:w="223"/>
        <w:gridCol w:w="868"/>
        <w:gridCol w:w="80"/>
        <w:gridCol w:w="60"/>
        <w:gridCol w:w="204"/>
        <w:gridCol w:w="793"/>
        <w:gridCol w:w="130"/>
        <w:gridCol w:w="98"/>
        <w:gridCol w:w="204"/>
        <w:gridCol w:w="793"/>
        <w:gridCol w:w="80"/>
      </w:tblGrid>
      <w:tr>
        <w:trPr/>
        <w:tc>
          <w:tcPr>
            <w:tcW w:w="27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beginning of the period</w:t>
            </w:r>
          </w:p>
        </w:tc>
        <w:tc>
          <w:tcPr>
            <w:tcW w:w="60"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4,783</w:t>
            </w:r>
          </w:p>
        </w:tc>
        <w:tc>
          <w:tcPr>
            <w:tcW w:w="143"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4,549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4,838</w:t>
            </w:r>
          </w:p>
        </w:tc>
        <w:tc>
          <w:tcPr>
            <w:tcW w:w="130"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4,516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Liabilities incurred in the period</w:t>
            </w:r>
          </w:p>
        </w:tc>
        <w:tc>
          <w:tcPr>
            <w:tcW w:w="6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868" w:type="dxa"/>
            <w:tcBorders/>
            <w:shd w:fill="FFFFFF" w:val="clear"/>
            <w:vAlign w:val="center"/>
          </w:tcPr>
          <w:p>
            <w:pPr>
              <w:pStyle w:val="TableContents"/>
              <w:bidi w:val="0"/>
              <w:spacing w:before="0" w:after="0"/>
              <w:ind w:left="0" w:right="0" w:hanging="0"/>
              <w:jc w:val="right"/>
              <w:rPr/>
            </w:pPr>
            <w:r>
              <w:rPr/>
              <w:t>—</w:t>
            </w:r>
          </w:p>
        </w:tc>
        <w:tc>
          <w:tcPr>
            <w:tcW w:w="143"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8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793" w:type="dxa"/>
            <w:tcBorders/>
            <w:shd w:fill="FFFFFF" w:val="clear"/>
            <w:vAlign w:val="center"/>
          </w:tcPr>
          <w:p>
            <w:pPr>
              <w:pStyle w:val="TableContents"/>
              <w:bidi w:val="0"/>
              <w:spacing w:before="0" w:after="0"/>
              <w:ind w:left="0" w:right="0" w:hanging="0"/>
              <w:jc w:val="right"/>
              <w:rPr/>
            </w:pPr>
            <w:r>
              <w:rPr/>
              <w:t>—</w:t>
            </w:r>
          </w:p>
        </w:tc>
        <w:tc>
          <w:tcPr>
            <w:tcW w:w="130"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79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Liabilities settled in the period</w:t>
            </w:r>
          </w:p>
        </w:tc>
        <w:tc>
          <w:tcPr>
            <w:tcW w:w="60"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w:t>
            </w:r>
          </w:p>
        </w:tc>
        <w:tc>
          <w:tcPr>
            <w:tcW w:w="143"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w:t>
            </w:r>
          </w:p>
        </w:tc>
        <w:tc>
          <w:tcPr>
            <w:tcW w:w="13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8"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7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Accretion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8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w:t>
            </w:r>
          </w:p>
        </w:tc>
        <w:tc>
          <w:tcPr>
            <w:tcW w:w="143"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8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79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w:t>
            </w:r>
          </w:p>
        </w:tc>
        <w:tc>
          <w:tcPr>
            <w:tcW w:w="130"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79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7"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(176</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8"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75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end of the period</w:t>
            </w:r>
          </w:p>
        </w:tc>
        <w:tc>
          <w:tcPr>
            <w:tcW w:w="60" w:type="dxa"/>
            <w:tcBorders/>
            <w:shd w:fill="FFFFFF" w:val="clear"/>
            <w:vAlign w:val="center"/>
          </w:tcPr>
          <w:p>
            <w:pPr>
              <w:pStyle w:val="TableContents"/>
              <w:bidi w:val="0"/>
              <w:spacing w:before="0" w:after="0"/>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4,740</w:t>
            </w:r>
          </w:p>
        </w:tc>
        <w:tc>
          <w:tcPr>
            <w:tcW w:w="14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4,847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4,740</w:t>
            </w:r>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4,847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sz w:val="20"/>
        </w:rPr>
        <w:t xml:space="preserve">The Company notes that peat bogs and corresponding AROs were sold in conjunction with the Aurora Peat Products business. Refer to Note </w:t>
      </w:r>
      <w:r>
        <w:rPr>
          <w:rStyle w:val="Emphasis"/>
          <w:rFonts w:ascii="Times New Roman" w:hAnsi="Times New Roman"/>
          <w:sz w:val="20"/>
        </w:rPr>
        <w:t>17</w:t>
      </w:r>
      <w:r>
        <w:rPr>
          <w:rFonts w:ascii="Times New Roman" w:hAnsi="Times New Roman"/>
          <w:sz w:val="20"/>
        </w:rPr>
        <w:t xml:space="preserve"> – </w:t>
      </w:r>
      <w:r>
        <w:rPr>
          <w:rFonts w:ascii="Times New Roman" w:hAnsi="Times New Roman"/>
          <w:i/>
          <w:sz w:val="20"/>
        </w:rPr>
        <w:t>Subsequent Events</w:t>
      </w:r>
      <w:r>
        <w:rPr>
          <w:rFonts w:ascii="Times New Roman" w:hAnsi="Times New Roman"/>
          <w:sz w:val="20"/>
        </w:rPr>
        <w:t xml:space="preserve"> for further details.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ACCRUED EXPENSES AND OTHER CURRENT LIABILITIES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Accrued expenses and other current liabilities comprised the following:</w:t>
      </w:r>
    </w:p>
    <w:p>
      <w:pPr>
        <w:pStyle w:val="TextBody"/>
        <w:bidi w:val="0"/>
        <w:spacing w:before="0" w:after="0"/>
        <w:ind w:left="0" w:right="0" w:hanging="0"/>
        <w:jc w:val="left"/>
        <w:rPr/>
      </w:pPr>
      <w:r>
        <w:rPr/>
        <w:t> </w:t>
      </w:r>
    </w:p>
    <w:tbl>
      <w:tblPr>
        <w:tblW w:w="6463" w:type="dxa"/>
        <w:jc w:val="left"/>
        <w:tblInd w:w="0" w:type="dxa"/>
        <w:tblLayout w:type="fixed"/>
        <w:tblCellMar>
          <w:top w:w="0" w:type="dxa"/>
          <w:left w:w="0" w:type="dxa"/>
          <w:bottom w:w="0" w:type="dxa"/>
          <w:right w:w="0" w:type="dxa"/>
        </w:tblCellMar>
      </w:tblPr>
      <w:tblGrid>
        <w:gridCol w:w="4355"/>
        <w:gridCol w:w="60"/>
        <w:gridCol w:w="126"/>
        <w:gridCol w:w="598"/>
        <w:gridCol w:w="60"/>
        <w:gridCol w:w="60"/>
        <w:gridCol w:w="234"/>
        <w:gridCol w:w="910"/>
        <w:gridCol w:w="60"/>
      </w:tblGrid>
      <w:tr>
        <w:trPr/>
        <w:tc>
          <w:tcPr>
            <w:tcW w:w="43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Accrued compensation and benefits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2,096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accrual</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9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8,258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1,902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Freight, custom and duty accrual</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Goods in transit accrual</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9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tax accrual</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9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accrued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2,587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2,366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13,914</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7,688</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DEBT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Debt is comprised of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114"/>
        <w:gridCol w:w="60"/>
        <w:gridCol w:w="125"/>
        <w:gridCol w:w="695"/>
        <w:gridCol w:w="60"/>
        <w:gridCol w:w="60"/>
        <w:gridCol w:w="152"/>
        <w:gridCol w:w="857"/>
        <w:gridCol w:w="82"/>
      </w:tblGrid>
      <w:tr>
        <w:trPr/>
        <w:tc>
          <w:tcPr>
            <w:tcW w:w="811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11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81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Term Loan - principal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1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Term Loan - unamortized discount and deferred financing costs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(2,576</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811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Term Loan - net of unamortized discount and deferred financing costs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111,818</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11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8114"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debt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114,459</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111,903</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811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857"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1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portion of long-term debt - net of unamortized discount and deferred financing costs of zero and $2,576 as of June 30, 2026, and December 31, 2025, respectively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111,853</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11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8114"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debt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114,459</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111,903</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Term Loan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25, 2021, </w:t>
      </w:r>
      <w:r>
        <w:rPr>
          <w:rFonts w:ascii="Times New Roman" w:hAnsi="Times New Roman"/>
          <w:caps w:val="false"/>
          <w:smallCaps w:val="false"/>
          <w:sz w:val="20"/>
        </w:rPr>
        <w:t xml:space="preserve">the Company and certain of its direct and indirect subsidiaries (the “Obligors”) entered into a Credit and Guaranty Agreement with JPMorgan Chase Bank, N.A., as administrative agent for the lenders (the “Lenders”), pursuant to which the Company borrowed a $125,000 senior secured term loan (the “Term Loan”). The Term Loan was amended by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the Credit and Guaranty Agreement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effective on </w:t>
      </w:r>
      <w:r>
        <w:rPr>
          <w:rStyle w:val="Emphasis"/>
          <w:rFonts w:ascii="Times New Roman" w:hAnsi="Times New Roman"/>
          <w:caps w:val="false"/>
          <w:smallCaps w:val="false"/>
          <w:sz w:val="20"/>
        </w:rPr>
        <w:t xml:space="preserve">June 27, 2023, </w:t>
      </w:r>
      <w:r>
        <w:rPr>
          <w:rFonts w:ascii="Times New Roman" w:hAnsi="Times New Roman"/>
          <w:caps w:val="false"/>
          <w:smallCaps w:val="false"/>
          <w:sz w:val="20"/>
        </w:rPr>
        <w:t xml:space="preserve">to replace the London Interbank Offered Rate ("LIBOR") referenced rates with Secured Overnight Financing Rate ("SOFR") referenced rates. Pursuant 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any Term Loan that constitutes a Eurodollar Rate Loan that is outstanding as of the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closing date shall continue until the end of the applicable interest period for such Eurodollar Rate Loan and the provisions of the Term Loan applicable thereto shall continue and remain in effect (notwithstanding the occurrence of the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closing date) until the end of the applicable interest period for such Eurodollar Rate Loan, after which such provisions shall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force or effect. Such Eurodollar Rate Loan shall subsequently either be an ABR Loan or a Term Benchmark Loan. The ABR Loans shall bear interest at the Alternate Base Rate (with a 2.0% floor) plus 4.50%, and Term Benchmark Loans shall bear interest at the Adjusted Term SOFR Rate (with a 1.0% floor), plus 5.50%. The ABR Loan and Term Benchmark Loan credit spreads of 4.50% and 5.50%, respectively, within the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changed from the credit spreads in the original Term Loan. On </w:t>
      </w:r>
      <w:r>
        <w:rPr>
          <w:rStyle w:val="Emphasis"/>
          <w:rFonts w:ascii="Times New Roman" w:hAnsi="Times New Roman"/>
          <w:caps w:val="false"/>
          <w:smallCaps w:val="false"/>
          <w:sz w:val="20"/>
        </w:rPr>
        <w:t xml:space="preserve">February 10, 2026, </w:t>
      </w:r>
      <w:r>
        <w:rPr>
          <w:rFonts w:ascii="Times New Roman" w:hAnsi="Times New Roman"/>
          <w:caps w:val="false"/>
          <w:smallCaps w:val="false"/>
          <w:sz w:val="20"/>
        </w:rPr>
        <w:t xml:space="preserve">JPMorgan issued a notice to the Company and Lenders of its resignation as Administrative Agent and Collateral Agent under the Credit and Guaranty Agreement. Such resignation became effective on </w:t>
      </w:r>
      <w:r>
        <w:rPr>
          <w:rStyle w:val="Emphasis"/>
          <w:rFonts w:ascii="Times New Roman" w:hAnsi="Times New Roman"/>
          <w:caps w:val="false"/>
          <w:smallCaps w:val="false"/>
          <w:sz w:val="20"/>
        </w:rPr>
        <w:t xml:space="preserve">March 12, 2026, </w:t>
      </w:r>
      <w:r>
        <w:rPr>
          <w:rFonts w:ascii="Times New Roman" w:hAnsi="Times New Roman"/>
          <w:caps w:val="false"/>
          <w:smallCaps w:val="false"/>
          <w:sz w:val="20"/>
        </w:rPr>
        <w:t xml:space="preserve">when FEAC Agent, LLC (“FEAC”) was appointed as the successor agent for the Lenders in accordance with Section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of the Credit and Guaranty Agreement. On </w:t>
      </w:r>
      <w:r>
        <w:rPr>
          <w:rStyle w:val="Emphasis"/>
          <w:rFonts w:ascii="Times New Roman" w:hAnsi="Times New Roman"/>
          <w:caps w:val="false"/>
          <w:smallCaps w:val="false"/>
          <w:sz w:val="20"/>
        </w:rPr>
        <w:t xml:space="preserve">April 8, 2026, </w:t>
      </w:r>
      <w:r>
        <w:rPr>
          <w:rFonts w:ascii="Times New Roman" w:hAnsi="Times New Roman"/>
          <w:caps w:val="false"/>
          <w:smallCaps w:val="false"/>
          <w:sz w:val="20"/>
        </w:rPr>
        <w:t xml:space="preserve">the Company, the Lenders and the Agents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to the Credit and Guaranty Agreement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amends the Credit Agreement to, among other things, (i) replace JPMorgan with FEAC as the Agents; and (ii) require each Credit Party to covenant and agree to (A) regularly provide certain liquidity reports and cash flow forecasts, (B) regularly provide certain aging reports and inventory reports, and (C) maintain a minimum liquidity of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matures on </w:t>
      </w:r>
      <w:r>
        <w:rPr>
          <w:rStyle w:val="Emphasis"/>
          <w:rFonts w:ascii="Times New Roman" w:hAnsi="Times New Roman"/>
          <w:caps w:val="false"/>
          <w:smallCaps w:val="false"/>
          <w:sz w:val="20"/>
        </w:rPr>
        <w:t>October 25, 2028 (</w:t>
      </w:r>
      <w:r>
        <w:rPr>
          <w:rFonts w:ascii="Times New Roman" w:hAnsi="Times New Roman"/>
          <w:caps w:val="false"/>
          <w:smallCaps w:val="false"/>
          <w:sz w:val="20"/>
        </w:rPr>
        <w:t xml:space="preserve">"Maturity Date")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a call premium. Deferred financing costs are being amortized to interest expense over the term of the loan.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effective interest rate was 11.74% and interest expense was $3,348.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effective interest rate was 15.98% and interest expense was $9,067, which includes amortization of deferred financing costs and discount of $2,576 triggered by the Specified Event of Default (as defined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principal amount of the Term Loan is required to be repaid in consecutive quarterly installments in amounts equal to 0.25% of the original principal amount of the Term Loan, reduced pro-rata by any additional payments made, on the last day of each fiscal quarter commencing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with the balance of the Term Loan payable on the Maturity Date. The Company is also required to make mandatory prepayments in the event of (i) achieving certain excess cash flow criteria, including the achievement and maintenance of a specific leverage ratio, (ii) certain asset sales that are collateral, or (iii) upon the issuance, offering, or placement of new debt obligations. In accordance with this provision, the Company made prepayments of $4.6 million during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for an asset sale completed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prepayments reduced our required quarterly installment amounts to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for the remaining term.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is secured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lien on the non-working capital assets of the Company and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lien on the working capital assets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4, 2026, </w:t>
      </w:r>
      <w:r>
        <w:rPr>
          <w:rFonts w:ascii="Times New Roman" w:hAnsi="Times New Roman"/>
          <w:caps w:val="false"/>
          <w:smallCaps w:val="false"/>
          <w:sz w:val="20"/>
        </w:rPr>
        <w:t xml:space="preserve">the Company elected to defer making the interest payment of approximately $2.8 million on the Term Loan. As a result of the Company’s failure to pay the interest within the grace period, an event of default occurred with respect to the Term Loan. On </w:t>
      </w:r>
      <w:r>
        <w:rPr>
          <w:rStyle w:val="Emphasis"/>
          <w:rFonts w:ascii="Times New Roman" w:hAnsi="Times New Roman"/>
          <w:caps w:val="false"/>
          <w:smallCaps w:val="false"/>
          <w:sz w:val="20"/>
        </w:rPr>
        <w:t xml:space="preserve">February 11, 2026, </w:t>
      </w:r>
      <w:r>
        <w:rPr>
          <w:rFonts w:ascii="Times New Roman" w:hAnsi="Times New Roman"/>
          <w:caps w:val="false"/>
          <w:smallCaps w:val="false"/>
          <w:sz w:val="20"/>
        </w:rPr>
        <w:t xml:space="preserve">the Lenders, through the administrative agent, notified the Company of such event of default (the “Specified Event of Default”) and informed the Company that the Administrative Agent or the Collateral Agent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exercise any rights and remedies provided under the Credit and Guaranty Agreement and related financing documents, but it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seek to enforce such remedies as of such time. As a result of the Specified Event of Default, the Term Loan was reclassified to current portion of long-term debt from long-term debt and interest began accruing at a rate that is 2% per annum in excess of the interest rate otherwise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8, 2026 (</w:t>
      </w:r>
      <w:r>
        <w:rPr>
          <w:rFonts w:ascii="Times New Roman" w:hAnsi="Times New Roman"/>
          <w:caps w:val="false"/>
          <w:smallCaps w:val="false"/>
          <w:sz w:val="20"/>
        </w:rPr>
        <w:t xml:space="preserve">the “Forbearance Effective Date”), the Company entered into that certain Forbearance Agreement (the “Forbearance Agreement”) with the other Obligors, the Lenders, and FEAC, in connection with the Term Loan. Pursuant to the Forbearance Agreement, from the Forbearance Effective Date to the earliest to occur of (the occurrence of clause (i) or (ii), a “Forbearance Termination Event”): (i) </w:t>
      </w:r>
      <w:r>
        <w:rPr>
          <w:rStyle w:val="Emphasis"/>
          <w:rFonts w:ascii="Times New Roman" w:hAnsi="Times New Roman"/>
          <w:caps w:val="false"/>
          <w:smallCaps w:val="false"/>
          <w:sz w:val="20"/>
        </w:rPr>
        <w:t>April 30, 2026 (</w:t>
      </w:r>
      <w:r>
        <w:rPr>
          <w:rFonts w:ascii="Times New Roman" w:hAnsi="Times New Roman"/>
          <w:caps w:val="false"/>
          <w:smallCaps w:val="false"/>
          <w:sz w:val="20"/>
        </w:rPr>
        <w:t xml:space="preserve">the “Forbearance Outside Date”) provided that the Forbearance Outside Date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extended from time to time in </w:t>
      </w:r>
      <w:r>
        <w:rPr>
          <w:rStyle w:val="Emphasis"/>
          <w:rFonts w:ascii="Times New Roman" w:hAnsi="Times New Roman"/>
          <w:caps w:val="false"/>
          <w:smallCaps w:val="false"/>
          <w:sz w:val="20"/>
        </w:rPr>
        <w:t>fifteen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day increments (or longer) upon written confirmation by the Administrative Agent (including by email); and (ii) the delivery of notice from the Administrative Agent to the Company terminating the Forbearance Period (as defined below), which notice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delivered at any time upon or after (A) the occurrence of any Event of Default (as defined in the Credit Agreement) (other than the Specified Event of Default, under the Credit Agreement or any other Credit Document (as defined in the Credit Agreement)) and (B) the failure of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the Company or any other Obligor to comply with any of the Forbearance Period Requirements set forth in Section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of the Forbearance Agreement; (y) any representation or warranty made by the Company or any other Obligor under or in connection with the forbearance to be true and complete as of the date when made or any other breach of any of such representation or warranty; or (z) the repudiation and/or assertion of any defense by any Obligor with respect to the forbearance or any other Credit Document or the pursuit of any claim by any Obligor against the Agents or any Lender (collectively, the “Forbearance Period”), solely with respect to the Specified Event of Default, neither the Administrative Agent nor any Lender shall, upon the terms and conditions expressly specified therein, take any action, commence any proceedings against any Obligor or any other person with respect to the enforcement of any of its or their rights or remedies under the Credit Documents or applicable law, other than as expressly described in the Forbearance Agreement. The Company, the Lenders, and FEAC agreed to extend the Forbearance Period under the Forbearance Agreement through and including </w:t>
      </w:r>
      <w:r>
        <w:rPr>
          <w:rStyle w:val="Emphasis"/>
          <w:rFonts w:ascii="Times New Roman" w:hAnsi="Times New Roman"/>
          <w:caps w:val="false"/>
          <w:smallCaps w:val="false"/>
          <w:sz w:val="20"/>
        </w:rPr>
        <w:t>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Revolving Credit Facility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29, 2021, </w:t>
      </w:r>
      <w:r>
        <w:rPr>
          <w:rFonts w:ascii="Times New Roman" w:hAnsi="Times New Roman"/>
          <w:caps w:val="false"/>
          <w:smallCaps w:val="false"/>
          <w:sz w:val="20"/>
        </w:rPr>
        <w:t xml:space="preserve">the Obligors entered into a Senior Secured Revolving Credit Facility (the "Revolving Credit Facility") with JPMorgan Chase Bank, N.A., as administrative agent, issuing bank and swingline lender, the other loan parties from time to time party thereto and the lenders from time to time party thereto for a revolving line of credit up to $50,000. The Revolving Credit Facility was due to expire on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or any earlier date on which the revolving commitments are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Revolving Credit Facility originally had a borrowing limit of $50,000. On </w:t>
      </w:r>
      <w:r>
        <w:rPr>
          <w:rStyle w:val="Emphasis"/>
          <w:rFonts w:ascii="Times New Roman" w:hAnsi="Times New Roman"/>
          <w:caps w:val="false"/>
          <w:smallCaps w:val="false"/>
          <w:sz w:val="20"/>
        </w:rPr>
        <w:t xml:space="preserve">August 31, 2021, </w:t>
      </w:r>
      <w:r>
        <w:rPr>
          <w:rFonts w:ascii="Times New Roman" w:hAnsi="Times New Roman"/>
          <w:caps w:val="false"/>
          <w:smallCaps w:val="false"/>
          <w:sz w:val="20"/>
        </w:rPr>
        <w:t xml:space="preserve">the Obligors entered into an amendment to the Revolving Credit Facility (the "First Amendment") to increase their original borrowing limit to $100,000. In connection with the First Amendment, the Company's previously acquired subsidiaries became party to the Revolving Credit Facility as either borrowers or as guarantors. On </w:t>
      </w:r>
      <w:r>
        <w:rPr>
          <w:rStyle w:val="Emphasis"/>
          <w:rFonts w:ascii="Times New Roman" w:hAnsi="Times New Roman"/>
          <w:caps w:val="false"/>
          <w:smallCaps w:val="false"/>
          <w:sz w:val="20"/>
        </w:rPr>
        <w:t xml:space="preserve">October 25, 2021, </w:t>
      </w:r>
      <w:r>
        <w:rPr>
          <w:rFonts w:ascii="Times New Roman" w:hAnsi="Times New Roman"/>
          <w:caps w:val="false"/>
          <w:smallCaps w:val="false"/>
          <w:sz w:val="20"/>
        </w:rPr>
        <w:t xml:space="preserve">the Company and its subsidiaries entered into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amendment to the Revolving Credit Facility (the "Second Amendment"), pursuant to which the parties consented to the Term Loan described above, and made certain conforming changes to comport with the Term Loan provisions. The Revolving Credit Facility was further amended by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amendment and joinder to the Revolving Credit Facility dated </w:t>
      </w:r>
      <w:r>
        <w:rPr>
          <w:rStyle w:val="Emphasis"/>
          <w:rFonts w:ascii="Times New Roman" w:hAnsi="Times New Roman"/>
          <w:caps w:val="false"/>
          <w:smallCaps w:val="false"/>
          <w:sz w:val="20"/>
        </w:rPr>
        <w:t>August 23, 2022 (</w:t>
      </w:r>
      <w:r>
        <w:rPr>
          <w:rFonts w:ascii="Times New Roman" w:hAnsi="Times New Roman"/>
          <w:caps w:val="false"/>
          <w:smallCaps w:val="false"/>
          <w:sz w:val="20"/>
        </w:rPr>
        <w:t xml:space="preserve">the "Third Amendment"), pursuant to which several previously acquired subsidiaries became parties to the Revolving Credit Facility and granted liens on their assets. On </w:t>
      </w:r>
      <w:r>
        <w:rPr>
          <w:rStyle w:val="Emphasis"/>
          <w:rFonts w:ascii="Times New Roman" w:hAnsi="Times New Roman"/>
          <w:caps w:val="false"/>
          <w:smallCaps w:val="false"/>
          <w:sz w:val="20"/>
        </w:rPr>
        <w:t xml:space="preserve">December 22, 2022, </w:t>
      </w:r>
      <w:r>
        <w:rPr>
          <w:rFonts w:ascii="Times New Roman" w:hAnsi="Times New Roman"/>
          <w:caps w:val="false"/>
          <w:smallCaps w:val="false"/>
          <w:sz w:val="20"/>
        </w:rPr>
        <w:t xml:space="preserve">the Company entered into a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amendment to the Revolving Credit Facility (the "Fourth Amendment") pursuant to which a sale-leaseback transaction was permitted, and certain other changes were made, including a reduction of the maximum commitment amount under the Revolving Credit Facility from $100,000 to $75,000 and transitioning the LIBOR based rates to SOFR based rates. On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the Company and certain of its subsidiaries entered into a </w:t>
      </w:r>
      <w:r>
        <w:rPr>
          <w:rStyle w:val="Emphasis"/>
          <w:rFonts w:ascii="Times New Roman" w:hAnsi="Times New Roman"/>
          <w:caps w:val="false"/>
          <w:smallCaps w:val="false"/>
          <w:sz w:val="20"/>
        </w:rPr>
        <w:t>fifth</w:t>
      </w:r>
      <w:r>
        <w:rPr>
          <w:rFonts w:ascii="Times New Roman" w:hAnsi="Times New Roman"/>
          <w:caps w:val="false"/>
          <w:smallCaps w:val="false"/>
          <w:sz w:val="20"/>
        </w:rPr>
        <w:t xml:space="preserve"> amendment to the Revolving Credit Facility (the “Fifth Amendment”) pursuant to which the maturity date was extended to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maximum commitment amount under the Revolving Credit Facility was reduced to $55,000, and the interest rate on borrowings was revised to various spreads, based on the Company's fixed charge coverage ratio. On </w:t>
      </w:r>
      <w:r>
        <w:rPr>
          <w:rStyle w:val="Emphasis"/>
          <w:rFonts w:ascii="Times New Roman" w:hAnsi="Times New Roman"/>
          <w:caps w:val="false"/>
          <w:smallCaps w:val="false"/>
          <w:sz w:val="20"/>
        </w:rPr>
        <w:t xml:space="preserve">November 1, 2024, </w:t>
      </w:r>
      <w:r>
        <w:rPr>
          <w:rFonts w:ascii="Times New Roman" w:hAnsi="Times New Roman"/>
          <w:caps w:val="false"/>
          <w:smallCaps w:val="false"/>
          <w:sz w:val="20"/>
        </w:rPr>
        <w:t xml:space="preserve">the Company and certain of its subsidiaries entered into a </w:t>
      </w:r>
      <w:r>
        <w:rPr>
          <w:rStyle w:val="Emphasis"/>
          <w:rFonts w:ascii="Times New Roman" w:hAnsi="Times New Roman"/>
          <w:caps w:val="false"/>
          <w:smallCaps w:val="false"/>
          <w:sz w:val="20"/>
        </w:rPr>
        <w:t>sixth</w:t>
      </w:r>
      <w:r>
        <w:rPr>
          <w:rFonts w:ascii="Times New Roman" w:hAnsi="Times New Roman"/>
          <w:caps w:val="false"/>
          <w:smallCaps w:val="false"/>
          <w:sz w:val="20"/>
        </w:rPr>
        <w:t xml:space="preserve"> amendment to the Revolving Credit Facility (the “Sixth Amendment”) which reduced the maximum commitment amount under the Revolving Credit Facility to $35,000. On </w:t>
      </w:r>
      <w:r>
        <w:rPr>
          <w:rStyle w:val="Emphasis"/>
          <w:rFonts w:ascii="Times New Roman" w:hAnsi="Times New Roman"/>
          <w:caps w:val="false"/>
          <w:smallCaps w:val="false"/>
          <w:sz w:val="20"/>
        </w:rPr>
        <w:t xml:space="preserve">May 9, 2025, </w:t>
      </w:r>
      <w:r>
        <w:rPr>
          <w:rFonts w:ascii="Times New Roman" w:hAnsi="Times New Roman"/>
          <w:caps w:val="false"/>
          <w:smallCaps w:val="false"/>
          <w:sz w:val="20"/>
        </w:rPr>
        <w:t xml:space="preserve">the Company and certain of its subsidiaries entered into a </w:t>
      </w:r>
      <w:r>
        <w:rPr>
          <w:rStyle w:val="Emphasis"/>
          <w:rFonts w:ascii="Times New Roman" w:hAnsi="Times New Roman"/>
          <w:caps w:val="false"/>
          <w:smallCaps w:val="false"/>
          <w:sz w:val="20"/>
        </w:rPr>
        <w:t>seventh</w:t>
      </w:r>
      <w:r>
        <w:rPr>
          <w:rFonts w:ascii="Times New Roman" w:hAnsi="Times New Roman"/>
          <w:caps w:val="false"/>
          <w:smallCaps w:val="false"/>
          <w:sz w:val="20"/>
        </w:rPr>
        <w:t xml:space="preserve"> amendment to the Revolving Credit Facility (the “Seventh Amendment”), pursuant to which the maturity date of the Revolving Credit Facility was extended from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 xml:space="preserve">the maximum commitment amount under the Revolving Credit Facility was reduced from $35,000 to $22,000, and certain other changes were made, including the addition of a $2,000 availability block, an increase of the cash dominion trigger from less than 10% of availability to less than 50% of availability, and an increase of the fixed charge ratio trigger from less than 10% excess availability to less than 20% of excess availability. The foregoing description of the Seventh Amendment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purport to be complete and is qualified in its entirety by reference to the Seventh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unamortized debt discount and deferred financing costs were $209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and are included in other assets in the condensed consolidated balance sheets. Debt discount and deferred financing costs were being amortized to interest expense over the term of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Revolving Credit Facility was an asset-based facility that was secured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priority lien on the working capital assets of the Company and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priority lien on the non-working capital assets of the Company (including most of the Company’s subsidiaries). The borrowing base was based on a detailed monthly calculation of the sum of (a) a percentage of the Eligible Accounts at such time, plus (b) the lesser of (i) a percentage of the Eligible Inventory, at such time, valued at the lower of cost or market value, determined on a </w:t>
      </w:r>
      <w:r>
        <w:rPr>
          <w:rStyle w:val="Emphasis"/>
          <w:rFonts w:ascii="Times New Roman" w:hAnsi="Times New Roman"/>
          <w:caps w:val="false"/>
          <w:smallCaps w:val="false"/>
          <w:sz w:val="20"/>
        </w:rPr>
        <w:t>first</w:t>
      </w:r>
      <w:r>
        <w:rPr>
          <w:rFonts w:ascii="Times New Roman" w:hAnsi="Times New Roman"/>
          <w:caps w:val="false"/>
          <w:smallCaps w:val="false"/>
          <w:sz w:val="20"/>
        </w:rPr>
        <w:t>-in-</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and (ii) the product of a percentage multiplied by the Net Orderly Liquidation Value percentage identified in the most recent inventory appraisal ordered by the Administrative Agent multiplied by the Eligible Inventory, valued at the lower of cost or market value, determined on a </w:t>
      </w:r>
      <w:r>
        <w:rPr>
          <w:rStyle w:val="Emphasis"/>
          <w:rFonts w:ascii="Times New Roman" w:hAnsi="Times New Roman"/>
          <w:caps w:val="false"/>
          <w:smallCaps w:val="false"/>
          <w:sz w:val="20"/>
        </w:rPr>
        <w:t>first</w:t>
      </w:r>
      <w:r>
        <w:rPr>
          <w:rFonts w:ascii="Times New Roman" w:hAnsi="Times New Roman"/>
          <w:caps w:val="false"/>
          <w:smallCaps w:val="false"/>
          <w:sz w:val="20"/>
        </w:rPr>
        <w:t>-in-</w:t>
      </w:r>
      <w:r>
        <w:rPr>
          <w:rStyle w:val="Emphasis"/>
          <w:rFonts w:ascii="Times New Roman" w:hAnsi="Times New Roman"/>
          <w:caps w:val="false"/>
          <w:smallCaps w:val="false"/>
          <w:sz w:val="20"/>
        </w:rPr>
        <w:t>first</w:t>
      </w:r>
      <w:r>
        <w:rPr>
          <w:rFonts w:ascii="Times New Roman" w:hAnsi="Times New Roman"/>
          <w:caps w:val="false"/>
          <w:smallCaps w:val="false"/>
          <w:sz w:val="20"/>
        </w:rPr>
        <w:t>-out basis, minus (c) Reserves (each of the defined terms above, as defined in the Revolving Credit Facility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was required to maintain certain reporting requirements, affirmative covenants and negative covenants, pursuant to terms outlined in the agreement. Additionally, if the Company’s Excess Availability was less than an amount equal to 20% of the Aggregate Revolving Commitment, the Company was required to maintain a minimum fixed charge coverage ratio of 1.1x on a rolling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 basis until the Excess Availability was more than 20% of the Aggregate Revolving Commitment for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consecutive days (each of the defined terms above, as defined in the Revolving Credit Facility documents). In order to consummate permitted acquisitions or to make restricted payments, the Company was required to comply with a higher fixed charge coverage ratio of 1.15x.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Revolving Credit Facility provided for various interest rate options including the Adjusted Term SOFR Rate, the Adjusted </w:t>
      </w:r>
      <w:r>
        <w:rPr>
          <w:rStyle w:val="Emphasis"/>
          <w:rFonts w:ascii="Times New Roman" w:hAnsi="Times New Roman"/>
          <w:caps w:val="false"/>
          <w:smallCaps w:val="false"/>
          <w:sz w:val="20"/>
        </w:rPr>
        <w:t>REVSOFR30</w:t>
      </w:r>
      <w:r>
        <w:rPr>
          <w:rFonts w:ascii="Times New Roman" w:hAnsi="Times New Roman"/>
          <w:caps w:val="false"/>
          <w:smallCaps w:val="false"/>
          <w:sz w:val="20"/>
        </w:rPr>
        <w:t xml:space="preserve"> Rate, the CB Floating Rate, the Adjusted Daily Simple SOFR, or the CBFR. The rates that use SOFR as the reference rate (Adjusted Term SOFR Rate, the Adjusted </w:t>
      </w:r>
      <w:r>
        <w:rPr>
          <w:rStyle w:val="Emphasis"/>
          <w:rFonts w:ascii="Times New Roman" w:hAnsi="Times New Roman"/>
          <w:caps w:val="false"/>
          <w:smallCaps w:val="false"/>
          <w:sz w:val="20"/>
        </w:rPr>
        <w:t>REVSOFR30</w:t>
      </w:r>
      <w:r>
        <w:rPr>
          <w:rFonts w:ascii="Times New Roman" w:hAnsi="Times New Roman"/>
          <w:caps w:val="false"/>
          <w:smallCaps w:val="false"/>
          <w:sz w:val="20"/>
        </w:rPr>
        <w:t xml:space="preserve"> Rate, the Adjusted Daily Simple SOFR and the CBFR rate) use the Term SOFR Rate plus 1.95%. Each rate had a 0.0% floor. A fee of 0.40% per annum was charged for available but unused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had zero borrowed under the facility.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17, 2026, </w:t>
      </w:r>
      <w:r>
        <w:rPr>
          <w:rFonts w:ascii="Times New Roman" w:hAnsi="Times New Roman"/>
          <w:caps w:val="false"/>
          <w:smallCaps w:val="false"/>
          <w:sz w:val="20"/>
        </w:rPr>
        <w:t>the Company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Other Debt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Other debt of $65 and $85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 was primarily comprised of a foreign subsidiary's other debt which constitutes an immaterial revolving line of credit and mortgage.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Loss on debt extinguishment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loss on debt extinguishment of $191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resulting primarily from the write-off of the Revolving Credit Facility's unamortized debt discount and deferred financing costs at the time of the Termination Agreement, are presented in other (expense) income, net on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Aggregate future principal payments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aggregate future principal payments under long-term debt are as follows:</w:t>
      </w:r>
    </w:p>
    <w:p>
      <w:pPr>
        <w:pStyle w:val="TextBody"/>
        <w:bidi w:val="0"/>
        <w:spacing w:before="0" w:after="0"/>
        <w:ind w:left="0" w:right="0" w:hanging="0"/>
        <w:jc w:val="left"/>
        <w:rPr/>
      </w:pPr>
      <w:r>
        <w:rPr/>
        <w:t> </w:t>
      </w:r>
    </w:p>
    <w:tbl>
      <w:tblPr>
        <w:tblW w:w="5190" w:type="dxa"/>
        <w:jc w:val="left"/>
        <w:tblInd w:w="0" w:type="dxa"/>
        <w:tblLayout w:type="fixed"/>
        <w:tblCellMar>
          <w:top w:w="0" w:type="dxa"/>
          <w:left w:w="0" w:type="dxa"/>
          <w:bottom w:w="0" w:type="dxa"/>
          <w:right w:w="0" w:type="dxa"/>
        </w:tblCellMar>
      </w:tblPr>
      <w:tblGrid>
        <w:gridCol w:w="4250"/>
        <w:gridCol w:w="60"/>
        <w:gridCol w:w="125"/>
        <w:gridCol w:w="695"/>
        <w:gridCol w:w="60"/>
      </w:tblGrid>
      <w:tr>
        <w:trPr/>
        <w:tc>
          <w:tcPr>
            <w:tcW w:w="42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Debt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For the period of July 1, 2026 to December 31, 2026</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114,410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2029</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114,459</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Each holder of common stock is entitled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vote for each share of common stock. Common stockholders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pre-emptive rights to acquire additional shares of common stock or other securities. The common stock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redemption rights and carries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subscription or conversion rights. In the event of liquidation, the stockholders are entitled to share in corporate assets on a pro rata basis after the Company satisfies all liabilities and after provision is made for any class of capital stock having preference over the common stock. Subject to corporate regulations and preferences to preferred stock, if any, dividends are at the discretion of the board of directors.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there were 4,814,612 shares outstanding and 300,000,000 shares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STOCK-BASED COMPENSATION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Stock-based compensation plan overview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maintains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equity incentive plans: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Employee, Director and Consultant Equity Incentive Plan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Employee, Director, and Consultant Equity Incentive Plan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and collectively, “Incentive Plans”).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serves as the successor to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and provides for the issuance of incentive stock options ("ISOs"), nonqualified stock options, stock grants and stock-based awards to employees, directors, and consultants of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awards will be issued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 total of 191,044 shares were available for grant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Incentive Plans are administered by the Company's board of directors. Notwithstanding the foregoing, the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delegate concurrent responsibility for administering each plan, including with respect to designated classes of persons eligible to receive an award under each plan, to a committee or committees (which term shall include subcommittees) consisting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members of the board of directors (collectively, the “Plan Administrator”), subject to such limitations as the board of directors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2020, </w:t>
      </w:r>
      <w:r>
        <w:rPr>
          <w:rFonts w:ascii="Times New Roman" w:hAnsi="Times New Roman"/>
          <w:caps w:val="false"/>
          <w:smallCaps w:val="false"/>
          <w:sz w:val="20"/>
        </w:rPr>
        <w:t xml:space="preserve">the board of directors and stockholders approved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and reserved an aggregate of 228,405 shares of common stock for issuance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Pursuant to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the number of shares available for issuance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increased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year, beginning on </w:t>
      </w:r>
      <w:r>
        <w:rPr>
          <w:rStyle w:val="Emphasis"/>
          <w:rFonts w:ascii="Times New Roman" w:hAnsi="Times New Roman"/>
          <w:caps w:val="false"/>
          <w:smallCaps w:val="false"/>
          <w:sz w:val="20"/>
        </w:rPr>
        <w:t xml:space="preserve">January 1, 2021,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 xml:space="preserve">January 2, 2030, </w:t>
      </w:r>
      <w:r>
        <w:rPr>
          <w:rFonts w:ascii="Times New Roman" w:hAnsi="Times New Roman"/>
          <w:caps w:val="false"/>
          <w:smallCaps w:val="false"/>
          <w:sz w:val="20"/>
        </w:rPr>
        <w:t xml:space="preserve">in an amount equal to the lesser of (i) 4% of the outstanding shares of the Company’s common stock on such date or (ii) such number of shares determined by the Plan Administrator. The Plan Administrator determined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increase the number of shares available for issuance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for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provides for the grant of ISOs, nonqualified stock options, stock grants, and stock-based awards that are based in whole or in part by reference to the Company’s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Plan Administrator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options designated as ISOs or nonqualified stock options. Options shall be granted with an exercise price per share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100% of the fair market value of the common stock on the grant date, subject to certain limitations and exceptions as described in the plan agreements. Generally, the maximum term of an option shall be 10 years from the grant date. The Plan Administrator shall establish and set forth in each instrument that evidences an option the time at which, or the installments in which, the option shall vest and become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Plan Administrator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stock grants and stock-based awards, including securities convertible into shares, stock appreciation rights, phantom stock awards or stock units on such terms and conditions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based on continuous service with the Company or a related company or the achievement of any performance goals, as the Plan Administrator shall determine in its sole discretion, which terms, conditions and restrictions shall be set forth in the instrument evidencing the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tax benefits recognized in the condensed consolidated statements of operations for stock-based compensation arrangements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Restricted Stock Unit Activity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RSUs granted to certain executives, employees and members of the board of directors expire 10 years after the grant date. The awards generally have a time-based vesting requirement (based on continuous employment). Upon vesting, the RSUs convert into shares of the Company's common stock. The stock-based compensation expense related to service-based awards is recorded over the requisite service period.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granted 120,000 RSU awards to directors that are expected to vest on the one-year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following table summarizes the activity related to the Company's RSUs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For purposes of this table, vested RSUs represent the shares for which the service condition had been fulfilled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4443" w:type="dxa"/>
        <w:jc w:val="left"/>
        <w:tblInd w:w="0" w:type="dxa"/>
        <w:tblLayout w:type="fixed"/>
        <w:tblCellMar>
          <w:top w:w="0" w:type="dxa"/>
          <w:left w:w="0" w:type="dxa"/>
          <w:bottom w:w="0" w:type="dxa"/>
          <w:right w:w="0" w:type="dxa"/>
        </w:tblCellMar>
      </w:tblPr>
      <w:tblGrid>
        <w:gridCol w:w="2420"/>
        <w:gridCol w:w="60"/>
        <w:gridCol w:w="65"/>
        <w:gridCol w:w="824"/>
        <w:gridCol w:w="80"/>
        <w:gridCol w:w="60"/>
        <w:gridCol w:w="215"/>
        <w:gridCol w:w="659"/>
        <w:gridCol w:w="60"/>
      </w:tblGrid>
      <w:tr>
        <w:trPr/>
        <w:tc>
          <w:tcPr>
            <w:tcW w:w="24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RSUs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179,151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120,000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0.92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(137,832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4.13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161,319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2.46</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total unamortized stock-based compensation cost related to unvested RSUs was $242 and the weighted-average period over which the compensation is expected to be recognized is less than one year.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recognized $145 and $312, respectively, of total stock-based compensation expense for RSUs.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60,000 RSUs that vested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issued due to the recipients' elections to defer the conversion into common stock, and the Company settled 79,249 previously deferred RSUs.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there were 137,460 RSUs which had vested, 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issued due to the recipients'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Performance Stock Unit Activity</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did not grant, vest, or transact in any PSUs. PSUs were granted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which vested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less forfeitures due to employee terminations and performance conditions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There were no PSUs outstanding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or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 Options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There were no stock options granted or exercised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following table summarizes the stock option activity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8383" w:type="dxa"/>
        <w:jc w:val="left"/>
        <w:tblInd w:w="0" w:type="dxa"/>
        <w:tblLayout w:type="fixed"/>
        <w:tblCellMar>
          <w:top w:w="0" w:type="dxa"/>
          <w:left w:w="0" w:type="dxa"/>
          <w:bottom w:w="0" w:type="dxa"/>
          <w:right w:w="0" w:type="dxa"/>
        </w:tblCellMar>
      </w:tblPr>
      <w:tblGrid>
        <w:gridCol w:w="4520"/>
        <w:gridCol w:w="60"/>
        <w:gridCol w:w="62"/>
        <w:gridCol w:w="618"/>
        <w:gridCol w:w="80"/>
        <w:gridCol w:w="60"/>
        <w:gridCol w:w="167"/>
        <w:gridCol w:w="648"/>
        <w:gridCol w:w="60"/>
        <w:gridCol w:w="60"/>
        <w:gridCol w:w="179"/>
        <w:gridCol w:w="695"/>
        <w:gridCol w:w="60"/>
        <w:gridCol w:w="60"/>
        <w:gridCol w:w="135"/>
        <w:gridCol w:w="859"/>
        <w:gridCol w:w="60"/>
      </w:tblGrid>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48"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Outstanding and exercisable as of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61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28,074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97.54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Cancelled</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(1,690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98.17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43.52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859"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Outstanding and exercisable as of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26,384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3.06</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each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there were no unvested stock awards, and no compensation cost related to options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recognized. To the extent there are unvested stock option awards, the vesting of stock options is subject to certain change in control provisions as provided in the incentive plan agreements and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exercised up to 10 years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INCOME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recorded income tax benefits of $225 and $333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representing effective tax rates of 2.1% and 1.3%, respectively. The Company’s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differ from the federal statutory rate of 21% primarily due to U.S. and foreign jurisdictions in full valuation allowance. The income tax benefit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primarily due to certain benefits in Canadian jurisdictions, partially offset by foreign taxes in Spain and U.S.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recorded income tax benefits of $98 and $16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representing effective tax rates of 0.6% and 0.1%, respectively. The Company’s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differ from the federal statutory rate of 21% primarily due to U.S. and foreign jurisdictions in full valuation allowance. The income tax benefit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primarily due to certain benefits in Canadian jurisdictions, partially offset by foreign taxes in Spain and U.S. state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COMMITMENTS AND CONTINGENCIES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Purchase commitments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in the normal course of business, the Company will enter into agreements with suppliers which provide favorable pricing in return for a commitment to purchase minimum amounts of inventory over a defined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Contingencies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normal course of business, certain claims have been brought against the Company and, where applicable, its suppliers. While there is inherent difficulty in predicting the outcome of such matters, management has vigorously contested the validity of these claims. Based on available information,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that the outcome of any matters, individually or in the aggregate, would have a material adverse effect on the condensed consolidated financial position, results of operations, cash flows or future earnings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2020, </w:t>
      </w:r>
      <w:r>
        <w:rPr>
          <w:rFonts w:ascii="Times New Roman" w:hAnsi="Times New Roman"/>
          <w:caps w:val="false"/>
          <w:smallCaps w:val="false"/>
          <w:sz w:val="20"/>
        </w:rPr>
        <w:t xml:space="preserve">Aurora Innovations LLC (“Aurora Innovations”), obtained a loan in the principal aggregate amount of approximately $782 pursuant to the </w:t>
      </w:r>
      <w:r>
        <w:rPr>
          <w:rFonts w:ascii="Times New Roman" w:hAnsi="Times New Roman"/>
          <w:i/>
          <w:caps w:val="false"/>
          <w:smallCaps w:val="false"/>
          <w:sz w:val="20"/>
        </w:rPr>
        <w:t>Paycheck</w:t>
      </w:r>
      <w:r>
        <w:rPr>
          <w:rFonts w:ascii="Times New Roman" w:hAnsi="Times New Roman"/>
          <w:caps w:val="false"/>
          <w:smallCaps w:val="false"/>
          <w:sz w:val="20"/>
        </w:rPr>
        <w:t xml:space="preserve"> </w:t>
      </w:r>
      <w:r>
        <w:rPr>
          <w:rFonts w:ascii="Times New Roman" w:hAnsi="Times New Roman"/>
          <w:i/>
          <w:caps w:val="false"/>
          <w:smallCaps w:val="false"/>
          <w:sz w:val="20"/>
        </w:rPr>
        <w:t>Protection</w:t>
      </w:r>
      <w:r>
        <w:rPr>
          <w:rFonts w:ascii="Times New Roman" w:hAnsi="Times New Roman"/>
          <w:caps w:val="false"/>
          <w:smallCaps w:val="false"/>
          <w:sz w:val="20"/>
        </w:rPr>
        <w:t xml:space="preserve"> </w:t>
      </w:r>
      <w:r>
        <w:rPr>
          <w:rFonts w:ascii="Times New Roman" w:hAnsi="Times New Roman"/>
          <w:i/>
          <w:caps w:val="false"/>
          <w:smallCaps w:val="false"/>
          <w:sz w:val="20"/>
        </w:rPr>
        <w:t>Program</w:t>
      </w:r>
      <w:r>
        <w:rPr>
          <w:rFonts w:ascii="Times New Roman" w:hAnsi="Times New Roman"/>
          <w:caps w:val="false"/>
          <w:smallCaps w:val="false"/>
          <w:sz w:val="20"/>
        </w:rPr>
        <w:t xml:space="preserve"> under the CARES Act (the “Aurora PPP Loan”), which was forgiven in full, by the Small Business Administration (the "SBA"), in </w:t>
      </w:r>
      <w:r>
        <w:rPr>
          <w:rStyle w:val="Emphasis"/>
          <w:rFonts w:ascii="Times New Roman" w:hAnsi="Times New Roman"/>
          <w:caps w:val="false"/>
          <w:smallCaps w:val="false"/>
          <w:sz w:val="20"/>
        </w:rPr>
        <w:t>June 2021.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2021, </w:t>
      </w:r>
      <w:r>
        <w:rPr>
          <w:rFonts w:ascii="Times New Roman" w:hAnsi="Times New Roman"/>
          <w:caps w:val="false"/>
          <w:smallCaps w:val="false"/>
          <w:sz w:val="20"/>
        </w:rPr>
        <w:t xml:space="preserve">the Company acquired Aurora Innovations pursuant to the terms of that certain Securities Purchase Agreement, dated as of </w:t>
      </w:r>
      <w:r>
        <w:rPr>
          <w:rStyle w:val="Emphasis"/>
          <w:rFonts w:ascii="Times New Roman" w:hAnsi="Times New Roman"/>
          <w:caps w:val="false"/>
          <w:smallCaps w:val="false"/>
          <w:sz w:val="20"/>
        </w:rPr>
        <w:t xml:space="preserve">June 17, 2021, </w:t>
      </w:r>
      <w:r>
        <w:rPr>
          <w:rFonts w:ascii="Times New Roman" w:hAnsi="Times New Roman"/>
          <w:caps w:val="false"/>
          <w:smallCaps w:val="false"/>
          <w:sz w:val="20"/>
        </w:rPr>
        <w:t xml:space="preserve">by and among the Company, Gotham Properties LLC, Aurora Innovations Inc., Aurora International, Inc., and certain equity holders party thereto. In </w:t>
      </w:r>
      <w:r>
        <w:rPr>
          <w:rStyle w:val="Emphasis"/>
          <w:rFonts w:ascii="Times New Roman" w:hAnsi="Times New Roman"/>
          <w:caps w:val="false"/>
          <w:smallCaps w:val="false"/>
          <w:sz w:val="20"/>
        </w:rPr>
        <w:t xml:space="preserve">April 2020, </w:t>
      </w:r>
      <w:r>
        <w:rPr>
          <w:rFonts w:ascii="Times New Roman" w:hAnsi="Times New Roman"/>
          <w:caps w:val="false"/>
          <w:smallCaps w:val="false"/>
          <w:sz w:val="20"/>
        </w:rPr>
        <w:t xml:space="preserve">Innovative Growers Equipment, Inc., Innovative AG Installation, Inc., and Innovative Racking Systems, Inc. (collectively, the “IGE Entities”), obtained loans in the principal aggregate amount of approximately $444 pursuant to the </w:t>
      </w:r>
      <w:r>
        <w:rPr>
          <w:rFonts w:ascii="Times New Roman" w:hAnsi="Times New Roman"/>
          <w:i/>
          <w:caps w:val="false"/>
          <w:smallCaps w:val="false"/>
          <w:sz w:val="20"/>
        </w:rPr>
        <w:t>Paycheck</w:t>
      </w:r>
      <w:r>
        <w:rPr>
          <w:rFonts w:ascii="Times New Roman" w:hAnsi="Times New Roman"/>
          <w:caps w:val="false"/>
          <w:smallCaps w:val="false"/>
          <w:sz w:val="20"/>
        </w:rPr>
        <w:t xml:space="preserve"> </w:t>
      </w:r>
      <w:r>
        <w:rPr>
          <w:rFonts w:ascii="Times New Roman" w:hAnsi="Times New Roman"/>
          <w:i/>
          <w:caps w:val="false"/>
          <w:smallCaps w:val="false"/>
          <w:sz w:val="20"/>
        </w:rPr>
        <w:t>Protection</w:t>
      </w:r>
      <w:r>
        <w:rPr>
          <w:rFonts w:ascii="Times New Roman" w:hAnsi="Times New Roman"/>
          <w:caps w:val="false"/>
          <w:smallCaps w:val="false"/>
          <w:sz w:val="20"/>
        </w:rPr>
        <w:t xml:space="preserve"> </w:t>
      </w:r>
      <w:r>
        <w:rPr>
          <w:rFonts w:ascii="Times New Roman" w:hAnsi="Times New Roman"/>
          <w:i/>
          <w:caps w:val="false"/>
          <w:smallCaps w:val="false"/>
          <w:sz w:val="20"/>
        </w:rPr>
        <w:t>Program</w:t>
      </w:r>
      <w:r>
        <w:rPr>
          <w:rFonts w:ascii="Times New Roman" w:hAnsi="Times New Roman"/>
          <w:caps w:val="false"/>
          <w:smallCaps w:val="false"/>
          <w:sz w:val="20"/>
        </w:rPr>
        <w:t xml:space="preserve"> under the CARES Act (the “IGE PPP Loans” together with the Aurora PPP Loan, the “PPP Loans”), which were forgiven in full, by the SBA, in </w:t>
      </w:r>
      <w:r>
        <w:rPr>
          <w:rStyle w:val="Emphasis"/>
          <w:rFonts w:ascii="Times New Roman" w:hAnsi="Times New Roman"/>
          <w:caps w:val="false"/>
          <w:smallCaps w:val="false"/>
          <w:sz w:val="20"/>
        </w:rPr>
        <w:t>May 2021.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Company acquired the IGE Entities pursuant to the terms of that certain Stock Purchase and Contribution Agreement, dated as of </w:t>
      </w:r>
      <w:r>
        <w:rPr>
          <w:rStyle w:val="Emphasis"/>
          <w:rFonts w:ascii="Times New Roman" w:hAnsi="Times New Roman"/>
          <w:caps w:val="false"/>
          <w:smallCaps w:val="false"/>
          <w:sz w:val="20"/>
        </w:rPr>
        <w:t xml:space="preserve">October 25, 2021, </w:t>
      </w:r>
      <w:r>
        <w:rPr>
          <w:rFonts w:ascii="Times New Roman" w:hAnsi="Times New Roman"/>
          <w:caps w:val="false"/>
          <w:smallCaps w:val="false"/>
          <w:sz w:val="20"/>
        </w:rPr>
        <w:t xml:space="preserve">by and among the Company, Christopher Mayer, and Bruce Zierk. The Company received Civil Investigative Demands dated </w:t>
      </w:r>
      <w:r>
        <w:rPr>
          <w:rStyle w:val="Emphasis"/>
          <w:rFonts w:ascii="Times New Roman" w:hAnsi="Times New Roman"/>
          <w:caps w:val="false"/>
          <w:smallCaps w:val="false"/>
          <w:sz w:val="20"/>
        </w:rPr>
        <w:t xml:space="preserve">July 15, 2025, </w:t>
      </w:r>
      <w:r>
        <w:rPr>
          <w:rFonts w:ascii="Times New Roman" w:hAnsi="Times New Roman"/>
          <w:caps w:val="false"/>
          <w:smallCaps w:val="false"/>
          <w:sz w:val="20"/>
        </w:rPr>
        <w:t xml:space="preserve">pursuant to the False Claims Act, </w:t>
      </w:r>
      <w:r>
        <w:rPr>
          <w:rStyle w:val="Emphasis"/>
          <w:rFonts w:ascii="Times New Roman" w:hAnsi="Times New Roman"/>
          <w:caps w:val="false"/>
          <w:smallCaps w:val="false"/>
          <w:sz w:val="20"/>
        </w:rPr>
        <w:t>31</w:t>
      </w:r>
      <w:r>
        <w:rPr>
          <w:rFonts w:ascii="Times New Roman" w:hAnsi="Times New Roman"/>
          <w:caps w:val="false"/>
          <w:smallCaps w:val="false"/>
          <w:sz w:val="20"/>
        </w:rPr>
        <w:t xml:space="preserve"> U.S.C </w:t>
      </w:r>
      <w:r>
        <w:rPr>
          <w:rStyle w:val="Emphasis"/>
          <w:rFonts w:ascii="Times New Roman" w:hAnsi="Times New Roman"/>
          <w:caps w:val="false"/>
          <w:smallCaps w:val="false"/>
          <w:sz w:val="20"/>
        </w:rPr>
        <w:t>3729</w:t>
      </w:r>
      <w:r>
        <w:rPr>
          <w:rFonts w:ascii="Times New Roman" w:hAnsi="Times New Roman"/>
          <w:caps w:val="false"/>
          <w:smallCaps w:val="false"/>
          <w:sz w:val="20"/>
        </w:rPr>
        <w:t>-</w:t>
      </w:r>
      <w:r>
        <w:rPr>
          <w:rStyle w:val="Emphasis"/>
          <w:rFonts w:ascii="Times New Roman" w:hAnsi="Times New Roman"/>
          <w:caps w:val="false"/>
          <w:smallCaps w:val="false"/>
          <w:sz w:val="20"/>
        </w:rPr>
        <w:t>3733,</w:t>
      </w:r>
      <w:r>
        <w:rPr>
          <w:rFonts w:ascii="Times New Roman" w:hAnsi="Times New Roman"/>
          <w:caps w:val="false"/>
          <w:smallCaps w:val="false"/>
          <w:sz w:val="20"/>
        </w:rPr>
        <w:t xml:space="preserve"> regarding an investigation to determine whether the original entities were eligible for the aforementioned PPP Loans if their products were in fact used to support the use, growth, enhancement or development of cannabis. At this stage, the Civil Investigative Demands are only requests for information which the Company has provided. The False Claims Act allows for the Department of Justice to recoup any PPP loans as well as potential treble damages for any violation. At this time, the Company cannot assess the likely outcome of the investigations. The Company is continuing to cooperate with the inquiries, and at this time, there has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formal demand for return of the PPP Loan proceeds,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formal claim or lawsuit has been initiated against the Company.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FAIR VALUE MEASUREMENTS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Recurring and Nonrecurring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described in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 </w:t>
      </w:r>
      <w:r>
        <w:rPr>
          <w:rFonts w:ascii="Times New Roman" w:hAnsi="Times New Roman"/>
          <w:i/>
          <w:caps w:val="false"/>
          <w:smallCaps w:val="false"/>
          <w:sz w:val="20"/>
        </w:rPr>
        <w:t>Restructuring and Asset Sales</w:t>
      </w:r>
      <w:r>
        <w:rPr>
          <w:rFonts w:ascii="Times New Roman" w:hAnsi="Times New Roman"/>
          <w:caps w:val="false"/>
          <w:smallCaps w:val="false"/>
          <w:sz w:val="20"/>
        </w:rPr>
        <w:t xml:space="preserve">, during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subsequent to the end of the fiscal quarter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the Company sold approximately 38 acres of the 120 acres of excess owned land at the Goshen, New York location. The sale price less costs to sell, in the amount of $1,415, was less than the net carrying value of the property, plant and equipment, and the Company recorded a $77 loss in SG&amp;A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described in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 </w:t>
      </w:r>
      <w:r>
        <w:rPr>
          <w:rFonts w:ascii="Times New Roman" w:hAnsi="Times New Roman"/>
          <w:i/>
          <w:caps w:val="false"/>
          <w:smallCaps w:val="false"/>
          <w:sz w:val="20"/>
        </w:rPr>
        <w:t>Intangible Assets, Net</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a result of industry conditions, primarily attributable to an agricultural oversupply impacting our market and resulting in a decrease in indoor and outdoor cultivation, as well as continued declines in operating cash flows and profitability, the Company assessed long-lived assets for impairment and recorded an impairment charge of $232,179. Of the impairment charge, $228,395 was related to finite-lived intangible assets and $3,784 was related to property, plant, and equipment. The Company estimated fair value based on the income approach and market approach. Under the income approach, the Company estimated the fair value of the asset group on the present value of estimated future cash flows, which the Company considered to be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 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other assets or liabilities that were remeasured to fair value on a recurring or nonrecurring basis during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Other Fair Value Measurements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following table summarizes the fair value of the Company’s assets and liabilities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which are provided for disclosure purposes:</w:t>
      </w:r>
    </w:p>
    <w:p>
      <w:pPr>
        <w:pStyle w:val="TextBody"/>
        <w:bidi w:val="0"/>
        <w:spacing w:before="0" w:after="0"/>
        <w:ind w:left="0" w:right="0" w:hanging="0"/>
        <w:jc w:val="left"/>
        <w:rPr/>
      </w:pPr>
      <w:r>
        <w:rPr/>
        <w:t> </w:t>
      </w:r>
    </w:p>
    <w:tbl>
      <w:tblPr>
        <w:tblW w:w="8486" w:type="dxa"/>
        <w:jc w:val="left"/>
        <w:tblInd w:w="0" w:type="dxa"/>
        <w:tblLayout w:type="fixed"/>
        <w:tblCellMar>
          <w:top w:w="0" w:type="dxa"/>
          <w:left w:w="0" w:type="dxa"/>
          <w:bottom w:w="0" w:type="dxa"/>
          <w:right w:w="0" w:type="dxa"/>
        </w:tblCellMar>
      </w:tblPr>
      <w:tblGrid>
        <w:gridCol w:w="3410"/>
        <w:gridCol w:w="1355"/>
        <w:gridCol w:w="23"/>
        <w:gridCol w:w="125"/>
        <w:gridCol w:w="695"/>
        <w:gridCol w:w="23"/>
        <w:gridCol w:w="23"/>
        <w:gridCol w:w="191"/>
        <w:gridCol w:w="743"/>
        <w:gridCol w:w="23"/>
        <w:gridCol w:w="23"/>
        <w:gridCol w:w="129"/>
        <w:gridCol w:w="720"/>
        <w:gridCol w:w="23"/>
        <w:gridCol w:w="23"/>
        <w:gridCol w:w="163"/>
        <w:gridCol w:w="771"/>
        <w:gridCol w:w="23"/>
      </w:tblGrid>
      <w:tr>
        <w:trPr/>
        <w:tc>
          <w:tcPr>
            <w:tcW w:w="3410" w:type="dxa"/>
            <w:tcBorders/>
            <w:vAlign w:val="center"/>
          </w:tcPr>
          <w:p>
            <w:pPr>
              <w:pStyle w:val="TableContents"/>
              <w:bidi w:val="0"/>
              <w:spacing w:before="0" w:after="0"/>
              <w:jc w:val="left"/>
              <w:rPr/>
            </w:pPr>
            <w:r>
              <w:rPr/>
              <w:t>​</w:t>
            </w:r>
          </w:p>
        </w:tc>
        <w:tc>
          <w:tcPr>
            <w:tcW w:w="135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2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23" w:type="dxa"/>
            <w:tcBorders/>
            <w:vAlign w:val="center"/>
          </w:tcPr>
          <w:p>
            <w:pPr>
              <w:pStyle w:val="TableContents"/>
              <w:bidi w:val="0"/>
              <w:spacing w:before="0" w:after="0"/>
              <w:ind w:left="0" w:right="0" w:hanging="0"/>
              <w:jc w:val="left"/>
              <w:rPr/>
            </w:pPr>
            <w:r>
              <w:rPr/>
              <w:t>​</w:t>
            </w:r>
          </w:p>
        </w:tc>
      </w:tr>
      <w:tr>
        <w:trPr/>
        <w:tc>
          <w:tcPr>
            <w:tcW w:w="3410" w:type="dxa"/>
            <w:tcBorders/>
            <w:vAlign w:val="center"/>
          </w:tcPr>
          <w:p>
            <w:pPr>
              <w:pStyle w:val="TableContents"/>
              <w:bidi w:val="0"/>
              <w:spacing w:before="0" w:after="0"/>
              <w:jc w:val="left"/>
              <w:rPr/>
            </w:pPr>
            <w:r>
              <w:rPr/>
              <w:t>​</w:t>
            </w:r>
          </w:p>
        </w:tc>
        <w:tc>
          <w:tcPr>
            <w:tcW w:w="1355" w:type="dxa"/>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3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3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23" w:type="dxa"/>
            <w:tcBorders/>
            <w:vAlign w:val="center"/>
          </w:tcPr>
          <w:p>
            <w:pPr>
              <w:pStyle w:val="TableContents"/>
              <w:bidi w:val="0"/>
              <w:spacing w:before="0" w:after="0"/>
              <w:ind w:left="0" w:right="0" w:hanging="0"/>
              <w:jc w:val="left"/>
              <w:rPr/>
            </w:pPr>
            <w:r>
              <w:rPr/>
              <w:t>​</w:t>
            </w:r>
          </w:p>
        </w:tc>
      </w:tr>
      <w:tr>
        <w:trPr/>
        <w:tc>
          <w:tcPr>
            <w:tcW w:w="3410" w:type="dxa"/>
            <w:tcBorders/>
            <w:vAlign w:val="center"/>
          </w:tcPr>
          <w:p>
            <w:pPr>
              <w:pStyle w:val="TableContents"/>
              <w:bidi w:val="0"/>
              <w:spacing w:before="0" w:after="0"/>
              <w:jc w:val="left"/>
              <w:rPr/>
            </w:pPr>
            <w:r>
              <w:rPr/>
              <w:t>​</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Hierarchy Level</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23" w:type="dxa"/>
            <w:tcBorders/>
            <w:vAlign w:val="center"/>
          </w:tcPr>
          <w:p>
            <w:pPr>
              <w:pStyle w:val="TableContents"/>
              <w:bidi w:val="0"/>
              <w:spacing w:before="0" w:after="0"/>
              <w:ind w:left="0" w:right="0" w:hanging="0"/>
              <w:jc w:val="left"/>
              <w:rPr/>
            </w:pPr>
            <w:r>
              <w:rPr/>
              <w:t>​</w:t>
            </w:r>
          </w:p>
        </w:tc>
      </w:tr>
      <w:tr>
        <w:trPr/>
        <w:tc>
          <w:tcPr>
            <w:tcW w:w="341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13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w:t>
            </w:r>
          </w:p>
        </w:tc>
        <w:tc>
          <w:tcPr>
            <w:tcW w:w="135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6,613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6,613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10" w:type="dxa"/>
            <w:tcBorders/>
            <w:shd w:fill="CCEEFF" w:val="clear"/>
            <w:vAlign w:val="center"/>
          </w:tcPr>
          <w:p>
            <w:pPr>
              <w:pStyle w:val="TableContents"/>
              <w:bidi w:val="0"/>
              <w:spacing w:before="0" w:after="0"/>
              <w:jc w:val="left"/>
              <w:rPr/>
            </w:pPr>
            <w:r>
              <w:rPr/>
              <w:t>​</w:t>
            </w:r>
          </w:p>
        </w:tc>
        <w:tc>
          <w:tcPr>
            <w:tcW w:w="13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1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13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1"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pPr>
            <w:r>
              <w:rPr/>
              <w:t>​</w:t>
            </w:r>
          </w:p>
        </w:tc>
        <w:tc>
          <w:tcPr>
            <w:tcW w:w="72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3" w:type="dxa"/>
            <w:tcBorders/>
            <w:shd w:fill="FFFFFF" w:val="clear"/>
            <w:vAlign w:val="center"/>
          </w:tcPr>
          <w:p>
            <w:pPr>
              <w:pStyle w:val="TableContents"/>
              <w:bidi w:val="0"/>
              <w:spacing w:before="0" w:after="0"/>
              <w:ind w:left="0" w:right="0" w:hanging="0"/>
              <w:jc w:val="left"/>
              <w:rPr/>
            </w:pPr>
            <w:r>
              <w:rPr/>
              <w:t>​</w:t>
            </w:r>
          </w:p>
        </w:tc>
        <w:tc>
          <w:tcPr>
            <w:tcW w:w="771"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135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7,603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5,688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8,237</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Term Loan</w:t>
            </w:r>
          </w:p>
        </w:tc>
        <w:tc>
          <w:tcPr>
            <w:tcW w:w="135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1"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b/>
                <w:sz w:val="20"/>
              </w:rPr>
              <w:t>nm</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93,803</w:t>
            </w:r>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and cash equivalents included funds deposited in banks, and the fair values approximated carrying values due to their short-term maturities. The fair values of other current assets and liabilities including accounts receivable, accounts payable, accrued expenses and other current liabilities approximated their carrying value due to their short-term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estimated fair value of finance leases, which were considered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measurements, were calculated as the present value of the required future cash outflows discounted at an estimated borrowing rate.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carrying amount of the Term Loan reported above excludes unamortized debt discount and deferred financing costs of zero and $2,576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The fair value of the Term Loan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was estimated based on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fair value measurements and was based on bank quotes.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due to the Specified Event of Default, the Term Loan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readily available quoted market prices that the Company believes are indicative of fair value. Accordingly,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estimated the fair value of its Term Loan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as such estimates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meaningful or practicable.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Refer to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 </w:t>
      </w:r>
      <w:r>
        <w:rPr>
          <w:rFonts w:ascii="Times New Roman" w:hAnsi="Times New Roman"/>
          <w:i/>
          <w:caps w:val="false"/>
          <w:smallCaps w:val="false"/>
          <w:sz w:val="20"/>
        </w:rPr>
        <w:t>Leases</w:t>
      </w:r>
      <w:r>
        <w:rPr>
          <w:rFonts w:ascii="Times New Roman" w:hAnsi="Times New Roman"/>
          <w:caps w:val="false"/>
          <w:smallCaps w:val="false"/>
          <w:sz w:val="20"/>
        </w:rPr>
        <w:t xml:space="preserve"> and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 </w:t>
      </w:r>
      <w:r>
        <w:rPr>
          <w:rFonts w:ascii="Times New Roman" w:hAnsi="Times New Roman"/>
          <w:i/>
          <w:caps w:val="false"/>
          <w:smallCaps w:val="false"/>
          <w:sz w:val="20"/>
        </w:rPr>
        <w:t>Debt</w:t>
      </w:r>
      <w:r>
        <w:rPr>
          <w:rFonts w:ascii="Times New Roman" w:hAnsi="Times New Roman"/>
          <w:caps w:val="false"/>
          <w:smallCaps w:val="false"/>
          <w:sz w:val="20"/>
        </w:rPr>
        <w:t>, for further details of the Company's finance leases and Term Loan,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transfers between Levels within the fair value hierarchy during the periods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17. SUBSEQUENT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31, 2026 (the “Closing Date”), the Company, through its wholly owned subsidiaries Aurora International, LLC, an Oregon limited liability company (the “Seller”) and Aurora Peat Products ULC, an Alberta unlimited liability corporation, entered into a Share Purchase Agreement (the “Share Purchase Agreement”) with 2817049 Alberta Ltd., an Alberta corporation (the “Buyer”). Pursuant to the terms of the Share Purchase Agreement, Seller sold to Buyer and Buyer purchased from Seller all the issued and outstanding shares of APP for $16 million, subject to adjustments set forth in the Share Purchase Agreement (the “Transaction”). The net proceeds from the Transaction will be applied to reduce outstanding debt, including outstanding interest, under the Term Loan. The Share Purchase Agreement contains customary representations and warranties of the parties, covenants and indemnification provisions. The representations, warranties and covenants contained in the Share Purchase Agreement were made solely for the benefit of the parties to the Share Purchase Agreement and may be subject to limitations agreed upon by the contracting parties. Cash obligations in connection with the close of the Transaction are estimated to be up to $3.1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Share Purchase Agreement, the Seller and Buyer entered into a secured promissory note on the Closing Date, pursuant to which the Buyer issued, in favor of the Seller, a promissory note in the principal amount of $5 million (the “Principal Amount”), representing a deferred portion of the purchase price payable to the Seller under the Share Purchase Agreement. The secured promissory note was assigned to the lenders of the Company's Term Loan.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Share Purchase Agreement, Hydrofarm, LLC and APP entered into a supply agreement on the Closing Date, pursuant to which each of Hydrofarm, LLC and APP will produce and supply certain goods for the other party, subject to the terms and conditions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discussion and analysis provides information that we believe is relevant to an assessment and understanding of our results of operations and financial condition. You should read this analysis in conjunction with our audited and unaudited condensed consolidated financial statements and the notes contained elsewhere in this Quarterly Report on Form 10-Q and our 2025 Annual Report. This discussion and analysis contains statements of a forward-looking nature relating to future events or our future financial performance. Actual events or results may differ materially from forward-looking statements. In evaluating such statements, you should carefully consider the various factors identified in this Quarterly Report on Form 10-Q, which could cause actual results to differ materially from those expressed in, or implied by, any forward-looking statements, including those set forth in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our 2025 Annual Report. See </w:t>
      </w:r>
      <w:r>
        <w:rPr>
          <w:rFonts w:ascii="Times New Roman" w:hAnsi="Times New Roman"/>
          <w:caps w:val="false"/>
          <w:smallCaps w:val="false"/>
          <w:sz w:val="20"/>
        </w:rPr>
        <w:t>“</w:t>
      </w:r>
      <w:r>
        <w:rPr>
          <w:rFonts w:ascii="Times New Roman" w:hAnsi="Times New Roman"/>
          <w:i/>
          <w:caps w:val="false"/>
          <w:smallCaps w:val="false"/>
          <w:sz w:val="20"/>
        </w:rPr>
        <w:t>Special Note Regarding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Company Overview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leading independent manufacturer and distributor of branded hydroponics equipment and supplies for controlled environment agriculture, including grow lights, climate control solutions, grow media and nutrients, as well as a broad portfolio of innovative, proprietary branded products. We primarily serve the U.S. and Canadian markets, and believe we are one of the leading companies in these markets in an otherwise fragmented industry. For over 40 years, we have helped growers make growing easier and more productive. Our mission is to empower growers, farmers and cultivators with products that enable greater quality, efficiency, consistency, and speed in their grow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Hydroponics is the farming of plants using soilless grow media and often artificial lighting in a controlled indoor or greenhouse environment. Hydroponics is the primary category of CEA and we use the terms CEA and hydroponics interchangeably. Our products are used to grow, farm, and cultivate cannabis, flowers, fruits, plants, vegetables, grains, and herbs in controlled environment settings that allow end users to control key farming variables including temperature, humidity, CO</w:t>
      </w:r>
      <w:r>
        <w:rPr>
          <w:rFonts w:ascii="Times New Roman" w:hAnsi="Times New Roman"/>
          <w:caps w:val="false"/>
          <w:smallCaps w:val="false"/>
          <w:position w:val="-2"/>
          <w:sz w:val="16"/>
          <w:sz w:val="20"/>
        </w:rPr>
        <w:t>2</w:t>
      </w:r>
      <w:r>
        <w:rPr>
          <w:rFonts w:ascii="Times New Roman" w:hAnsi="Times New Roman"/>
          <w:caps w:val="false"/>
          <w:smallCaps w:val="false"/>
          <w:sz w:val="20"/>
        </w:rPr>
        <w:t>, light intensity spectrum, nutrient concentration and pH. Through CEA, growers are able to be more efficient with physical space, water and resources, while enjoying year-round and more rapid grow cycles as well as more predictable and abundant grow yields, when compared to other traditional growing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reach commercial farmers and consumers through a broad and diversified network, who we connect with primarily through our proprietary online ordering platform. Our products are distributed across the United States and Canada through a diversified range of retailers of commercial and home gardening equipment and supplies. Our customers include specialty hydroponic retailers, commercial resellers and greenhouse builders, garden centers, hardware stores, and e-commerce retailers. Specialty hydroponic retailers can provide growers with specialized merchandise assortments and knowledgeable staff. Our logistics services business manages the receipt, warehousing, and distribution of multiple customer accounts, leveraging our warehouse space in multiple distribution centers in the U.S. and Canada. These logistics agreements and operating subleases are accounted for as an offset and reduction to facility expense within SG&amp;A.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incurred recurring operating losses, negative cash flows from operations, have significant debt obligations due within the next twelve months due to an event of default on the Company's outstanding Term Loan and are not currently in compliance with certain Nasdaq listing requirements. These conditions and events, considered in the aggregate, raise substantial doubt about our ability to continue as a going concern.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and its Board of Directors are exploring strategic alternatives to strengthen the Company’s liquidity and capital structure. In connection with such process, the Company and its financial advisors have engaged in ongoing discussions with lenders (the “Lenders”) under the Company’s Credit and Guaranty Agreement (as amended, the “Credit and Guaranty Agreement”) with FEAC Agent, LLC (as successor to JPMorgan Chase Bank, N.A.), as administrative agent for the Lenders (“FEAC”), and certain of the Company’s direct and indirect subsidiaries (the “Obligors”), pursuant to which the Company borrowed a $125.0 million senior secured term loan (the “Term Loan”). While these discussions have continued, on February 4, 2026, the Company elected to defer making the interest payment of approximately $2.8 million on the Term Loan. As a result of the Company’s failure to pay the interest within the grace period, an event of default occurred with respect to the Term Loan. On February 11, 2026, the Lenders, through the administrative agent, notified the Company of such event of the Specified Event of Default and informed the Company that the Administrative Agent or the Collateral Agent may exercise any rights and remedies provided under the Credit and Guaranty Agreement and related financing documents, but it did not seek to enforce such remedies as of such time. As a result of the Specified Event of Default, the Term Loan was reclassified to current portion of long-term debt from long-term debt and interest began accruing at a rate that is 2% per annum in excess of the interest rate otherwise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April 8, 2026, the Company entered into the Forbearance Agreement with the other Obligors, the Lenders, and FEAC, in connection with the Term Loan. Pursuant to the Forbearance Agreement, during the Forbearance Period (as defined in Note 11 – </w:t>
      </w:r>
      <w:r>
        <w:rPr>
          <w:rFonts w:ascii="Times New Roman" w:hAnsi="Times New Roman"/>
          <w:i/>
          <w:caps w:val="false"/>
          <w:smallCaps w:val="false"/>
          <w:sz w:val="20"/>
        </w:rPr>
        <w:t>Debt</w:t>
      </w:r>
      <w:r>
        <w:rPr>
          <w:rFonts w:ascii="Times New Roman" w:hAnsi="Times New Roman"/>
          <w:caps w:val="false"/>
          <w:smallCaps w:val="false"/>
          <w:sz w:val="20"/>
        </w:rPr>
        <w:t xml:space="preserve"> to our condensed consolidated financial statements included elsewhere in this Quarterly Report on Form 10-Q), solely with respect to the Specified Event of Default, neither the Administrative Agent nor any Lender shall, upon the terms and conditions expressly specified therein, take any action, commence any proceedings against any Obligor or any other person with respect to the enforcement of any of its or their rights or remedies under the Credit Documents or applicable law, other than as expressly described in the Forbearance Agreement. The Company, the Lenders, and FEAC agreed to extend the Forbearance Period under the Forbearance Agreement through and including August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additional information, see Note 2 – </w:t>
      </w:r>
      <w:r>
        <w:rPr>
          <w:rFonts w:ascii="Times New Roman" w:hAnsi="Times New Roman"/>
          <w:i/>
          <w:caps w:val="false"/>
          <w:smallCaps w:val="false"/>
          <w:sz w:val="20"/>
        </w:rPr>
        <w:t>Liquidity and Going Concern</w:t>
      </w:r>
      <w:r>
        <w:rPr>
          <w:rFonts w:ascii="Times New Roman" w:hAnsi="Times New Roman"/>
          <w:caps w:val="false"/>
          <w:smallCaps w:val="false"/>
          <w:sz w:val="20"/>
        </w:rPr>
        <w:t xml:space="preserve"> to our condensed consolidated financial statements included elsewhere in this Quarterly Report on Form 10-Q and “ </w:t>
      </w:r>
      <w:r>
        <w:rPr>
          <w:rFonts w:ascii="Times New Roman" w:hAnsi="Times New Roman"/>
          <w:i/>
          <w:caps w:val="false"/>
          <w:smallCaps w:val="false"/>
          <w:sz w:val="20"/>
        </w:rPr>
        <w:t>- Liquidity and Capital Resources - Availability and Use of Cash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Market Conditions and Restructuring Plans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experienced adverse financial results which we believe are primarily a result of an agricultural oversupply impacting our market and resulting in a decrease in indoor and outdoor cultivation. The extent to which these market conditions will continue to negatively impact our business and results of operations is uncertain and difficult to predict at this time. We believe COVID-19 may have provided a positive demand impact for the Company in 2020 and 2021 from shelter-in-place orders in the United States, a possible negative supply chain impact from workforce disruption at international and domestic suppliers, and a possible negative growth rate impact in the periods since, due to agricultural oversupply initiated during the height of COVID-related shelter-in-place orders in 2020 and 2021. In addition, we believe demand for our products has been negatively impacted by the extended period to enact reform of U.S. federal regulations, including cannabis rescheduling, which have been slow to develop and possibly leading cannabis operators to reduce investments in our products, particularly durable goods. In addition, we believe our financial results have been negatively impacted by hydroponic retail store closings and, in some cases, associated accounts receivable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we assessed our long-lived assets for impairment and recorded an impairment charge of $232.2 million. Of such impairment charge, $228.4 million was related to finite-lived intangible assets and $3.8 million was related to property, plant, and equipment. The loss was recorded in Impairments in the consolidated statement of operations for the year ended December 31, 2025. We estimated fair value based on the income approach and market approach. Under the income approach, we estimated the fair value of the asset group on the present value of estimated future cash flows, which we considered to be a level 3 unobservable input in the fair value hierarchy.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second quarter of 2025, we initiated the 2025 Restructuring Plan to reduce our product portfolio and operational footprint to decrease costs and improve efficiency. The 2025 Restructuring Plan actions entail (i) eliminating a significant portion of our product portfolio, primarily underperforming distributed brands, to improve supply chain and operational focus, (ii) further reductions in our distribution center network and manufacturing footprint, and (iii) corresponding headcount reductions. Since the 2025 Restructuring Plan's inception, we have incurred estimated restructuring costs of $11.1 million. The charges were primarily associated with non-cash inventory write-downs, which were recorded in cost of goods sold on the condensed consolidated statements of operations, and cash and non-cash charges which primarily comprised of charges incurred to relocate and terminate certain facilities. We do not anticipate the 2025 Restructuring Plan and related actions will result in additional material restructuring charges, and anticipate annual cost savings of over $5 million plus additional working capital benefits. The 2025 Restructuring Plan is expected to be completed during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30, 2026, the Company completed the closing of the previously announced agreement with Quality Horticulture, a family-owned Canadian garden center and horticultural distribution company, pursuant to which Quality Horticulture will serve as the exclusive Canadian distributor of our proprietary portfolio of nutrients, plant additives, grow media, horticultural lighting and environmental control products, including House &amp; Garden, Grotek, Gaia Green, PHOTOBIO, SunBlaster and Active Aqua. The transaction is part of our strategic plan to streamline our operations and improve the focus on our proprietary brands and core product categories.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evaluate our product portfolio and supply chain, in order to improve efficiency, lower our costs and reduce footprint. We are also evaluating other opportunities to sell excess owned land, not currently being used in operations, to supplement our cash position and potential contract manufacturing or other outsourcing arrangements. Depending on the length and severity of the industry and market conditions, including the fluid and complex international tariff and trade policies, impacting our business, our ability to successfully negotiate with lenders and key vendors, and the pursuit of additional financing or strategic alternatives, it is possible we may execute additional restructuring plan actions and incur future associated charges, and we may not be able to realize the full extent of our anticipated cost savings.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Additionally, the amount we will ultimately realize as benefits associated with our restructuring plans could differ materially from our estimates, and we may incur additional non-cash charges in future periods depending on our ability to execute asset sales or pursue other alternatives. For additional information, see the </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in our 2025 Annual Report, including the risk entitled “</w:t>
      </w:r>
      <w:r>
        <w:rPr>
          <w:rFonts w:ascii="Times New Roman" w:hAnsi="Times New Roman"/>
          <w:i/>
          <w:caps w:val="false"/>
          <w:smallCaps w:val="false"/>
          <w:sz w:val="20"/>
        </w:rPr>
        <w:t>Our restructuring activities may increase our expenses and cash expenditures, and may not have the intended effects</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maintain an allowance for excess and obsolete inventory that is based upon assumptions about future demand and market conditions. While we believe our estimates of charges relating to our 2025 Restructuring Plan, long-lived assets, inventory obsolescence, and accounts receivable allowances are reasonable, it is possible that we may incur additional charges in the future and actual results may differ significantly from these estimates and assumptions.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are closely monitoring the recent tariff and trade policy actions taken by the United States and foreign governments. The situation remains fluid due to the rapidly changing global trade environment, and we continue to evaluate the potential implications of these actions on our business including net sales and profitability. High tariffs on imported products from China or other countries, or new tariffs from other countries, have impacted and could impact the cost of certain products and may negatively impact our financial performance. We have been able to help mitigate the impacts of tariffs through filing for refunds to the extent available to us, negotiations with vendors, and through passing nominal price increases to our customers, but we may be unable to quickly and effectively react to additional tariff and trade policy actions which may impact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Results of Operations</w:t>
      </w:r>
      <w:r>
        <w:rPr>
          <w:rFonts w:ascii="Times New Roman" w:hAnsi="Times New Roman"/>
          <w:caps w:val="false"/>
          <w:smallCaps w:val="false"/>
          <w:sz w:val="20"/>
        </w:rPr>
        <w:t>—</w:t>
      </w:r>
      <w:r>
        <w:rPr>
          <w:rFonts w:ascii="Times New Roman" w:hAnsi="Times New Roman"/>
          <w:b/>
          <w:caps w:val="false"/>
          <w:smallCaps w:val="false"/>
          <w:sz w:val="20"/>
        </w:rPr>
        <w:t>Comparison of three and six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our unaudited interim condensed consolidated statements of operations for the three and six months ended June 30, 2026, and 2025, including amounts and percentages of net sales for each period and the period-to-period change in dollars and percent (amounts in thousands):</w:t>
      </w:r>
    </w:p>
    <w:p>
      <w:pPr>
        <w:pStyle w:val="TextBody"/>
        <w:bidi w:val="0"/>
        <w:spacing w:before="0" w:after="0"/>
        <w:ind w:left="0" w:right="0" w:hanging="0"/>
        <w:jc w:val="left"/>
        <w:rPr/>
      </w:pPr>
      <w:r>
        <w:rPr/>
        <w:t> </w:t>
      </w:r>
    </w:p>
    <w:tbl>
      <w:tblPr>
        <w:tblW w:w="7970" w:type="dxa"/>
        <w:jc w:val="left"/>
        <w:tblInd w:w="0" w:type="dxa"/>
        <w:tblLayout w:type="fixed"/>
        <w:tblCellMar>
          <w:top w:w="0" w:type="dxa"/>
          <w:left w:w="0" w:type="dxa"/>
          <w:bottom w:w="0" w:type="dxa"/>
          <w:right w:w="0" w:type="dxa"/>
        </w:tblCellMar>
      </w:tblPr>
      <w:tblGrid>
        <w:gridCol w:w="2855"/>
        <w:gridCol w:w="60"/>
        <w:gridCol w:w="125"/>
        <w:gridCol w:w="650"/>
        <w:gridCol w:w="80"/>
        <w:gridCol w:w="60"/>
        <w:gridCol w:w="60"/>
        <w:gridCol w:w="485"/>
        <w:gridCol w:w="185"/>
        <w:gridCol w:w="60"/>
        <w:gridCol w:w="125"/>
        <w:gridCol w:w="650"/>
        <w:gridCol w:w="80"/>
        <w:gridCol w:w="60"/>
        <w:gridCol w:w="60"/>
        <w:gridCol w:w="485"/>
        <w:gridCol w:w="185"/>
        <w:gridCol w:w="60"/>
        <w:gridCol w:w="125"/>
        <w:gridCol w:w="650"/>
        <w:gridCol w:w="80"/>
        <w:gridCol w:w="60"/>
        <w:gridCol w:w="60"/>
        <w:gridCol w:w="485"/>
        <w:gridCol w:w="185"/>
      </w:tblGrid>
      <w:tr>
        <w:trPr/>
        <w:tc>
          <w:tcPr>
            <w:tcW w:w="28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8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change</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23,211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39,245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(16,034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20,577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88.7</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36,451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92.9</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(15,874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8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10,062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16,140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41.1</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(6,078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from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(7,428</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(13,346</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(3,453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(3,391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111.3</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tax</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(10,856</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(16,959</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(10,631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-45.8</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(16,861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6,230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075" w:type="dxa"/>
        <w:jc w:val="left"/>
        <w:tblInd w:w="0" w:type="dxa"/>
        <w:tblLayout w:type="fixed"/>
        <w:tblCellMar>
          <w:top w:w="0" w:type="dxa"/>
          <w:left w:w="0" w:type="dxa"/>
          <w:bottom w:w="0" w:type="dxa"/>
          <w:right w:w="0" w:type="dxa"/>
        </w:tblCellMar>
      </w:tblPr>
      <w:tblGrid>
        <w:gridCol w:w="2855"/>
        <w:gridCol w:w="60"/>
        <w:gridCol w:w="125"/>
        <w:gridCol w:w="650"/>
        <w:gridCol w:w="80"/>
        <w:gridCol w:w="60"/>
        <w:gridCol w:w="60"/>
        <w:gridCol w:w="485"/>
        <w:gridCol w:w="185"/>
        <w:gridCol w:w="60"/>
        <w:gridCol w:w="125"/>
        <w:gridCol w:w="650"/>
        <w:gridCol w:w="80"/>
        <w:gridCol w:w="60"/>
        <w:gridCol w:w="60"/>
        <w:gridCol w:w="485"/>
        <w:gridCol w:w="185"/>
        <w:gridCol w:w="60"/>
        <w:gridCol w:w="125"/>
        <w:gridCol w:w="650"/>
        <w:gridCol w:w="80"/>
        <w:gridCol w:w="60"/>
        <w:gridCol w:w="60"/>
        <w:gridCol w:w="590"/>
        <w:gridCol w:w="185"/>
      </w:tblGrid>
      <w:tr>
        <w:trPr/>
        <w:tc>
          <w:tcPr>
            <w:tcW w:w="28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28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change</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51,735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79,779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(28,044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47,264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91.4</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70,108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87.9</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(22,844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4,471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9,671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(5,200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20,630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34,003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(13,373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from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650"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(16,159</w:t>
            </w:r>
          </w:p>
        </w:tc>
        <w:tc>
          <w:tcPr>
            <w:tcW w:w="8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485"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w:t>
            </w:r>
          </w:p>
        </w:tc>
        <w:tc>
          <w:tcPr>
            <w:tcW w:w="18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650"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(24,332</w:t>
            </w:r>
          </w:p>
        </w:tc>
        <w:tc>
          <w:tcPr>
            <w:tcW w:w="8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485"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w:t>
            </w:r>
          </w:p>
        </w:tc>
        <w:tc>
          <w:tcPr>
            <w:tcW w:w="18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650"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8,173</w:t>
            </w:r>
          </w:p>
        </w:tc>
        <w:tc>
          <w:tcPr>
            <w:tcW w:w="8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590"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w:t>
            </w:r>
          </w:p>
        </w:tc>
        <w:tc>
          <w:tcPr>
            <w:tcW w:w="18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(9,319</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(6,768</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 net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40.1</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tax</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(25,575</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-49.4</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(31,262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1981.3</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(25,242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(31,246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Net sales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sales for the three months ended June 30, 2026, were $23.2 million, a decrease of $16.0 million, or 40.9% compared to the same period in 2025. Net sales for the six months ended June 30, 2026, were $51.7 million, a decrease of $28.0 million, or 35.2% compared to the same period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40.9% decrease in net sales for the three months ended June 30, 2026, as compared to the same period in 2025, was primarily due to a 37.0% reduction in volume and mix of products sold and a 4.0% decrease in price. This decline was largely driven by the previously mentioned industry oversupply and discontinuation of certain distributed brands. The 35.2% decrease in net sales for the six months ended June 30, 2026, as compared to the same period in 2025, was primarily due to a 31.9% reduction in volume and mix of products sold and a 3.8% decrease in price. This decline was largely driven by the previously mentioned industry oversupply and discontinuation of certain distributed brands.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Gross profit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for the three months ended June 30, 2026, was $2.6 million, a decrease of $0.2 million, or 5.7%, compared to the same period in 2025. Our gross profit margin percentage increased to 11.3% for the three months ended June 30, 2026, from 7.1% in the same period in 2025. The increase in gross profit margin for the three months ended June 30, 2026 was largely driven by a $2.3 million decrease in restructuring charges from the prior year period, as well as selling a higher proportion of proprietary brand products. The gross profit margin percentage increase was partially offset by higher freight and labor costs as a percentage of net sales and lower manufacturing production volumes in certain grow media products.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for the six months ended June 30, 2026, was $4.5 million, a decrease of $5.2 million, or 53.8%, compared to the same period in 2025. Our gross profit margin percentage decreased to 8.6% for the six months ended June 30, 2026, from 12.1% in the same period in 2025. Our gross profit margin percentage for the six months ended June 30, 2026 decreased primarily due to higher freight and labor costs as a percentage of net sales and the aforementioned lower manufacturing production volumes in certain grow media products, which more than offset a $0.9 million decrease in restructuring charges from the prior year period and the benefit from selling a higher proportion of proprietary brand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decreases in gross profit for all periods presented were primarily due to the aforementioned lower net sales.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Selling, general and administrative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SG&amp;A expenses for the three months ended June 30, 2026, were $10.1 million, a decrease of $6.1 million, or 37.7% compared to the same period in 2025. SG&amp;A expenses decreased in several areas, including as a result of our cost-saving and restructuring initiatives: (i) a $6.0 million decrease in amortization and depreciation primarily due to intangible asset impairments in 2025, (ii) a $1.2 million decrease in facility expenses, and (iii) a $1.1 million decrease in employee compensation costs, including lower salaries and benefits, stock-based compensation, and performance bonus. The SG&amp;A savings were partially offset by restructuring charges of $2.3 million during the period and costs associated with the Company's strategic alternatives.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SG&amp;A expenses for the six months ended June 30, 2026, were $20.6 million, a decrease of $13.4 million, or 39.3% compared to the same period in 2025. SG&amp;A expenses decreased in several areas, including as a result of our cost saving and restructuring initiatives: (i) a $11.9 million decrease in amortization and depreciation primarily due to intangible asset impairments in 2025, (ii) a $2.4 million decrease in employee compensation costs, including lower salaries and benefits, stock-based compensation, and performance bonus, and (iii) a $1.7 million decrease in facility expenses. The SG&amp;A savings were partially offset by restructuring charges of $3.1 million during the period and costs associated with the Company's 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expense for the three months ended June 30, 2026, was $3.5 million, an increase from $3.4 million of interest expense recorded in the same period in the prior year. Interest expense for the six months ended June 30, 2026, was $9.3 million, an increase from $6.8 million of interest expense recorded in the same period in the prior year. The increase for the six months ended June 30, 2026, was primarily due to the acceleration of our Term Loan discount and deferred financing costs triggered by the Specified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Other income (expense),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income, net for the three months ended June 30, 2026, was less than $0.1 million, compared to other expense, net of $0.2 million during the same period in the prior year. Other expense, net for the six months ended June 30, 2026, was $0.1 million, compared to other expense, net of $0.2 million during the same period in the prior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Income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recorded income tax benefits of $0.2 million and $0.3 million for the three and six months ended June 30, 2026, respectively, representing effective tax rates of 2.1% and 1.3%, respectively. Our effective tax rates for the three and six months ended June 30, 2026, differ from the federal statutory rate of 21% primarily due to U.S. and foreign jurisdictions in full valuation allowance. The income tax benefit for the three and six months ended June 30, 2026, was primarily due to certain benefits in Canadian jurisdictions, partially offset by foreign taxes in Spain and U.S.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recorded income tax benefits of $0.1 million and less than $0.1 million for the three and six months ended June 30, 2025, respectively, representing effective tax rates of 0.6% and 0.1%, respectively. Our effective tax rates for the three and six months ended June 30, 2025, differ from the federal statutory rate of 21% primarily due to U.S. and foreign jurisdictions in full valuation allowance. The income tax benefit for the three and six months ended June 30, 2025, was primarily due to certain benefits in Canadian jurisdictions, partially offset by foreign taxes in certain jurisdictions and U.S. state taxes.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and Capital Resources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Flow from Operating, Investing, and Financing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caps w:val="false"/>
          <w:smallCaps w:val="false"/>
          <w:sz w:val="20"/>
        </w:rPr>
        <w:t>Comparison of the six months ended June 30, 2026, and June 30,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six months ended June 30, 2026, and 2025 (amounts in thousands):</w:t>
      </w:r>
    </w:p>
    <w:p>
      <w:pPr>
        <w:pStyle w:val="TextBody"/>
        <w:bidi w:val="0"/>
        <w:spacing w:before="0" w:after="0"/>
        <w:ind w:left="0" w:right="0" w:hanging="0"/>
        <w:jc w:val="left"/>
        <w:rPr/>
      </w:pPr>
      <w:r>
        <w:rPr/>
        <w:t> </w:t>
      </w:r>
    </w:p>
    <w:tbl>
      <w:tblPr>
        <w:tblW w:w="8608" w:type="dxa"/>
        <w:jc w:val="left"/>
        <w:tblInd w:w="0" w:type="dxa"/>
        <w:tblLayout w:type="fixed"/>
        <w:tblCellMar>
          <w:top w:w="0" w:type="dxa"/>
          <w:left w:w="0" w:type="dxa"/>
          <w:bottom w:w="0" w:type="dxa"/>
          <w:right w:w="0" w:type="dxa"/>
        </w:tblCellMar>
      </w:tblPr>
      <w:tblGrid>
        <w:gridCol w:w="6230"/>
        <w:gridCol w:w="60"/>
        <w:gridCol w:w="186"/>
        <w:gridCol w:w="721"/>
        <w:gridCol w:w="89"/>
        <w:gridCol w:w="89"/>
        <w:gridCol w:w="186"/>
        <w:gridCol w:w="967"/>
        <w:gridCol w:w="80"/>
      </w:tblGrid>
      <w:tr>
        <w:trPr/>
        <w:tc>
          <w:tcPr>
            <w:tcW w:w="6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(707)</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(10,047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from (used in) investing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7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1,426</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9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(5,121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(15,120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6,309</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26,111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6,613</w:t>
            </w:r>
          </w:p>
        </w:tc>
        <w:tc>
          <w:tcPr>
            <w:tcW w:w="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10,991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$0.7 million for the six months ended June 30, 2026. The net cash usage was primarily due to a $25.2 million net loss, partially offset by net non-cash items of $12.3 million and a $12.2 million net cash inflow from a decrease in working capital. The $12.2 million net decrease in working capital was primarily comprised of a $9.0 million decrease of inventories, a $6.3 million increase in accrued expenses and other current liabilities, a $1.1 million decrease in prepaid expenses and other current assets, and a $1.0 million increase of accounts payable, partially offset by a $3.7 million decrease of lease liabilities and a $1.8 million decrease in deferred revenue. The increase in accrued expenses and other current liabilities was primarily attributable to accrued interest, which increased to $8.3 million as of June 30, 2026 from $1.9 million as of December 31, 2025. The Company is continuing to consolidate its operations in connection with restructuring and related cost saving initiatives which has contributed to the aforementioned decrease in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$10.0 million for the six months ended June 30, 2025. The net cash usage was primarily due to a $31.2 million net loss and a $3.8 million net cash outflow from an increase in working capital, partially offset by net non-cash items of $25.0 million. The $3.8 million net increase in working capital was primarily comprised of a $3.9 million decrease of lease liabilities, a $2.3 million decrease in accrued expenses and other current liabilities, partially offset by a $2.9 million decrease in inventory. During the six months ended June 30, 2025, we paid $6.9 million in cash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from investing activities was $1.4 million for the six months ended June 30, 2026, compared to net cash used in investing activities of $0.5 million for the six months ended June 30, 2025. The net cash from investing activities for the six months ended June 30, 2026 was primarily due to the sale of property, plant and equipment. We did not have any significant capital expenditures of property, plant and equipment during the six months ended June 30, 2026. The net cash used in investing activities for the six months ended June 30, 2025 was primarily due to capital expenditures of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$0.3 million for the six months ended June 30, 2026, primarily driven by finance lease principal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$5.1 million for the six months ended June 30, 2025, primarily driven by (i) $4.9 million of Term Loan repayments relating to required quarterly payments of principal and payments made in conjunction with the IGE Asset Sale reinvestment provision, and (ii) finance lease principal payments of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Availability and Use of Cash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we had $6.6 million in cash, cash equivalents and restricted cash and a working capital deficit of $108.1 million. We have incurred recurring operating losses, negative cash flows from operations, and have significant debt obligations due within the next twelve months. These conditions and events, considered in the aggregate, raise substantial doubt about our ability to continue as a going concern.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Our plans to address these conditions include reducing costs through restructuring and other initiatives, including facility consolidations, headcount reductions, and focusing on our proprietary brand offerings. To improve liquidity, we are negotiating with lenders and key vendors, and are pursuing additional financing or strategic alternatives including the sale of assets or businesses, or through an offering of equity securities. Any potential such event may be subject to provisions referenced in the Term Loan, such as subjecting us to make mandatory prepayments prior to the originally stated maturity date. Although we believe such plans, if executed, should provide us with liquidity to meet our needs, successful completion of such plans is dependent on numerous factors, many of which are beyond our control as further discussed in </w:t>
      </w:r>
      <w:r>
        <w:rPr>
          <w:rFonts w:ascii="Times New Roman" w:hAnsi="Times New Roman"/>
          <w:i/>
          <w:caps w:val="false"/>
          <w:smallCaps w:val="false"/>
          <w:sz w:val="20"/>
        </w:rPr>
        <w:t xml:space="preserve">Item 1A. "Risk Factors" </w:t>
      </w:r>
      <w:r>
        <w:rPr>
          <w:rFonts w:ascii="Times New Roman" w:hAnsi="Times New Roman"/>
          <w:caps w:val="false"/>
          <w:smallCaps w:val="false"/>
          <w:sz w:val="20"/>
        </w:rPr>
        <w:t>included in this Quarterly Report on Form 10-Q and in our 2025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second quarter of 2026, we sold approximately 38 acres of the 120 acres of excess owned land at the Goshen, New York location for $1.4 million. On July 31, 2026, the Company, through its wholly owned subsidiaries Aurora International, LLC, an Oregon limited liability company and Aurora Peat Products ULC, an Alberta unlimited liability corporation, entered into a Share Purchase Agreement with 2817049 Alberta Ltd., an Alberta corporation. Pursuant to the terms of the Share Purchase Agreement, Seller sold to Buyer and Buyer purchased from Seller all the issued and outstanding shares of APP for $16 million, subject to adjustments set forth in the Share Purchase Agreement. The net proceeds from the Transaction will be applied to reduce outstanding debt, including outstanding interest, under the Term Loan. The Share Purchase Agreement contains customary representations and warranties of the parties, covenants and indemnification provisions. The representations, warranties and covenants contained in the Share Purchase Agreement were made solely for the benefit of the parties to the Share Purchase Agreement and may be subject to limitations agreed upon by the contracting parties. In connection with the Share Purchase Agreement, the Seller and Buyer entered into a secured promissory note on the Closing Date, pursuant to which the Buyer issued, in favor of the Seller, a promissory note in the principal amount of $5 million, representing a deferred portion of the purchase price payable to the Seller under the Share Purchase Agreement. The secured promissory note was assigned to the lenders of the Company's Term Loan. Cash obligations in connection with the close of the transaction are estimated to be up to $3.1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caps w:val="false"/>
          <w:smallCaps w:val="false"/>
          <w:sz w:val="20"/>
        </w:rPr>
        <w:t>Term Loan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25, 2021, we and certain of our direct and indirect subsidiaries entered into the Term Loan with JPMorgan Chase Bank, N.A., as administrative agent for the lenders, pursuant to which we borrowed a $125 million senior secured term loan. The Term Loan was amended by Amendment No. 1 effective as of June 27, 2023, to replace the LIBOR referenced rates with SOFR referenced rates. Pursuant to Amendment No. 1, any Term Loan that constitutes a Eurodollar Rate Loan that is outstanding as of the Amendment No. 1 closing date shall continue until the end of the applicable interest period for such Eurodollar Rate Loan and the provisions of the Term Loan applicable thereto shall continue and remain in effect (notwithstanding the occurrence of the Amendment No. 1 closing date) until the end of the applicable interest period for such Eurodollar Rate Loan, after which such provisions shall have had no further force or effect. Such Eurodollar Rate Loan shall subsequently either be an ABR Loan or a Term Benchmark Loan. The ABR Loans shall bear interest at the Alternate Base Rate (with a 2.0% floor) plus 4.50%, and Term Benchmark Loans shall bear interest at the Adjusted Term SOFR Rate (with a 1.0% floor) plus 5.50%. As of the date of filing the 2025 Annual Report, the ABR Loan and Term Benchmark Loan credit spreads of 4.50% and 5.50%, respectively, within the Amendment No. 1 had not changed from the credit spreads in the original Term Loan. On April 8, 2026, we, the Lenders and the Agents entered into Amendment No. 2 to the Credit and Guaranty Agreement. Amendment No. 2 amends the Term Loan to, among other things, (i) replace JPMorgan with FEAC as the administrative agents; and (ii) require each credit party to covenant and agree to (A) regularly provide certain liquidity reports and cash flow forecasts, (B) regularly provide certain aging reports and inventory reports, and (C) maintain a minimum liquidity of $1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matures on October 25, 2028, and is secured by a first lien on our non-working capital assets and a second lien on our working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principal amounts of the Term Loan are scheduled to be repaid in consecutive quarterly installments in amounts equal to 0.25% of the original principal amount of the Term Loan on the last day of each fiscal quarter commencing March 31, 2022, with the balance of the Term Loan payable on the Maturity Date. We are also required to make mandatory prepayments in the event of (i) achieving certain excess cash flow criteria, including the achievement and maintenance of a specific leverage ratio, (ii) certain asset sales that are collateral, or (iii) upon the issuance, offering, or placement of new debt obligations. In accordance with this provision, we made prepayments of $4.6 million during of 2025 for an asset sale completed in 2024. The prepayments reduced our required quarterly installment amounts to zero for the remaining term.</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Term Loan requires us to maintain certain reporting requirements, affirmative covenants, and negative covenants. On February 4, 2026, we elected to defer making an interest payment of approximately $2.8 million on the Term Loan. As a result of our failure to pay the interest within the grace period, an event of default occurred with respect to the Term Loan. On February 11, 2026, the lenders, through the administrative agent, notified us of the Specified Event of Default and informed us that the administrative agent or the collateral agent may exercise any rights and remedies provided under the Term Loan agreement and related financing documents, but it did not seek to enforce such remedies as of such time.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the Forbearance Effective Date, the Company entered into the Forbearance Agreement with the other Obligors, the Lenders, and FEAC, in connection with the Term Loan. Pursuant to the Forbearance Agreement, during the Forbearance Period (as defined in Note 11 – </w:t>
      </w:r>
      <w:r>
        <w:rPr>
          <w:rFonts w:ascii="Times New Roman" w:hAnsi="Times New Roman"/>
          <w:i/>
          <w:caps w:val="false"/>
          <w:smallCaps w:val="false"/>
          <w:sz w:val="20"/>
        </w:rPr>
        <w:t>Debt</w:t>
      </w:r>
      <w:r>
        <w:rPr>
          <w:rFonts w:ascii="Times New Roman" w:hAnsi="Times New Roman"/>
          <w:caps w:val="false"/>
          <w:smallCaps w:val="false"/>
          <w:sz w:val="20"/>
        </w:rPr>
        <w:t xml:space="preserve"> to our condensed consolidated financial statements included elsewhere in this Quarterly Report on Form 10-Q), solely with respect to the Specified Event of Default, neither the Administrative Agent nor any Lender shall, upon the terms and conditions expressly specified therein, take any action, commence any proceedings against any Obligor or any other person with respect to the enforcement of any of its or their rights or remedies under the Credit Documents or applicable law, other than as expressly described in the Forbearance Agreement. The Company, the Lenders, and FEAC agreed to extend the Forbearance Period under the Forbearance Agreement through and including August 31,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and December 31, 2025, the outstanding principal balance on the Term Loan was $114.4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caps w:val="false"/>
          <w:smallCaps w:val="false"/>
          <w:sz w:val="20"/>
        </w:rPr>
        <w:t>Revolving Credit Facility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29, 2021, we and certain of our subsidiaries entered into the Revolving Credit Agreement with JPMorgan, as administrative agent, issuing bank and swingline lender for a revolving line of credit up to $50 million (the "Revolving Credit Facility") which was subsequently amended several times to, among other things, modify the maximum aggregate borrowing limit, transition the interest rate benchmark from LIBOR to SOFR, and extend the maturity date. We use the terms Revolving Credit Agreement and Revolving Credit Facility interchangeably.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As of December 31, 2025, we had zero borrowed under the Revolving Credit Facility. On February 17, 2026, we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aforementioned financing arrangements and other transactions are more fully described in the notes to the condensed consolidated financial statements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caps w:val="false"/>
          <w:smallCaps w:val="false"/>
          <w:sz w:val="20"/>
        </w:rPr>
        <w:t>Cash and Cash Equivalents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cash, cash equivalents and restricted cash balances of $6.6 million and $6.3 million at June 30, 2026, and December 31, 2025, respectively, included $3.7 million and $2.9 million, respectively, held by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caps w:val="false"/>
          <w:smallCaps w:val="false"/>
          <w:sz w:val="20"/>
        </w:rPr>
        <w:t>Material Cash Requirements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Our estimated material cash requirements include (i) anticipated principal and interest payments on our Term Loan, (ii) finance lease payments, (iii) operating lease payments, as well as other purchase obligations to support our operations. Variable rates on our Term Loan are subject to change as further described in </w:t>
      </w:r>
      <w:r>
        <w:rPr>
          <w:rFonts w:ascii="Times New Roman" w:hAnsi="Times New Roman"/>
          <w:i/>
          <w:caps w:val="false"/>
          <w:smallCaps w:val="false"/>
          <w:sz w:val="20"/>
        </w:rPr>
        <w:t>Item 3. Quantitative and Qualitative Disclosures About Market Risk</w:t>
      </w:r>
      <w:r>
        <w:rPr>
          <w:rFonts w:ascii="Times New Roman" w:hAnsi="Times New Roman"/>
          <w:caps w:val="false"/>
          <w:smallCaps w:val="false"/>
          <w:sz w:val="20"/>
        </w:rPr>
        <w:t xml:space="preserve">. Refer to </w:t>
      </w:r>
      <w:r>
        <w:rPr>
          <w:rFonts w:ascii="Times New Roman" w:hAnsi="Times New Roman"/>
          <w:i/>
          <w:caps w:val="false"/>
          <w:smallCaps w:val="false"/>
          <w:sz w:val="20"/>
        </w:rPr>
        <w:t>Item 1. Financial Statements</w:t>
      </w:r>
      <w:r>
        <w:rPr>
          <w:rFonts w:ascii="Times New Roman" w:hAnsi="Times New Roman"/>
          <w:caps w:val="false"/>
          <w:smallCaps w:val="false"/>
          <w:sz w:val="20"/>
        </w:rPr>
        <w:t xml:space="preserve">, Note 11 – </w:t>
      </w:r>
      <w:r>
        <w:rPr>
          <w:rFonts w:ascii="Times New Roman" w:hAnsi="Times New Roman"/>
          <w:i/>
          <w:caps w:val="false"/>
          <w:smallCaps w:val="false"/>
          <w:sz w:val="20"/>
        </w:rPr>
        <w:t>Debt</w:t>
      </w:r>
      <w:r>
        <w:rPr>
          <w:rFonts w:ascii="Times New Roman" w:hAnsi="Times New Roman"/>
          <w:caps w:val="false"/>
          <w:smallCaps w:val="false"/>
          <w:sz w:val="20"/>
        </w:rPr>
        <w:t xml:space="preserve">, Note 8 – </w:t>
      </w:r>
      <w:r>
        <w:rPr>
          <w:rFonts w:ascii="Times New Roman" w:hAnsi="Times New Roman"/>
          <w:i/>
          <w:caps w:val="false"/>
          <w:smallCaps w:val="false"/>
          <w:sz w:val="20"/>
        </w:rPr>
        <w:t>Leases</w:t>
      </w:r>
      <w:r>
        <w:rPr>
          <w:rFonts w:ascii="Times New Roman" w:hAnsi="Times New Roman"/>
          <w:caps w:val="false"/>
          <w:smallCaps w:val="false"/>
          <w:sz w:val="20"/>
        </w:rPr>
        <w:t xml:space="preserve">, and Note 15 – </w:t>
      </w:r>
      <w:r>
        <w:rPr>
          <w:rFonts w:ascii="Times New Roman" w:hAnsi="Times New Roman"/>
          <w:i/>
          <w:caps w:val="false"/>
          <w:smallCaps w:val="false"/>
          <w:sz w:val="20"/>
        </w:rPr>
        <w:t>Commitments and Contingencies</w:t>
      </w:r>
      <w:r>
        <w:rPr>
          <w:rFonts w:ascii="Times New Roman" w:hAnsi="Times New Roman"/>
          <w:caps w:val="false"/>
          <w:smallCaps w:val="false"/>
          <w:sz w:val="20"/>
        </w:rPr>
        <w:t xml:space="preserve"> for details relating to our material cash requirements for debt, our leasing arrangements, including future maturities of our operating lease liabilities, and purchase obligations, respectively. From time to time in the normal course of business, we will enter into agreements with suppliers which provide favorable pricing in return for a commitment to purchase minimum amounts of inventory over a defined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Critical Accounting Policies and Estimates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preceding discussion and analysis of our consolidated results of operations and financial condition should be read in conjunction with our condensed consolidated financial statements included elsewhere in this Quarterly Report on Form 10-Q. Our critical accounting policies and estimates are identified in </w:t>
      </w:r>
      <w:r>
        <w:rPr>
          <w:rFonts w:ascii="Times New Roman" w:hAnsi="Times New Roman"/>
          <w:i/>
          <w:caps w:val="false"/>
          <w:smallCaps w:val="false"/>
          <w:sz w:val="20"/>
        </w:rPr>
        <w:t>Item 7. "Management's Discussion and Analysis of Financial Condition and Results of Operations"</w:t>
      </w:r>
      <w:r>
        <w:rPr>
          <w:rFonts w:ascii="Times New Roman" w:hAnsi="Times New Roman"/>
          <w:caps w:val="false"/>
          <w:smallCaps w:val="false"/>
          <w:sz w:val="20"/>
        </w:rPr>
        <w:t xml:space="preserve"> in Part II of the 2025 Annual Report and include the discussion of estimates used in indefinite lived intangible assets, long-lived tangible and finite-lived intangible assets, and inventory valuation. Such accounting policies and estimates require significant judgments and assumptions to be used in the preparation of the condensed consolidated financial statements included in this Quarterly Report on Form 10-Q, and actual results could differ materially from the amounts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Recent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information regarding recent accounting pronouncements, refer to Note 3 – </w:t>
      </w:r>
      <w:r>
        <w:rPr>
          <w:rFonts w:ascii="Times New Roman" w:hAnsi="Times New Roman"/>
          <w:i/>
          <w:caps w:val="false"/>
          <w:smallCaps w:val="false"/>
          <w:sz w:val="20"/>
        </w:rPr>
        <w:t xml:space="preserve">Basis of Presentation and Significant Accounting Policies </w:t>
      </w:r>
      <w:r>
        <w:rPr>
          <w:rFonts w:ascii="Times New Roman" w:hAnsi="Times New Roman"/>
          <w:caps w:val="false"/>
          <w:smallCaps w:val="false"/>
          <w:sz w:val="20"/>
        </w:rPr>
        <w:t xml:space="preserve">— </w:t>
      </w:r>
      <w:r>
        <w:rPr>
          <w:rFonts w:ascii="Times New Roman" w:hAnsi="Times New Roman"/>
          <w:i/>
          <w:caps w:val="false"/>
          <w:smallCaps w:val="false"/>
          <w:sz w:val="20"/>
        </w:rPr>
        <w:t>Recent accounting pronouncements</w:t>
      </w:r>
      <w:r>
        <w:rPr>
          <w:rFonts w:ascii="Times New Roman" w:hAnsi="Times New Roman"/>
          <w:caps w:val="false"/>
          <w:smallCaps w:val="false"/>
          <w:sz w:val="20"/>
        </w:rPr>
        <w:t>, to our condensed consolidated financial statements included elsewhere in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quantitative"/>
      <w:bookmarkEnd w:id="12"/>
      <w:r>
        <w:rPr>
          <w:rFonts w:ascii="Times New Roman" w:hAnsi="Times New Roman"/>
          <w:b/>
          <w:caps w:val="false"/>
          <w:smallCaps w:val="false"/>
          <w:sz w:val="20"/>
        </w:rPr>
        <w:t>ITEM 3. QUANTITATIVE AND QUALITATIVE DISCLOSURES ABOUT MARKET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 risk is the risk of economic losses due to adverse changes in financial market prices and rates. Our primary market risk has been interest rate, foreign currency and inflation risk. We do not have material exposure to commodity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Rate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are exposed to interest rate risk through our variable rate debt. As of June 30, 2026, we had $114.4 million of Term Loan debt that is subject to variable interest rates that are based on SOFR or an alternate base rate. Refer to </w:t>
      </w:r>
      <w:r>
        <w:rPr>
          <w:rFonts w:ascii="Times New Roman" w:hAnsi="Times New Roman"/>
          <w:i/>
          <w:caps w:val="false"/>
          <w:smallCaps w:val="false"/>
          <w:sz w:val="20"/>
        </w:rPr>
        <w:t>Item 1. Financial Statements</w:t>
      </w:r>
      <w:r>
        <w:rPr>
          <w:rFonts w:ascii="Times New Roman" w:hAnsi="Times New Roman"/>
          <w:caps w:val="false"/>
          <w:smallCaps w:val="false"/>
          <w:sz w:val="20"/>
        </w:rPr>
        <w:t xml:space="preserve">, Note 11 – </w:t>
      </w:r>
      <w:r>
        <w:rPr>
          <w:rFonts w:ascii="Times New Roman" w:hAnsi="Times New Roman"/>
          <w:i/>
          <w:caps w:val="false"/>
          <w:smallCaps w:val="false"/>
          <w:sz w:val="20"/>
        </w:rPr>
        <w:t>Debt</w:t>
      </w:r>
      <w:r>
        <w:rPr>
          <w:rFonts w:ascii="Times New Roman" w:hAnsi="Times New Roman"/>
          <w:caps w:val="false"/>
          <w:smallCaps w:val="false"/>
          <w:sz w:val="20"/>
        </w:rPr>
        <w:t xml:space="preserve"> for details relating to the debt. If the rates were to increase by 100 basis points from the rates in effect as of June 30, 2026, our interest expense on the variable-rate debt would increase by an average of $1.2 million annually, or $1.1 million annually considering the paydown of debt related to the sale of APP. There are inherent limitations in the sensitivity analysis presented, primarily due to the assumptions that interest rate changes would be instantaneous, while SOFR changes regularly. We do not currently hedge our interest rate risks, but may determine to do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Foreign Currency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currencies of our foreign subsidiary operations are predominantly in the Canadian dollar ("CAD") and the Euro. For the purposes of presenting these condensed consolidated financial statements, the assets and liabilities of subsidiaries with CAD or Euro functional currencies are translated into U.S. dollars ("USD") using exchange rates prevailing at the end of each reporting period. Income and expense items are translated at the average rate prevailing during the period with exchange differences impacting other comprehensive income (loss) in equity. Therefore, our results of operations and cash flows are subject to fluctuations due to changes in foreign currency exchange rates, principally the CAD. We are impacted by changes in foreign currency exchange rates when we sell product in currencies different from the currency in which costs were incurred. The functional currencies and our purchasing and sales activities primarily include USD, CAD and Euro. As these currencies fluctuate against each other, and other currencies, we are exposed to foreign currency exchange rate risk on sales, purchasing transactions, and labor. To date, we have not entered into any foreign currency exchange contracts and currently do not expect to enter into foreign currency exchange contracts for trading 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Inflation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and financial condition are presented based on historical costs. We cannot provide assurances that our results of operations and financial condition will not be materially impacted by inflation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3" w:name="controls"/>
      <w:bookmarkEnd w:id="13"/>
      <w:r>
        <w:rPr>
          <w:rFonts w:ascii="Times New Roman" w:hAnsi="Times New Roman"/>
          <w:b/>
          <w:caps w:val="false"/>
          <w:smallCaps w:val="false"/>
          <w:sz w:val="20"/>
        </w:rPr>
        <w:t>ITEM 4.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Evaluation of Disclosure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and supervision of our Chief Executive Officer and our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upon that evaluation, the Company's management, including the Chief Executive Officer and the Chief Financial Officer, concluded that the Company’s disclosure controls and procedures were effective as of the end of the period covered by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Changes in Internal Controls over Financial Reporting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controls over financial reporting (as defined in Rule 13a-15(f) and 15d-15(f) of the Exchange Act) that occurred during the periods covered by this Quarterly Report on Form 10-Q that have materially affected, or are reasonably likely to materially affect, our internal controls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4" w:name="part2"/>
      <w:bookmarkEnd w:id="14"/>
      <w:r>
        <w:rPr>
          <w:rFonts w:ascii="Times New Roman" w:hAnsi="Times New Roman"/>
          <w:b/>
          <w:caps w:val="false"/>
          <w:smallCaps w:val="false"/>
          <w:sz w:val="20"/>
        </w:rPr>
        <w:t>PART II - 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legal"/>
      <w:bookmarkEnd w:id="15"/>
      <w:r>
        <w:rPr>
          <w:rFonts w:ascii="Times New Roman" w:hAnsi="Times New Roman"/>
          <w:b/>
          <w:caps w:val="false"/>
          <w:smallCaps w:val="false"/>
          <w:sz w:val="20"/>
        </w:rPr>
        <w:t>ITEM 1. LEGAL PROCEEDINGS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may become involved in various lawsuits and legal proceedings, which arise in the ordinary course of business. We are currently not aware of any material pending legal proceedings or claims, other than ordinary routine litigation incidental to the business to which we are a party or to which our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risk"/>
      <w:bookmarkEnd w:id="16"/>
      <w:r>
        <w:rPr>
          <w:rFonts w:ascii="Times New Roman" w:hAnsi="Times New Roman"/>
          <w:b/>
          <w:caps w:val="false"/>
          <w:smallCaps w:val="false"/>
          <w:sz w:val="20"/>
        </w:rPr>
        <w:t>ITEM 1A. RISK FACTORS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a discussion of risk factors, please read </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in our 2025 Annual Report. Such risk factors continue to be relevant to an understanding of our business, financial condition and operating results. As of the date of this Quarterly Report on Form 10-Q, there have been the following material changes with respect to such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are currently not in compliance with the continued listing standards of Nasdaq, and if we are unable to regain compliance, our common stock may be delisted from the exchange.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currently listed for trading on the Nasdaq under the symbol “HYFM”. The continued listing of our common stock on Nasdaq is subject to our compliance with a number of listing standards, including Nasdaq Listing Rule 5550(b)(1) to maintain a minimum of $2.5 million in stockholders’ equity (the “Minimum Stockholders’ Equity Requirement”) or the alternative requirements of Nasdaq Listing Rule 5550(b)(2)-(3) of having a market value of listed securities of at least $35 million or net income from continuing operations of $500,000 in the most recently completed fiscal year or two of the last three most recently completed fiscal years (the “Alternative Requirement”). As of December 31, 2025, we had a stockholders' deficit of approximately $(63) million, the market value of our listed securities was below $35 million as of the date of our 2025 Annual Report, and we realized a net loss in each of the past three fiscal years. Accordingly, we do not meet the requirements of the Minimum Stockholders’ Equity Requirement or Alternative Requirement.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 2026, we received a letter (the “Letter”) from the Listing Qualifications Department of the Nasdaq indicating that we were not in compliance with the Minimum Stockholders’ Equity Requirement for continued listing on the Nasdaq, under Nasdaq Listing Rule 5550(b)(1), because our stockholders’ deficit of $(63) million as reported in our 2025 Annual Report was below the required minimum of $2.5 million, and because, as of March 31, 2026, we did not meet the Alternative Requirement relating to the market value of listed securities of $35 million or net income from continuing operations of $500,000 in the most recently completed fiscal year or in two of the last three most recently completed fiscal years.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2026, we received a letter from Nasdaq indicating that, based on Nasdaq’s review of the Company’s plan submitted on May 18, 2026 and related materials submitted on June 8, 2026, Nasdaq has granted the Company an extension to regain compliance with the Minimum Stockholders’ Equity Requirement. On July 2, 2026, we received a determination letter from Nasdaq notifying us that we did not meet the terms of the extension granted by Nasdaq to regain compliance with the Minimum Stockholders’ Equity Requirement (the “Nasdaq Determination Letter”). The Nasdaq Determination Letter stated that we may request an appeal of this determination at a hearing before the Nasdaq Hearing Panel (the “Panel”) by July 9, 2026. On July 9, 2026, we timely requested a hearing before the Panel, which stayed any further action by Nasdaq at least pending completion of the hearing process and the expiration of any extension period that may be granted by the Panel.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July 6, 2026, we also received a letter from Nasdaq indicating that we are not in compliance with the minimum bid price requirement for continued listing on Nasdaq under Listing Rule 5550(a)(2) (the “Bid Price Requirement”) because we had not maintained a minimum closing bid price of $1 per share for the prior 30 consecutive business days. The Bid Price Requirement provides us a compliance period of 180 calendar days in which to regain compliance. If at any time during the 180-day period, the closing bid price of our common stock is at least $1 for a minimum of ten consecutive business days, Nasdaq will provide written confirmation to us of compliance. In the event that we do not regain compliance with the Bid Price Requirement, we may be eligible for additional time. The Company intends to monitor the closing bid price of its common stock and is considering its options to regain compliance with the Bid Price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considering all options available to us to regain compliance with the Minimum Stockholders’ Equity Requirement and Bid Price Requirement. However, there can be no assurance that we will be able to regain compliance with the Minimum Stockholders’ Equity Requirement and Bid Price Requirement or will otherwise be in compliance with other applicable Nasdaq Listing Rules, that the Panel will grant the Company an additional extension period to remain listed on Nasdaq, or that the Panel will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fail to regain compliance with the Nasdaq continued listing standards, after any compliance period, if granted, or we fail to comply with other continued listing requirements, Nasdaq will provide notice that our common stock will be subject to delisting, which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 If our common stock is delisted by Nasdaq, the price of our common stock may decline and our common stock may be eligible to trade on the OTC Bulletin Board, another over-the-counter quotation system, or on the pink sheets where an investor may find it more difficult to dispose of their common stock or obtain accurate quotations as to the market value of our common stock. A delisting from Nasdaq and failure to obtain listing on another market or exchange would subject our common stock to so-called penny stock rules that impose additional sales practice and market-making requirements on broker-dealers who sell or make a market in such securities. Further, if we are delisted, we would incur additional costs under requirements of state “blue sky” laws in connection with any sales of our securities. These requirements could severely limit the market liquidity of our common stock and the ability of our stockholders to sell our common stock in the secondary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7" w:name="unregistered"/>
      <w:bookmarkEnd w:id="17"/>
      <w:r>
        <w:rPr>
          <w:rFonts w:ascii="Times New Roman" w:hAnsi="Times New Roman"/>
          <w:b/>
          <w:caps w:val="false"/>
          <w:smallCaps w:val="false"/>
          <w:sz w:val="20"/>
        </w:rPr>
        <w:t>ITEM 2. UNREGISTERED SALES OF EQUITY SECURITIES AND USE OF PROCEEDS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8" w:name="defaults"/>
      <w:bookmarkEnd w:id="18"/>
      <w:r>
        <w:rPr>
          <w:rFonts w:ascii="Times New Roman" w:hAnsi="Times New Roman"/>
          <w:b/>
          <w:caps w:val="false"/>
          <w:smallCaps w:val="false"/>
          <w:sz w:val="20"/>
        </w:rPr>
        <w:t>ITEM 3. DEFAULTS UPON SENIOR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9" w:name="mine"/>
      <w:bookmarkEnd w:id="19"/>
      <w:r>
        <w:rPr>
          <w:rFonts w:ascii="Times New Roman" w:hAnsi="Times New Roman"/>
          <w:b/>
          <w:caps w:val="false"/>
          <w:smallCaps w:val="false"/>
          <w:sz w:val="20"/>
        </w:rPr>
        <w:t>ITEM 4. MINE SAFETY DISCLOSURES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bookmarkStart w:id="20" w:name="otherinfo"/>
      <w:bookmarkEnd w:id="20"/>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7"/>
        <w:gridCol w:w="9747"/>
      </w:tblGrid>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47"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Company, the Lenders, and FEAC agreed to extend the Forbearance Period under the Forbearance Agreement through and including </w:t>
            </w:r>
            <w:r>
              <w:rPr>
                <w:rStyle w:val="Emphasis"/>
                <w:rFonts w:ascii="Times New Roman" w:hAnsi="Times New Roman"/>
                <w:caps w:val="false"/>
                <w:smallCaps w:val="false"/>
                <w:sz w:val="20"/>
              </w:rPr>
              <w:t>August 31, 2026.</w:t>
            </w:r>
          </w:p>
        </w:tc>
      </w:tr>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9747"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47" w:type="dxa"/>
            <w:tcBorders/>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applicable.</w:t>
            </w:r>
          </w:p>
        </w:tc>
      </w:tr>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9747"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47"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During the quarter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no director or officer of the Company adopted, modified or terminated a “Rule 10b5-1 trading arrangement” or “non-Rule 10b5-</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such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1" w:name="exhibits"/>
      <w:bookmarkEnd w:id="21"/>
      <w:r>
        <w:rPr>
          <w:rFonts w:ascii="Times New Roman" w:hAnsi="Times New Roman"/>
          <w:b/>
          <w:caps w:val="false"/>
          <w:smallCaps w:val="false"/>
          <w:sz w:val="20"/>
        </w:rPr>
        <w:t>ITEM 6.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60"/>
        <w:gridCol w:w="230"/>
        <w:gridCol w:w="755"/>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6"/>
        <w:gridCol w:w="60"/>
        <w:gridCol w:w="9348"/>
        <w:gridCol w:w="60"/>
        <w:gridCol w:w="61"/>
      </w:tblGrid>
      <w:tr>
        <w:trPr/>
        <w:tc>
          <w:tcPr>
            <w:tcW w:w="676"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348"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283"/>
              <w:ind w:left="0" w:right="0" w:hanging="0"/>
              <w:jc w:val="left"/>
              <w:rPr/>
            </w:pPr>
            <w:hyperlink r:id="rId2">
              <w:r>
                <w:rPr>
                  <w:rStyle w:val="InternetLink"/>
                  <w:rFonts w:ascii="Times New Roman" w:hAnsi="Times New Roman"/>
                  <w:sz w:val="20"/>
                  <w:u w:val="single"/>
                </w:rPr>
                <w:t>Share Purchase Agreement dated as of July 31, 2026 by and among Aurora International, LLC, Aurora Peat Products ULC, and 2817049 Alberta Ltd. (incorporated by reference to Exhibit 2.1 of the Company’s Current Report on Form 8-K (File No. 001-39773), filed with the SEC on August 6, 2026).</w:t>
              </w:r>
            </w:hyperlink>
            <w:r>
              <w:rPr>
                <w:rFonts w:ascii="Times New Roman" w:hAnsi="Times New Roman"/>
                <w:sz w:val="20"/>
              </w:rPr>
              <w:t xml:space="preserve">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283"/>
              <w:jc w:val="left"/>
              <w:rPr/>
            </w:pPr>
            <w:hyperlink r:id="rId3">
              <w:r>
                <w:rPr>
                  <w:rStyle w:val="InternetLink"/>
                  <w:rFonts w:ascii="Times New Roman" w:hAnsi="Times New Roman"/>
                  <w:sz w:val="20"/>
                  <w:u w:val="single"/>
                </w:rPr>
                <w:t>Restated Certificate of Incorporation of Hydrofarm Holdings Group, Inc. (incorporated by reference to Exhibit 3.1 of the Company’s Quarterly Report on Form 10-Q (File No. 001-39773), filed with the SEC on November 12, 2025).</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Amended and Restated Bylaws (incorporated by reference to Exhibit 3.4 to the Company’s Registration Statement on Form S-1/A (File No. 333-250037), filed with the SEC on December 1, 2020).</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10.1x+</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sz w:val="20"/>
                  <w:u w:val="single"/>
                </w:rPr>
                <w:t>Offer Letter dated January 14, 2022 by and between Hydrofarm Holdings Group Inc. and Kevin O'Brien (incorporated by reference to Exhibit 10.1 of the Company's Form 10-Q filed with the SEC on May 15, 2026).</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Forbearance Agreement dated April 8, 2026, by and among Hydrofarm Holdings Group, Inc., the other credit parties from time to time party thereto, the lenders party thereto, and FEAC Agent, LLC, as administrative agent for the lenders and collateral agent for the secured parties (incorporated by reference to Exhibit 10.1 of the Company’s Current Report on Form 8-K (File No. 001-39773), filed with the SEC on April 14, 2026).</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283"/>
              <w:jc w:val="left"/>
              <w:rPr/>
            </w:pPr>
            <w:hyperlink r:id="rId7">
              <w:r>
                <w:rPr>
                  <w:rStyle w:val="InternetLink"/>
                  <w:rFonts w:ascii="Times New Roman" w:hAnsi="Times New Roman"/>
                  <w:sz w:val="20"/>
                  <w:u w:val="single"/>
                </w:rPr>
                <w:t>Amendment No. 2 to Credit and Guaranty Agreement dated April 8, 2026, by and among Hydrofarm Holdings Group, Inc., the subsidiaries of Hydrofarm Holdings Group, Inc. party thereto from time to time, the lenders party thereto and FEAC Agent, LLC, as administrative agent and collateral agent (incorporated by reference to Exhibit 10.2 of the Company’s Current Report on Form 8-K (File No. 001-39773), filed with the SEC on April 14, 2026).</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w:anchor="ex_980233.htm">
              <w:r>
                <w:rPr>
                  <w:rStyle w:val="InternetLink"/>
                  <w:rFonts w:ascii="Times New Roman" w:hAnsi="Times New Roman"/>
                  <w:caps w:val="false"/>
                  <w:smallCaps w:val="false"/>
                  <w:sz w:val="20"/>
                  <w:u w:val="single"/>
                </w:rPr>
                <w:t>Certification of Chief Executive Officer pursuant to Section 302 of the Sarbanes-Oxley Act of 2002.</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w:anchor="ex_980234.htm">
              <w:r>
                <w:rPr>
                  <w:rStyle w:val="InternetLink"/>
                  <w:rFonts w:ascii="Times New Roman" w:hAnsi="Times New Roman"/>
                  <w:caps w:val="false"/>
                  <w:smallCaps w:val="false"/>
                  <w:sz w:val="20"/>
                  <w:u w:val="single"/>
                </w:rPr>
                <w:t>Certification of Chief Financial Officer pursuant to Section 302 of the Sarbanes-Oxley Act of 2002.</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w:anchor="ex_980235.htm">
              <w:r>
                <w:rPr>
                  <w:rStyle w:val="InternetLink"/>
                  <w:rFonts w:ascii="Times New Roman" w:hAnsi="Times New Roman"/>
                  <w:caps w:val="false"/>
                  <w:smallCaps w:val="false"/>
                  <w:sz w:val="20"/>
                  <w:u w:val="single"/>
                </w:rPr>
                <w:t>Certification of Chief Executive Officer pursuant to 18 U.S.C. Section 1350, as adopted pursuant to Section 906 of the Sarbanes-Oxley Act of 2002.</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w:anchor="ex_980236.htm">
              <w:r>
                <w:rPr>
                  <w:rStyle w:val="InternetLink"/>
                  <w:rFonts w:ascii="Times New Roman" w:hAnsi="Times New Roman"/>
                  <w:caps w:val="false"/>
                  <w:smallCaps w:val="false"/>
                  <w:sz w:val="20"/>
                  <w:u w:val="single"/>
                </w:rPr>
                <w:t>Certification of Chief Financial Officer pursuant to 18 U.S.C. Section 1350, as adopted pursuant to Section 906 of the Sarbanes-Oxley Act of 2002.</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Schema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Calculation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Definition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Labels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Presentation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226" w:type="dxa"/>
            <w:tcBorders/>
            <w:vAlign w:val="center"/>
          </w:tcPr>
          <w:p>
            <w:pPr>
              <w:pStyle w:val="TableContents"/>
              <w:bidi w:val="0"/>
              <w:spacing w:before="0" w:after="0"/>
              <w:ind w:left="0" w:right="0" w:hanging="0"/>
              <w:jc w:val="left"/>
              <w:rPr/>
            </w:pPr>
            <w:r>
              <w:rPr/>
              <w:t> </w:t>
            </w:r>
          </w:p>
        </w:tc>
        <w:tc>
          <w:tcPr>
            <w:tcW w:w="9979" w:type="dxa"/>
            <w:tcBorders/>
            <w:vAlign w:val="center"/>
          </w:tcPr>
          <w:p>
            <w:pPr>
              <w:pStyle w:val="TableContents"/>
              <w:bidi w:val="0"/>
              <w:spacing w:before="0" w:after="0"/>
              <w:ind w:left="0" w:right="0" w:hanging="0"/>
              <w:jc w:val="left"/>
              <w:rPr/>
            </w:pPr>
            <w:r>
              <w:rPr/>
              <w:t> </w:t>
            </w:r>
          </w:p>
        </w:tc>
      </w:tr>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x</w:t>
            </w:r>
          </w:p>
        </w:tc>
        <w:tc>
          <w:tcPr>
            <w:tcW w:w="9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Denotes management contract or compensatory plan or arrangement.</w:t>
            </w:r>
          </w:p>
        </w:tc>
      </w:tr>
      <w:tr>
        <w:trPr/>
        <w:tc>
          <w:tcPr>
            <w:tcW w:w="226" w:type="dxa"/>
            <w:tcBorders/>
            <w:vAlign w:val="center"/>
          </w:tcPr>
          <w:p>
            <w:pPr>
              <w:pStyle w:val="TableContents"/>
              <w:bidi w:val="0"/>
              <w:spacing w:before="0" w:after="0"/>
              <w:ind w:left="0" w:right="0" w:hanging="0"/>
              <w:jc w:val="left"/>
              <w:rPr/>
            </w:pPr>
            <w:r>
              <w:rPr/>
              <w:t> </w:t>
            </w:r>
          </w:p>
        </w:tc>
        <w:tc>
          <w:tcPr>
            <w:tcW w:w="9979" w:type="dxa"/>
            <w:tcBorders/>
            <w:vAlign w:val="center"/>
          </w:tcPr>
          <w:p>
            <w:pPr>
              <w:pStyle w:val="TableContents"/>
              <w:bidi w:val="0"/>
              <w:spacing w:before="0" w:after="0"/>
              <w:ind w:left="0" w:right="0" w:hanging="0"/>
              <w:jc w:val="left"/>
              <w:rPr/>
            </w:pPr>
            <w:r>
              <w:rPr/>
              <w:t> </w:t>
            </w:r>
          </w:p>
        </w:tc>
      </w:tr>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Item 601(b)(10)(iv) of Regulation S-K, certain information (indicated by “***”) has been excluded from this exhibit because it is both not material and private or confidential. A copy of the omitted portion will be furnished to the Securities and Exchange Commission upon request. Additionally, certain schedules and exhibits have been omitted from this filing pursuant to Item 601(a)(5) of Regulation S-K. A copy of any omitted schedule or exhibit will be furnished to the Securities and Exchange Commission upon request.</w:t>
            </w:r>
          </w:p>
        </w:tc>
      </w:tr>
      <w:tr>
        <w:trPr/>
        <w:tc>
          <w:tcPr>
            <w:tcW w:w="226" w:type="dxa"/>
            <w:tcBorders/>
            <w:vAlign w:val="center"/>
          </w:tcPr>
          <w:p>
            <w:pPr>
              <w:pStyle w:val="TableContents"/>
              <w:bidi w:val="0"/>
              <w:spacing w:before="0" w:after="0"/>
              <w:ind w:left="0" w:right="0" w:hanging="0"/>
              <w:jc w:val="left"/>
              <w:rPr/>
            </w:pPr>
            <w:r>
              <w:rPr/>
              <w:t> </w:t>
            </w:r>
          </w:p>
        </w:tc>
        <w:tc>
          <w:tcPr>
            <w:tcW w:w="9979" w:type="dxa"/>
            <w:tcBorders/>
            <w:vAlign w:val="center"/>
          </w:tcPr>
          <w:p>
            <w:pPr>
              <w:pStyle w:val="TableContents"/>
              <w:bidi w:val="0"/>
              <w:spacing w:before="0" w:after="0"/>
              <w:ind w:left="0" w:right="0" w:hanging="0"/>
              <w:jc w:val="left"/>
              <w:rPr/>
            </w:pPr>
            <w:r>
              <w:rPr/>
              <w:t> </w:t>
            </w:r>
          </w:p>
        </w:tc>
      </w:tr>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certifications attached as Exhibits 32.1 and 32.2 accompany this Quarterly Report on Form 10-Q pursuant to 18 U.S.C. Section 1350, as adopted pursuant to Section 906 of the Sarbanes-Oxley Act of 2002, and shall not be deemed “filed” by the Company for purposes of Section 18 of the Exchange Act, or otherwise subject to the liability of that section, nor shall they be deemed incorporated by reference into any filing of the registrant under the Securities Act of 1933, as amended, or the Exchange Act, whether made before or after the date hereof, regardless of any general incorporation language in such filing.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center"/>
        <w:rPr>
          <w:rFonts w:ascii="Times New Roman" w:hAnsi="Times New Roman"/>
          <w:caps w:val="false"/>
          <w:smallCaps w:val="false"/>
          <w:sz w:val="20"/>
        </w:rPr>
      </w:pPr>
      <w:bookmarkStart w:id="22" w:name="signatures"/>
      <w:bookmarkEnd w:id="22"/>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1850"/>
        <w:gridCol w:w="5015"/>
      </w:tblGrid>
      <w:tr>
        <w:trPr/>
        <w:tc>
          <w:tcPr>
            <w:tcW w:w="185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Hydrofarm Holdings Group, Inc.</w:t>
            </w:r>
          </w:p>
        </w:tc>
      </w:tr>
      <w:tr>
        <w:trPr/>
        <w:tc>
          <w:tcPr>
            <w:tcW w:w="185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185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85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Chairman of the Board of Directors</w:t>
            </w:r>
          </w:p>
        </w:tc>
      </w:tr>
      <w:tr>
        <w:trPr/>
        <w:tc>
          <w:tcPr>
            <w:tcW w:w="185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850"/>
        <w:gridCol w:w="2285"/>
      </w:tblGrid>
      <w:tr>
        <w:trPr/>
        <w:tc>
          <w:tcPr>
            <w:tcW w:w="185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O'Brien</w:t>
            </w:r>
          </w:p>
        </w:tc>
      </w:tr>
      <w:tr>
        <w:trPr/>
        <w:tc>
          <w:tcPr>
            <w:tcW w:w="185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O'Brien</w:t>
            </w:r>
          </w:p>
        </w:tc>
      </w:tr>
      <w:tr>
        <w:trPr/>
        <w:tc>
          <w:tcPr>
            <w:tcW w:w="185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5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r>
        <w:trPr/>
        <w:tc>
          <w:tcPr>
            <w:tcW w:w="185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43</w:t>
      </w:r>
    </w:p>
    <w:p>
      <w:pPr>
        <w:pStyle w:val="TextBody"/>
        <w:bidi w:val="0"/>
        <w:spacing w:before="0" w:after="0"/>
        <w:ind w:left="0" w:right="0" w:hanging="0"/>
        <w:jc w:val="right"/>
        <w:rPr>
          <w:rFonts w:ascii="Times New Roman" w:hAnsi="Times New Roman"/>
          <w:caps w:val="false"/>
          <w:smallCaps w:val="false"/>
          <w:sz w:val="20"/>
        </w:rPr>
      </w:pPr>
      <w:bookmarkStart w:id="23" w:name="ex_980233.htm"/>
      <w:bookmarkStart w:id="24" w:name="ksex_980233"/>
      <w:bookmarkEnd w:id="23"/>
      <w:bookmarkEnd w:id="24"/>
      <w:r>
        <w:rPr>
          <w:rFonts w:ascii="Times New Roman" w:hAnsi="Times New Roman"/>
          <w:b/>
          <w:caps w:val="false"/>
          <w:smallCaps w:val="false"/>
          <w:sz w:val="20"/>
        </w:rPr>
        <w:t>Exhibit 31.1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 UNDER SECTION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William Toler,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Hydrofarm Holdings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5" w:name="led810056F202603061772827200443"/>
      <w:bookmarkEnd w:id="25"/>
      <w:r>
        <w:rPr>
          <w:rFonts w:ascii="Times New Roman" w:hAnsi="Times New Roman"/>
          <w:caps w:val="false"/>
          <w:smallCaps w:val="false"/>
          <w:sz w:val="20"/>
        </w:rPr>
        <w:t xml:space="preserve">August 14, 2026 </w:t>
      </w:r>
    </w:p>
    <w:p>
      <w:pPr>
        <w:pStyle w:val="TextBody"/>
        <w:bidi w:val="0"/>
        <w:spacing w:before="0" w:after="0"/>
        <w:ind w:left="0" w:right="0" w:hanging="0"/>
        <w:jc w:val="left"/>
        <w:rPr>
          <w:caps w:val="false"/>
          <w:smallCaps w:val="false"/>
        </w:rPr>
      </w:pPr>
      <w:r>
        <w:rPr>
          <w:caps w:val="false"/>
          <w:smallCaps w:val="false"/>
        </w:rPr>
        <w:t> </w:t>
      </w:r>
    </w:p>
    <w:tbl>
      <w:tblPr>
        <w:tblW w:w="5074" w:type="dxa"/>
        <w:jc w:val="left"/>
        <w:tblInd w:w="0" w:type="dxa"/>
        <w:tblLayout w:type="fixed"/>
        <w:tblCellMar>
          <w:top w:w="0" w:type="dxa"/>
          <w:left w:w="0" w:type="dxa"/>
          <w:bottom w:w="0" w:type="dxa"/>
          <w:right w:w="0" w:type="dxa"/>
        </w:tblCellMar>
      </w:tblPr>
      <w:tblGrid>
        <w:gridCol w:w="60"/>
        <w:gridCol w:w="933"/>
        <w:gridCol w:w="4081"/>
      </w:tblGrid>
      <w:tr>
        <w:trPr/>
        <w:tc>
          <w:tcPr>
            <w:tcW w:w="60"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60" w:type="dxa"/>
            <w:tcBorders/>
            <w:vAlign w:val="center"/>
          </w:tcPr>
          <w:p>
            <w:pPr>
              <w:pStyle w:val="TableContents"/>
              <w:bidi w:val="0"/>
              <w:spacing w:before="0" w:after="0"/>
              <w:ind w:left="0" w:right="0" w:hanging="0"/>
              <w:jc w:val="left"/>
              <w:rPr/>
            </w:pPr>
            <w:r>
              <w:rPr/>
              <w:t> </w:t>
            </w:r>
          </w:p>
        </w:tc>
        <w:tc>
          <w:tcPr>
            <w:tcW w:w="50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60" w:type="dxa"/>
            <w:tcBorders/>
            <w:vAlign w:val="center"/>
          </w:tcPr>
          <w:p>
            <w:pPr>
              <w:pStyle w:val="TableContents"/>
              <w:bidi w:val="0"/>
              <w:spacing w:before="0" w:after="0"/>
              <w:ind w:left="0" w:right="0" w:hanging="0"/>
              <w:jc w:val="left"/>
              <w:rPr/>
            </w:pPr>
            <w:r>
              <w:rPr/>
              <w:t> </w:t>
            </w:r>
          </w:p>
        </w:tc>
        <w:tc>
          <w:tcPr>
            <w:tcW w:w="50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Chairman of the Board of Directors</w:t>
            </w:r>
          </w:p>
        </w:tc>
      </w:tr>
      <w:tr>
        <w:trPr/>
        <w:tc>
          <w:tcPr>
            <w:tcW w:w="60" w:type="dxa"/>
            <w:tcBorders/>
            <w:vAlign w:val="center"/>
          </w:tcPr>
          <w:p>
            <w:pPr>
              <w:pStyle w:val="TableContents"/>
              <w:bidi w:val="0"/>
              <w:spacing w:before="0" w:after="0"/>
              <w:ind w:left="0" w:right="0" w:hanging="0"/>
              <w:jc w:val="left"/>
              <w:rPr/>
            </w:pPr>
            <w:r>
              <w:rPr/>
              <w:t> </w:t>
            </w:r>
          </w:p>
        </w:tc>
        <w:tc>
          <w:tcPr>
            <w:tcW w:w="50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6" w:name="ex_980234.htm"/>
      <w:bookmarkStart w:id="27" w:name="ksex_980234"/>
      <w:bookmarkEnd w:id="26"/>
      <w:bookmarkEnd w:id="27"/>
      <w:r>
        <w:rPr>
          <w:rFonts w:ascii="Times New Roman" w:hAnsi="Times New Roman"/>
          <w:b/>
          <w:caps w:val="false"/>
          <w:smallCaps w:val="false"/>
          <w:sz w:val="20"/>
        </w:rPr>
        <w:t>Exhibit 31.2</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 UNDER SECTION 302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Kevin O’Brien, certify that: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Hydrofarm Holdings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8" w:name="led810056F202602131770997800996"/>
      <w:bookmarkEnd w:id="28"/>
      <w:r>
        <w:rPr>
          <w:rFonts w:ascii="Times New Roman" w:hAnsi="Times New Roman"/>
          <w:caps w:val="false"/>
          <w:smallCaps w:val="false"/>
          <w:sz w:val="20"/>
        </w:rPr>
        <w:t xml:space="preserve">August 14, 2026 </w:t>
      </w:r>
    </w:p>
    <w:p>
      <w:pPr>
        <w:pStyle w:val="TextBody"/>
        <w:bidi w:val="0"/>
        <w:spacing w:before="0" w:after="0"/>
        <w:ind w:left="0" w:right="0" w:hanging="0"/>
        <w:jc w:val="left"/>
        <w:rPr>
          <w:caps w:val="false"/>
          <w:smallCaps w:val="false"/>
        </w:rPr>
      </w:pPr>
      <w:r>
        <w:rPr>
          <w:caps w:val="false"/>
          <w:smallCaps w:val="false"/>
        </w:rPr>
        <w:t> </w:t>
      </w:r>
    </w:p>
    <w:tbl>
      <w:tblPr>
        <w:tblW w:w="2344" w:type="dxa"/>
        <w:jc w:val="left"/>
        <w:tblInd w:w="0" w:type="dxa"/>
        <w:tblLayout w:type="fixed"/>
        <w:tblCellMar>
          <w:top w:w="0" w:type="dxa"/>
          <w:left w:w="0" w:type="dxa"/>
          <w:bottom w:w="0" w:type="dxa"/>
          <w:right w:w="0" w:type="dxa"/>
        </w:tblCellMar>
      </w:tblPr>
      <w:tblGrid>
        <w:gridCol w:w="60"/>
        <w:gridCol w:w="413"/>
        <w:gridCol w:w="1871"/>
      </w:tblGrid>
      <w:tr>
        <w:trPr/>
        <w:tc>
          <w:tcPr>
            <w:tcW w:w="60"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O’Brien</w:t>
            </w:r>
          </w:p>
        </w:tc>
      </w:tr>
      <w:tr>
        <w:trPr/>
        <w:tc>
          <w:tcPr>
            <w:tcW w:w="60" w:type="dxa"/>
            <w:tcBorders/>
            <w:vAlign w:val="center"/>
          </w:tcPr>
          <w:p>
            <w:pPr>
              <w:pStyle w:val="TableContents"/>
              <w:bidi w:val="0"/>
              <w:spacing w:before="0" w:after="0"/>
              <w:ind w:left="0" w:right="0" w:hanging="0"/>
              <w:jc w:val="left"/>
              <w:rPr/>
            </w:pPr>
            <w:r>
              <w:rPr/>
              <w:t> </w:t>
            </w:r>
          </w:p>
        </w:tc>
        <w:tc>
          <w:tcPr>
            <w:tcW w:w="228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O’Brien</w:t>
            </w:r>
          </w:p>
        </w:tc>
      </w:tr>
      <w:tr>
        <w:trPr/>
        <w:tc>
          <w:tcPr>
            <w:tcW w:w="60" w:type="dxa"/>
            <w:tcBorders/>
            <w:vAlign w:val="center"/>
          </w:tcPr>
          <w:p>
            <w:pPr>
              <w:pStyle w:val="TableContents"/>
              <w:bidi w:val="0"/>
              <w:spacing w:before="0" w:after="0"/>
              <w:ind w:left="0" w:right="0" w:hanging="0"/>
              <w:jc w:val="left"/>
              <w:rPr/>
            </w:pPr>
            <w:r>
              <w:rPr/>
              <w:t> </w:t>
            </w:r>
          </w:p>
        </w:tc>
        <w:tc>
          <w:tcPr>
            <w:tcW w:w="228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0"/>
              <w:ind w:left="0" w:right="0" w:hanging="0"/>
              <w:jc w:val="left"/>
              <w:rPr/>
            </w:pPr>
            <w:r>
              <w:rPr/>
              <w:t> </w:t>
            </w:r>
          </w:p>
        </w:tc>
        <w:tc>
          <w:tcPr>
            <w:tcW w:w="228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9" w:name="ex_980235.htm"/>
      <w:bookmarkStart w:id="30" w:name="ksex_980235"/>
      <w:bookmarkEnd w:id="29"/>
      <w:bookmarkEnd w:id="30"/>
      <w:r>
        <w:rPr>
          <w:rFonts w:ascii="Times New Roman" w:hAnsi="Times New Roman"/>
          <w:b/>
          <w:caps w:val="false"/>
          <w:smallCaps w:val="false"/>
          <w:sz w:val="20"/>
        </w:rPr>
        <w:t>Exhibit 32.1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 UNDER SECTION 906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(subsections (a) and (b) of section 1350, chapter 63 of title 18, United States Code), each of the undersigned officers of Hydrofarm Holdings Group, Inc., a Delaware corporation (the “Company”), does hereby certify, to such officer’s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Quarterly Report for the quarter ended </w:t>
      </w:r>
      <w:bookmarkStart w:id="31" w:name="led810056F202602131770997893177"/>
      <w:bookmarkEnd w:id="31"/>
      <w:r>
        <w:rPr>
          <w:rFonts w:ascii="Times New Roman" w:hAnsi="Times New Roman"/>
          <w:caps w:val="false"/>
          <w:smallCaps w:val="false"/>
          <w:sz w:val="20"/>
        </w:rPr>
        <w:t>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955"/>
        <w:gridCol w:w="5015"/>
      </w:tblGrid>
      <w:tr>
        <w:trPr/>
        <w:tc>
          <w:tcPr>
            <w:tcW w:w="19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Dated: </w:t>
            </w:r>
            <w:bookmarkStart w:id="32" w:name="led810056F202602131770997907009"/>
            <w:bookmarkEnd w:id="32"/>
            <w:r>
              <w:rPr>
                <w:rFonts w:ascii="Times New Roman" w:hAnsi="Times New Roman"/>
                <w:sz w:val="20"/>
              </w:rPr>
              <w:t>August 14, 2026</w:t>
            </w:r>
          </w:p>
        </w:tc>
        <w:tc>
          <w:tcPr>
            <w:tcW w:w="5015" w:type="dxa"/>
            <w:tcBorders>
              <w:bottom w:val="single" w:sz="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William Toler</w:t>
            </w:r>
          </w:p>
        </w:tc>
      </w:tr>
      <w:tr>
        <w:trPr/>
        <w:tc>
          <w:tcPr>
            <w:tcW w:w="195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95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Chief Executive Officer &amp; Chairman of the Board of Directors</w:t>
            </w:r>
          </w:p>
        </w:tc>
      </w:tr>
      <w:tr>
        <w:trPr/>
        <w:tc>
          <w:tcPr>
            <w:tcW w:w="195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right"/>
        <w:rPr>
          <w:rFonts w:ascii="Times New Roman" w:hAnsi="Times New Roman"/>
          <w:caps w:val="false"/>
          <w:smallCaps w:val="false"/>
          <w:sz w:val="20"/>
        </w:rPr>
      </w:pPr>
      <w:bookmarkStart w:id="33" w:name="ex_980236.htm"/>
      <w:bookmarkStart w:id="34" w:name="ksex_980236"/>
      <w:bookmarkEnd w:id="33"/>
      <w:bookmarkEnd w:id="34"/>
      <w:r>
        <w:rPr>
          <w:rFonts w:ascii="Times New Roman" w:hAnsi="Times New Roman"/>
          <w:b/>
          <w:caps w:val="false"/>
          <w:smallCaps w:val="false"/>
          <w:sz w:val="20"/>
        </w:rPr>
        <w:t>Exhibit 32.2</w:t>
      </w:r>
      <w:r>
        <w:rPr>
          <w:rFonts w:ascii="Times New Roman" w:hAnsi="Times New Roman"/>
          <w:caps w:val="false"/>
          <w:smallCaps w:val="false"/>
          <w:sz w:val="20"/>
        </w:rPr>
        <w:t xml:space="preserve"> </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t>CERTIFICATIONS UNDER SECTION 906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(subsections (a) and (b) of section 1350, chapter 63 of title 18, United States Code), each of the undersigned officers of Hydrofarm Holdings Group, Inc., a Delaware corporation (the “Company”), does hereby certify, to such officer’s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Quarterly Report for the quarter ended </w:t>
      </w:r>
      <w:bookmarkStart w:id="35" w:name="led810056F202602131770997967170"/>
      <w:bookmarkEnd w:id="35"/>
      <w:r>
        <w:rPr>
          <w:rFonts w:ascii="Times New Roman" w:hAnsi="Times New Roman"/>
          <w:caps w:val="false"/>
          <w:smallCaps w:val="false"/>
          <w:sz w:val="20"/>
        </w:rPr>
        <w:t>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955"/>
        <w:gridCol w:w="2285"/>
      </w:tblGrid>
      <w:tr>
        <w:trPr/>
        <w:tc>
          <w:tcPr>
            <w:tcW w:w="19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Dated: </w:t>
            </w:r>
            <w:bookmarkStart w:id="36" w:name="led810056F202602131770997982800"/>
            <w:bookmarkEnd w:id="36"/>
            <w:r>
              <w:rPr>
                <w:rFonts w:ascii="Times New Roman" w:hAnsi="Times New Roman"/>
                <w:sz w:val="20"/>
              </w:rPr>
              <w:t>August 14, 2026</w:t>
            </w:r>
          </w:p>
        </w:tc>
        <w:tc>
          <w:tcPr>
            <w:tcW w:w="2285" w:type="dxa"/>
            <w:tcBorders>
              <w:bottom w:val="single" w:sz="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Kevin O’Brien</w:t>
            </w:r>
          </w:p>
        </w:tc>
      </w:tr>
      <w:tr>
        <w:trPr/>
        <w:tc>
          <w:tcPr>
            <w:tcW w:w="1955"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O’Brien</w:t>
            </w:r>
          </w:p>
        </w:tc>
      </w:tr>
      <w:tr>
        <w:trPr/>
        <w:tc>
          <w:tcPr>
            <w:tcW w:w="1955"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55"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695295/000143774926026270/ex_998809.htm" TargetMode="External"/><Relationship Id="rId3" Type="http://schemas.openxmlformats.org/officeDocument/2006/relationships/hyperlink" Target="http://www.sec.gov/Archives/edgar/data/0001695295/000169529525000010/ex31-restatedarticlesofinc.htm" TargetMode="External"/><Relationship Id="rId4" Type="http://schemas.openxmlformats.org/officeDocument/2006/relationships/hyperlink" Target="http://www.sec.gov/Archives/edgar/data/1695295/000110465920131064/tm2027341d8_ex3-4.htm" TargetMode="External"/><Relationship Id="rId5" Type="http://schemas.openxmlformats.org/officeDocument/2006/relationships/hyperlink" Target="http://www.sec.gov/Archives/edgar/data/0001695295/000143774926017373/ex_958361.htm" TargetMode="External"/><Relationship Id="rId6" Type="http://schemas.openxmlformats.org/officeDocument/2006/relationships/hyperlink" Target="http://www.sec.gov/Archives/edgar/data/0001695295/000143774926012177/ex_944337.htm" TargetMode="External"/><Relationship Id="rId7" Type="http://schemas.openxmlformats.org/officeDocument/2006/relationships/hyperlink" Target="http://www.sec.gov/Archives/edgar/data/0001695295/000143774926012177/ex_944338.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23720</Words>
  <Characters>129485</Characters>
  <CharactersWithSpaces>154756</CharactersWithSpaces>
  <Paragraphs>5891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