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yfm20260209_8k.htm"/>
      <w:bookmarkStart w:id="1" w:name="kshyfm20260209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May 15, 2026</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Hydrofarm Holdings Group,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28" w:type="dxa"/>
          <w:right w:w="0" w:type="dxa"/>
        </w:tblCellMar>
      </w:tblPr>
      <w:tblGrid>
        <w:gridCol w:w="2480"/>
        <w:gridCol w:w="60"/>
        <w:gridCol w:w="110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001-39773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81-4895761</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1510 Main Street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Shoemakersville, PA</w:t>
      </w:r>
      <w:r>
        <w:rPr>
          <w:rFonts w:ascii="Times New Roman" w:hAnsi="Times New Roman"/>
          <w:caps w:val="false"/>
          <w:smallCaps w:val="false"/>
          <w:sz w:val="20"/>
        </w:rPr>
        <w:t> </w:t>
      </w:r>
      <w:r>
        <w:rPr>
          <w:rFonts w:ascii="Times New Roman" w:hAnsi="Times New Roman"/>
          <w:b/>
          <w:caps w:val="false"/>
          <w:smallCaps w:val="false"/>
          <w:sz w:val="20"/>
        </w:rPr>
        <w:t>19555</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(707) 765-9990</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bdr w:val="single" w:sz="2" w:space="1" w:color="000000"/>
        </w:rPr>
      </w:pPr>
      <w:r>
        <w:rPr>
          <w:caps w:val="false"/>
          <w:smallCaps w:val="false"/>
          <w:bdr w:val="single" w:sz="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85" w:type="dxa"/>
        <w:jc w:val="left"/>
        <w:tblInd w:w="0" w:type="dxa"/>
        <w:tblLayout w:type="fixed"/>
        <w:tblCellMar>
          <w:top w:w="28" w:type="dxa"/>
          <w:left w:w="28" w:type="dxa"/>
          <w:bottom w:w="28" w:type="dxa"/>
          <w:right w:w="0" w:type="dxa"/>
        </w:tblCellMar>
      </w:tblPr>
      <w:tblGrid>
        <w:gridCol w:w="3605"/>
        <w:gridCol w:w="1505"/>
        <w:gridCol w:w="3575"/>
      </w:tblGrid>
      <w:tr>
        <w:trPr/>
        <w:tc>
          <w:tcPr>
            <w:tcW w:w="36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HYFM</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bdr w:val="double" w:sz="10" w:space="1" w:color="000000"/>
        </w:rPr>
      </w:pPr>
      <w:r>
        <w:rPr>
          <w:caps w:val="false"/>
          <w:smallCaps w:val="false"/>
          <w:bdr w:val="double" w:sz="10"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15, 2026, Hydrofarm Holdings Group, Inc. (the "Company") issued a press release announcing its financial results for the first quarter ended March 31, 2026. The full text of the press release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Item 2.02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28" w:type="dxa"/>
          <w:right w:w="0" w:type="dxa"/>
        </w:tblCellMar>
      </w:tblPr>
      <w:tblGrid>
        <w:gridCol w:w="650"/>
        <w:gridCol w:w="60"/>
        <w:gridCol w:w="6515"/>
      </w:tblGrid>
      <w:tr>
        <w:trPr/>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65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918850.htm">
              <w:r>
                <w:rPr>
                  <w:rStyle w:val="InternetLink"/>
                  <w:rFonts w:ascii="Times New Roman" w:hAnsi="Times New Roman"/>
                  <w:caps w:val="false"/>
                  <w:smallCaps w:val="false"/>
                  <w:sz w:val="20"/>
                  <w:u w:val="single"/>
                </w:rPr>
                <w:t>Press Release, dated May 15, 2026.</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20" w:type="dxa"/>
        <w:jc w:val="left"/>
        <w:tblInd w:w="0" w:type="dxa"/>
        <w:tblLayout w:type="fixed"/>
        <w:tblCellMar>
          <w:top w:w="0" w:type="dxa"/>
          <w:left w:w="0" w:type="dxa"/>
          <w:bottom w:w="0" w:type="dxa"/>
          <w:right w:w="0" w:type="dxa"/>
        </w:tblCellMar>
      </w:tblPr>
      <w:tblGrid>
        <w:gridCol w:w="1640"/>
        <w:gridCol w:w="320"/>
        <w:gridCol w:w="545"/>
        <w:gridCol w:w="5015"/>
      </w:tblGrid>
      <w:tr>
        <w:trPr/>
        <w:tc>
          <w:tcPr>
            <w:tcW w:w="1640" w:type="dxa"/>
            <w:tcBorders/>
            <w:vAlign w:val="center"/>
          </w:tcPr>
          <w:p>
            <w:pPr>
              <w:pStyle w:val="TableContents"/>
              <w:bidi w:val="0"/>
              <w:spacing w:before="0" w:after="0"/>
              <w:ind w:left="0" w:right="0" w:hanging="0"/>
              <w:jc w:val="left"/>
              <w:rPr/>
            </w:pPr>
            <w:r>
              <w:rPr/>
              <w:t> </w:t>
            </w:r>
          </w:p>
        </w:tc>
        <w:tc>
          <w:tcPr>
            <w:tcW w:w="5880"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Hydrofarm Holdings Group, Inc.</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15,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6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Chairman of the Board of Directors</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2" w:name="ex_918850.htm"/>
      <w:bookmarkStart w:id="3" w:name="ksex_918850"/>
      <w:bookmarkEnd w:id="2"/>
      <w:bookmarkEnd w:id="3"/>
      <w:r>
        <w:rPr>
          <w:rFonts w:ascii="Times New Roman;Times;serif" w:hAnsi="Times New Roman;Times;serif"/>
          <w:b/>
          <w:sz w:val="20"/>
        </w:rPr>
        <w:t>Exhibit 99.1</w:t>
      </w:r>
      <w:r>
        <w:rPr>
          <w:rFonts w:ascii="Times New Roman;Times;serif" w:hAnsi="Times New Roman;Times;serif"/>
          <w:sz w:val="20"/>
        </w:rPr>
        <w:t xml:space="preserve"> </w:t>
      </w:r>
      <w:r>
        <w:br w:type="page"/>
      </w:r>
    </w:p>
    <w:p>
      <w:pPr>
        <w:pStyle w:val="TextBody"/>
        <w:bidi w:val="0"/>
        <w:spacing w:before="0" w:after="0"/>
        <w:ind w:left="1440" w:right="0" w:firstLine="72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6692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8286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Calibri" w:hAnsi="Calibri"/>
          <w:caps w:val="false"/>
          <w:smallCaps w:val="false"/>
          <w:sz w:val="24"/>
        </w:rPr>
      </w:pPr>
      <w:r>
        <w:rPr>
          <w:rFonts w:ascii="Calibri" w:hAnsi="Calibri"/>
          <w:b/>
          <w:caps w:val="false"/>
          <w:smallCaps w:val="false"/>
          <w:sz w:val="24"/>
        </w:rPr>
        <w:t>Hydrofarm Holdings Group Announces </w:t>
      </w:r>
      <w:bookmarkStart w:id="4" w:name="led810055F202602131771013311447"/>
      <w:bookmarkEnd w:id="4"/>
      <w:r>
        <w:rPr>
          <w:rFonts w:ascii="Calibri" w:hAnsi="Calibri"/>
          <w:b/>
          <w:caps w:val="false"/>
          <w:smallCaps w:val="false"/>
          <w:sz w:val="24"/>
        </w:rPr>
        <w:t>First Quarter </w:t>
      </w:r>
      <w:bookmarkStart w:id="5" w:name="led810056F202602131771013329407"/>
      <w:bookmarkEnd w:id="5"/>
      <w:r>
        <w:rPr>
          <w:rFonts w:ascii="Calibri" w:hAnsi="Calibri"/>
          <w:b/>
          <w:caps w:val="false"/>
          <w:smallCaps w:val="false"/>
          <w:sz w:val="24"/>
        </w:rPr>
        <w:t>2026 Results</w:t>
      </w:r>
      <w:r>
        <w:rPr>
          <w:rFonts w:ascii="Calibri" w:hAnsi="Calibri"/>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Shoemakersville, PA — May 15, 2026 — Hydrofarm Holdings Group, Inc. (“Hydrofarm” or the “Company”) (Nasdaq: HYFM), a leading independent manufacturer and distributor of branded hydroponics equipment and supplies for controlled environment agriculture, today announced financial results for its </w:t>
      </w:r>
      <w:bookmarkStart w:id="6" w:name="led810055F202602131771013358526"/>
      <w:bookmarkEnd w:id="6"/>
      <w:r>
        <w:rPr>
          <w:rFonts w:ascii="Calibri" w:hAnsi="Calibri"/>
          <w:caps w:val="false"/>
          <w:smallCaps w:val="false"/>
          <w:sz w:val="20"/>
        </w:rPr>
        <w:t>first quarter ended </w:t>
      </w:r>
      <w:bookmarkStart w:id="7" w:name="led810056F202602131771013376108"/>
      <w:bookmarkEnd w:id="7"/>
      <w:r>
        <w:rPr>
          <w:rFonts w:ascii="Calibri" w:hAnsi="Calibri"/>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Comparison of First Quarter vs. Prior Year Period:</w:t>
      </w:r>
      <w:r>
        <w:rPr>
          <w:rFonts w:ascii="Calibri" w:hAnsi="Calibri"/>
          <w:caps w:val="false"/>
          <w:smallCaps w:val="false"/>
          <w:sz w:val="20"/>
        </w:rPr>
        <w:t xml:space="preserve"> </w:t>
      </w:r>
    </w:p>
    <w:tbl>
      <w:tblPr>
        <w:tblW w:w="5215" w:type="dxa"/>
        <w:jc w:val="left"/>
        <w:tblInd w:w="0" w:type="dxa"/>
        <w:tblLayout w:type="fixed"/>
        <w:tblCellMar>
          <w:top w:w="0" w:type="dxa"/>
          <w:left w:w="0" w:type="dxa"/>
          <w:bottom w:w="0" w:type="dxa"/>
          <w:right w:w="0" w:type="dxa"/>
        </w:tblCellMar>
      </w:tblPr>
      <w:tblGrid>
        <w:gridCol w:w="60"/>
        <w:gridCol w:w="110"/>
        <w:gridCol w:w="50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Net sales decreased to $28.5 million compared to $40.5 million.</w:t>
            </w:r>
          </w:p>
        </w:tc>
      </w:tr>
    </w:tbl>
    <w:tbl>
      <w:tblPr>
        <w:tblW w:w="5800" w:type="dxa"/>
        <w:jc w:val="left"/>
        <w:tblInd w:w="0" w:type="dxa"/>
        <w:tblLayout w:type="fixed"/>
        <w:tblCellMar>
          <w:top w:w="0" w:type="dxa"/>
          <w:left w:w="0" w:type="dxa"/>
          <w:bottom w:w="0" w:type="dxa"/>
          <w:right w:w="0" w:type="dxa"/>
        </w:tblCellMar>
      </w:tblPr>
      <w:tblGrid>
        <w:gridCol w:w="60"/>
        <w:gridCol w:w="110"/>
        <w:gridCol w:w="563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30"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Gross Profit Margin decreased to 6.4% of net sales compared to 17.0%.</w:t>
            </w:r>
          </w:p>
        </w:tc>
      </w:tr>
    </w:tbl>
    <w:tbl>
      <w:tblPr>
        <w:tblW w:w="6835" w:type="dxa"/>
        <w:jc w:val="left"/>
        <w:tblInd w:w="0" w:type="dxa"/>
        <w:tblLayout w:type="fixed"/>
        <w:tblCellMar>
          <w:top w:w="0" w:type="dxa"/>
          <w:left w:w="0" w:type="dxa"/>
          <w:bottom w:w="0" w:type="dxa"/>
          <w:right w:w="0" w:type="dxa"/>
        </w:tblCellMar>
      </w:tblPr>
      <w:tblGrid>
        <w:gridCol w:w="60"/>
        <w:gridCol w:w="110"/>
        <w:gridCol w:w="666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5"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Adjusted Gross Profit Margin</w:t>
            </w:r>
            <w:r>
              <w:rPr>
                <w:rFonts w:ascii="Calibri" w:hAnsi="Calibri"/>
                <w:caps w:val="false"/>
                <w:smallCaps w:val="false"/>
                <w:position w:val="7"/>
                <w:sz w:val="16"/>
                <w:sz w:val="20"/>
              </w:rPr>
              <w:t>(1)</w:t>
            </w:r>
            <w:r>
              <w:rPr>
                <w:rFonts w:ascii="Calibri" w:hAnsi="Calibri"/>
                <w:caps w:val="false"/>
                <w:smallCaps w:val="false"/>
                <w:sz w:val="20"/>
              </w:rPr>
              <w:t> decreased to 15.8% of net sales compared to 21.0%.</w:t>
            </w:r>
          </w:p>
        </w:tc>
      </w:tr>
    </w:tbl>
    <w:tbl>
      <w:tblPr>
        <w:tblW w:w="7390" w:type="dxa"/>
        <w:jc w:val="left"/>
        <w:tblInd w:w="0" w:type="dxa"/>
        <w:tblLayout w:type="fixed"/>
        <w:tblCellMar>
          <w:top w:w="0" w:type="dxa"/>
          <w:left w:w="0" w:type="dxa"/>
          <w:bottom w:w="0" w:type="dxa"/>
          <w:right w:w="0" w:type="dxa"/>
        </w:tblCellMar>
      </w:tblPr>
      <w:tblGrid>
        <w:gridCol w:w="60"/>
        <w:gridCol w:w="110"/>
        <w:gridCol w:w="722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SG&amp;A expense and Adjusted SG&amp;A</w:t>
            </w:r>
            <w:r>
              <w:rPr>
                <w:rFonts w:ascii="Calibri" w:hAnsi="Calibri"/>
                <w:caps w:val="false"/>
                <w:smallCaps w:val="false"/>
                <w:position w:val="7"/>
                <w:sz w:val="16"/>
                <w:sz w:val="20"/>
              </w:rPr>
              <w:t>(1)</w:t>
            </w:r>
            <w:r>
              <w:rPr>
                <w:rFonts w:ascii="Calibri" w:hAnsi="Calibri"/>
                <w:caps w:val="false"/>
                <w:smallCaps w:val="false"/>
                <w:sz w:val="20"/>
              </w:rPr>
              <w:t> expense decreased by 40.8% and 23.1%, respectively.</w:t>
            </w:r>
          </w:p>
        </w:tc>
      </w:tr>
    </w:tbl>
    <w:tbl>
      <w:tblPr>
        <w:tblW w:w="5095" w:type="dxa"/>
        <w:jc w:val="left"/>
        <w:tblInd w:w="0" w:type="dxa"/>
        <w:tblLayout w:type="fixed"/>
        <w:tblCellMar>
          <w:top w:w="0" w:type="dxa"/>
          <w:left w:w="0" w:type="dxa"/>
          <w:bottom w:w="0" w:type="dxa"/>
          <w:right w:w="0" w:type="dxa"/>
        </w:tblCellMar>
      </w:tblPr>
      <w:tblGrid>
        <w:gridCol w:w="60"/>
        <w:gridCol w:w="110"/>
        <w:gridCol w:w="492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Net loss increased to $14.6 million compared to $14.4 million.</w:t>
            </w:r>
          </w:p>
        </w:tc>
      </w:tr>
    </w:tbl>
    <w:tbl>
      <w:tblPr>
        <w:tblW w:w="5200" w:type="dxa"/>
        <w:jc w:val="left"/>
        <w:tblInd w:w="0" w:type="dxa"/>
        <w:tblLayout w:type="fixed"/>
        <w:tblCellMar>
          <w:top w:w="0" w:type="dxa"/>
          <w:left w:w="0" w:type="dxa"/>
          <w:bottom w:w="0" w:type="dxa"/>
          <w:right w:w="0" w:type="dxa"/>
        </w:tblCellMar>
      </w:tblPr>
      <w:tblGrid>
        <w:gridCol w:w="60"/>
        <w:gridCol w:w="110"/>
        <w:gridCol w:w="503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Adjusted EBITDA</w:t>
            </w:r>
            <w:r>
              <w:rPr>
                <w:rFonts w:ascii="Calibri" w:hAnsi="Calibri"/>
                <w:caps w:val="false"/>
                <w:smallCaps w:val="false"/>
                <w:position w:val="7"/>
                <w:sz w:val="16"/>
                <w:sz w:val="20"/>
              </w:rPr>
              <w:t xml:space="preserve">(1) </w:t>
            </w:r>
            <w:r>
              <w:rPr>
                <w:rFonts w:ascii="Calibri" w:hAnsi="Calibri"/>
                <w:caps w:val="false"/>
                <w:smallCaps w:val="false"/>
                <w:sz w:val="20"/>
              </w:rPr>
              <w:t>of $(3.9) million compared to $(2.4) million.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Cash used in operating activities and Free Cash Flow</w:t>
            </w:r>
            <w:r>
              <w:rPr>
                <w:rFonts w:ascii="Calibri" w:hAnsi="Calibri"/>
                <w:caps w:val="false"/>
                <w:smallCaps w:val="false"/>
                <w:position w:val="7"/>
                <w:sz w:val="16"/>
                <w:sz w:val="20"/>
              </w:rPr>
              <w:t>(1)</w:t>
            </w:r>
            <w:r>
              <w:rPr>
                <w:rFonts w:ascii="Calibri" w:hAnsi="Calibri"/>
                <w:caps w:val="false"/>
                <w:smallCaps w:val="false"/>
                <w:sz w:val="20"/>
              </w:rPr>
              <w:t> were each $(0.8) million, compared to $(11.8) million and $(12.0) million, respectively, in the prior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i/>
          <w:caps w:val="false"/>
          <w:smallCaps w:val="false"/>
          <w:sz w:val="20"/>
        </w:rPr>
        <w:t xml:space="preserve">(1) Adjusted Gross Profit, Adjusted Gross Profit Margin, Adjusted SG&amp;A, Adjusted SG&amp;A as a percent of net sales, Adjusted EBITDA, and Free Cash Flow are non-GAAP measures. For a description of our non-GAAP measures see the </w:t>
      </w:r>
      <w:r>
        <w:rPr>
          <w:rFonts w:ascii="Calibri" w:hAnsi="Calibri"/>
          <w:caps w:val="false"/>
          <w:smallCaps w:val="false"/>
          <w:sz w:val="20"/>
        </w:rPr>
        <w:t>“</w:t>
      </w:r>
      <w:r>
        <w:rPr>
          <w:rFonts w:ascii="Calibri" w:hAnsi="Calibri"/>
          <w:i/>
          <w:caps w:val="false"/>
          <w:smallCaps w:val="false"/>
          <w:sz w:val="20"/>
        </w:rPr>
        <w:t>Non-GAAP Measures</w:t>
      </w:r>
      <w:r>
        <w:rPr>
          <w:rFonts w:ascii="Calibri" w:hAnsi="Calibri"/>
          <w:caps w:val="false"/>
          <w:smallCaps w:val="false"/>
          <w:sz w:val="20"/>
        </w:rPr>
        <w:t xml:space="preserve">” </w:t>
      </w:r>
      <w:r>
        <w:rPr>
          <w:rFonts w:ascii="Calibri" w:hAnsi="Calibri"/>
          <w:i/>
          <w:caps w:val="false"/>
          <w:smallCaps w:val="false"/>
          <w:sz w:val="20"/>
        </w:rPr>
        <w:t>section accompanying this release;</w:t>
      </w:r>
      <w:r>
        <w:rPr>
          <w:rFonts w:ascii="Calibri" w:hAnsi="Calibri"/>
          <w:caps w:val="false"/>
          <w:smallCaps w:val="false"/>
          <w:sz w:val="20"/>
        </w:rPr>
        <w:t xml:space="preserve"> </w:t>
      </w:r>
      <w:r>
        <w:rPr>
          <w:rFonts w:ascii="Calibri" w:hAnsi="Calibri"/>
          <w:i/>
          <w:caps w:val="false"/>
          <w:smallCaps w:val="false"/>
          <w:sz w:val="20"/>
        </w:rPr>
        <w:t>and for</w:t>
      </w:r>
      <w:r>
        <w:rPr>
          <w:rFonts w:ascii="Calibri" w:hAnsi="Calibri"/>
          <w:caps w:val="false"/>
          <w:smallCaps w:val="false"/>
          <w:sz w:val="20"/>
        </w:rPr>
        <w:t xml:space="preserve"> </w:t>
      </w:r>
      <w:r>
        <w:rPr>
          <w:rFonts w:ascii="Calibri" w:hAnsi="Calibri"/>
          <w:i/>
          <w:caps w:val="false"/>
          <w:smallCaps w:val="false"/>
          <w:sz w:val="20"/>
        </w:rPr>
        <w:t xml:space="preserve">reconciliations of GAAP to non-GAAP measures see the </w:t>
      </w:r>
      <w:r>
        <w:rPr>
          <w:rFonts w:ascii="Calibri" w:hAnsi="Calibri"/>
          <w:caps w:val="false"/>
          <w:smallCaps w:val="false"/>
          <w:sz w:val="20"/>
        </w:rPr>
        <w:t>“</w:t>
      </w:r>
      <w:r>
        <w:rPr>
          <w:rFonts w:ascii="Calibri" w:hAnsi="Calibri"/>
          <w:i/>
          <w:caps w:val="false"/>
          <w:smallCaps w:val="false"/>
          <w:sz w:val="20"/>
        </w:rPr>
        <w:t>Reconciliation of Non-GAAP Measures</w:t>
      </w:r>
      <w:r>
        <w:rPr>
          <w:rFonts w:ascii="Calibri" w:hAnsi="Calibri"/>
          <w:caps w:val="false"/>
          <w:smallCaps w:val="false"/>
          <w:sz w:val="20"/>
        </w:rPr>
        <w:t xml:space="preserve">” </w:t>
      </w:r>
      <w:r>
        <w:rPr>
          <w:rFonts w:ascii="Calibri" w:hAnsi="Calibri"/>
          <w:i/>
          <w:caps w:val="false"/>
          <w:smallCaps w:val="false"/>
          <w:sz w:val="20"/>
        </w:rPr>
        <w:t>accompanying this release.</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William Toler Chief Executive Officer of Hydrofarm, said, "In the </w:t>
      </w:r>
      <w:bookmarkStart w:id="8" w:name="led810055F202602131771013444246"/>
      <w:bookmarkEnd w:id="8"/>
      <w:r>
        <w:rPr>
          <w:rFonts w:ascii="Calibri" w:hAnsi="Calibri"/>
          <w:caps w:val="false"/>
          <w:smallCaps w:val="false"/>
          <w:sz w:val="20"/>
        </w:rPr>
        <w:t>first quarter, we continued to execute on our strategic priorities. We have completed the consolidation of our U.S. manufacturing facilities into one location. During the quarter, we significantly reduced Adjusted SG&amp;A expense by 23.1% compared to the prior year, representing our 15</w:t>
      </w:r>
      <w:r>
        <w:rPr>
          <w:rFonts w:ascii="Calibri" w:hAnsi="Calibri"/>
          <w:caps w:val="false"/>
          <w:smallCaps w:val="false"/>
          <w:position w:val="7"/>
          <w:sz w:val="16"/>
          <w:sz w:val="20"/>
        </w:rPr>
        <w:t>th</w:t>
      </w:r>
      <w:r>
        <w:rPr>
          <w:rFonts w:ascii="Calibri" w:hAnsi="Calibri"/>
          <w:caps w:val="false"/>
          <w:smallCaps w:val="false"/>
          <w:sz w:val="20"/>
        </w:rPr>
        <w:t xml:space="preserve"> consecutive quarter of meaningful year-over-year expense reductions. Free Cash Flow in the first quarter was also a significant improvement over the prior year. We are focused on positioning the business to drive high quality revenue streams, improved profitability, and strengthen our financial position."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99.1</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Calibri" w:hAnsi="Calibri"/>
          <w:caps w:val="false"/>
          <w:smallCaps w:val="false"/>
          <w:sz w:val="20"/>
        </w:rPr>
      </w:pPr>
      <w:bookmarkStart w:id="9" w:name="led810055F202602131771013556775"/>
      <w:bookmarkEnd w:id="9"/>
      <w:r>
        <w:rPr>
          <w:rFonts w:ascii="Calibri" w:hAnsi="Calibri"/>
          <w:b/>
          <w:caps w:val="false"/>
          <w:smallCaps w:val="false"/>
          <w:sz w:val="20"/>
        </w:rPr>
        <w:t>First Quarter </w:t>
      </w:r>
      <w:bookmarkStart w:id="10" w:name="led810056F202602131771013534843"/>
      <w:bookmarkEnd w:id="10"/>
      <w:r>
        <w:rPr>
          <w:rFonts w:ascii="Calibri" w:hAnsi="Calibri"/>
          <w:b/>
          <w:caps w:val="false"/>
          <w:smallCaps w:val="false"/>
          <w:sz w:val="20"/>
        </w:rPr>
        <w:t>2026 Financial Results</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Net sales decreased 29.6% to $28.5 million compared to $40.5 million in the prior year period. This was due to a decline in volume/mix of products sold primarily related to industry oversupply.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Gross Profit decreased to $1.8 million, or 6.4% of net sales, compared to $6.9 million, or 17.0% of net sales, in the prior year period. Gross profit and gross profit margin were negatively impacted by $1.7 million of restructuring expenses in the first quarter. Adjusted Gross Profit</w:t>
      </w:r>
      <w:r>
        <w:rPr>
          <w:rFonts w:ascii="Calibri" w:hAnsi="Calibri"/>
          <w:caps w:val="false"/>
          <w:smallCaps w:val="false"/>
          <w:position w:val="7"/>
          <w:sz w:val="16"/>
          <w:sz w:val="20"/>
        </w:rPr>
        <w:t>(1)</w:t>
      </w:r>
      <w:r>
        <w:rPr>
          <w:rFonts w:ascii="Calibri" w:hAnsi="Calibri"/>
          <w:caps w:val="false"/>
          <w:smallCaps w:val="false"/>
          <w:sz w:val="20"/>
        </w:rPr>
        <w:t xml:space="preserve"> decreased to $4.5 million, or 15.8% of net sales, compared to $8.5 million, or 21.0% of net sales, in the prior year period. The decreases in Gross Profit, Gross Profit Margin, Adjusted Gross Profit</w:t>
      </w:r>
      <w:r>
        <w:rPr>
          <w:rFonts w:ascii="Calibri" w:hAnsi="Calibri"/>
          <w:caps w:val="false"/>
          <w:smallCaps w:val="false"/>
          <w:position w:val="7"/>
          <w:sz w:val="16"/>
          <w:sz w:val="20"/>
        </w:rPr>
        <w:t>(1)</w:t>
      </w:r>
      <w:r>
        <w:rPr>
          <w:rFonts w:ascii="Calibri" w:hAnsi="Calibri"/>
          <w:caps w:val="false"/>
          <w:smallCaps w:val="false"/>
          <w:sz w:val="20"/>
        </w:rPr>
        <w:t xml:space="preserve"> and Adjusted Gross Profit Margin</w:t>
      </w:r>
      <w:r>
        <w:rPr>
          <w:rFonts w:ascii="Calibri" w:hAnsi="Calibri"/>
          <w:caps w:val="false"/>
          <w:smallCaps w:val="false"/>
          <w:position w:val="7"/>
          <w:sz w:val="16"/>
          <w:sz w:val="20"/>
        </w:rPr>
        <w:t>(1) </w:t>
      </w:r>
      <w:r>
        <w:rPr>
          <w:rFonts w:ascii="Calibri" w:hAnsi="Calibri"/>
          <w:caps w:val="false"/>
          <w:smallCaps w:val="false"/>
          <w:sz w:val="20"/>
        </w:rPr>
        <w:t>were primarily due to lower net sales as well as lower production volumes and productivity at manufacturing facilities.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Selling, general and administrative (“SG&amp;A”) expense improved to $10.6 million, compared to $17.9 million in the prior year period, and Adjusted SG&amp;A</w:t>
      </w:r>
      <w:r>
        <w:rPr>
          <w:rFonts w:ascii="Calibri" w:hAnsi="Calibri"/>
          <w:caps w:val="false"/>
          <w:smallCaps w:val="false"/>
          <w:position w:val="7"/>
          <w:sz w:val="16"/>
          <w:sz w:val="20"/>
        </w:rPr>
        <w:t>(1)</w:t>
      </w:r>
      <w:r>
        <w:rPr>
          <w:rFonts w:ascii="Calibri" w:hAnsi="Calibri"/>
          <w:caps w:val="false"/>
          <w:smallCaps w:val="false"/>
          <w:sz w:val="20"/>
        </w:rPr>
        <w:t xml:space="preserve"> expense improved to $8.4 million compared to $11.0 million in the prior year period. Lower amortization expense contributed to the reduction in SG&amp;A. In addition, both SG&amp;A and Adjusted SG&amp;A </w:t>
      </w:r>
      <w:r>
        <w:rPr>
          <w:rFonts w:ascii="Calibri" w:hAnsi="Calibri"/>
          <w:caps w:val="false"/>
          <w:smallCaps w:val="false"/>
          <w:position w:val="7"/>
          <w:sz w:val="16"/>
          <w:sz w:val="20"/>
        </w:rPr>
        <w:t>(1)</w:t>
      </w:r>
      <w:r>
        <w:rPr>
          <w:rFonts w:ascii="Calibri" w:hAnsi="Calibri"/>
          <w:caps w:val="false"/>
          <w:smallCaps w:val="false"/>
          <w:sz w:val="20"/>
        </w:rPr>
        <w:t xml:space="preserve"> expenses decreased primarily as a result of the Company's restructuring actions and cost saving initiatives, primarily attributable to a $1.2 million decrease in employee compensation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Net loss was $14.6 million, or $(3.07) per diluted share, compared to net loss of $14.4 million, or $(3.12) per diluted share in the prior year period. Net loss declined primarily due to lower net sales, lower gross profit, and higher interest expense, partially offset by SG&amp;A reductions.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Adjusted EBITDA</w:t>
      </w:r>
      <w:r>
        <w:rPr>
          <w:rFonts w:ascii="Calibri" w:hAnsi="Calibri"/>
          <w:caps w:val="false"/>
          <w:smallCaps w:val="false"/>
          <w:position w:val="7"/>
          <w:sz w:val="16"/>
          <w:sz w:val="20"/>
        </w:rPr>
        <w:t>(1)</w:t>
      </w:r>
      <w:r>
        <w:rPr>
          <w:rFonts w:ascii="Calibri" w:hAnsi="Calibri"/>
          <w:caps w:val="false"/>
          <w:smallCaps w:val="false"/>
          <w:sz w:val="20"/>
        </w:rPr>
        <w:t xml:space="preserve"> decreased to $(3.9) million, compared to $(2.4) million in the prior year period. The reduction was related to lower net sales and lower Adjusted Gross Profit</w:t>
      </w:r>
      <w:r>
        <w:rPr>
          <w:rFonts w:ascii="Calibri" w:hAnsi="Calibri"/>
          <w:caps w:val="false"/>
          <w:smallCaps w:val="false"/>
          <w:position w:val="7"/>
          <w:sz w:val="16"/>
          <w:sz w:val="20"/>
        </w:rPr>
        <w:t>(1)</w:t>
      </w:r>
      <w:r>
        <w:rPr>
          <w:rFonts w:ascii="Calibri" w:hAnsi="Calibri"/>
          <w:caps w:val="false"/>
          <w:smallCaps w:val="false"/>
          <w:sz w:val="20"/>
        </w:rPr>
        <w:t>, partially offset by Adjusted SG&amp;A</w:t>
      </w:r>
      <w:r>
        <w:rPr>
          <w:rFonts w:ascii="Calibri" w:hAnsi="Calibri"/>
          <w:caps w:val="false"/>
          <w:smallCaps w:val="false"/>
          <w:position w:val="7"/>
          <w:sz w:val="16"/>
          <w:sz w:val="20"/>
        </w:rPr>
        <w:t>(1)</w:t>
      </w:r>
      <w:r>
        <w:rPr>
          <w:rFonts w:ascii="Calibri" w:hAnsi="Calibri"/>
          <w:caps w:val="false"/>
          <w:smallCaps w:val="false"/>
          <w:sz w:val="20"/>
        </w:rPr>
        <w:t xml:space="preserve"> expense reductions.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Balance Sheet, Liquidity and Cash Flow</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55" w:before="0" w:after="0"/>
        <w:ind w:left="0" w:right="0" w:hanging="0"/>
        <w:jc w:val="both"/>
        <w:rPr>
          <w:rFonts w:ascii="Calibri" w:hAnsi="Calibri"/>
          <w:caps w:val="false"/>
          <w:smallCaps w:val="false"/>
          <w:sz w:val="20"/>
        </w:rPr>
      </w:pPr>
      <w:r>
        <w:rPr>
          <w:rFonts w:ascii="Calibri" w:hAnsi="Calibri"/>
          <w:b w:val="false"/>
          <w:caps w:val="false"/>
          <w:smallCaps w:val="false"/>
          <w:color w:val="000000"/>
          <w:sz w:val="20"/>
        </w:rPr>
        <w:t>As of </w:t>
      </w:r>
      <w:bookmarkStart w:id="11" w:name="led810056F202602131771013610806"/>
      <w:bookmarkEnd w:id="11"/>
      <w:r>
        <w:rPr>
          <w:rFonts w:ascii="Calibri" w:hAnsi="Calibri"/>
          <w:b w:val="false"/>
          <w:caps w:val="false"/>
          <w:smallCaps w:val="false"/>
          <w:color w:val="000000"/>
          <w:sz w:val="20"/>
        </w:rPr>
        <w:t>March 31, 2026, the Company had $4.8 million in cash and $0.5 million in restricted cash. The Company ended the first quarter with $114.4 million in principal balance on its Term Loan outstanding, $7.7 million in finance leases, and $0.1 million in other debt outstanding.</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55" w:before="0" w:after="0"/>
        <w:ind w:left="0" w:right="0" w:hanging="0"/>
        <w:jc w:val="both"/>
        <w:rPr>
          <w:rFonts w:ascii="Calibri" w:hAnsi="Calibri"/>
          <w:caps w:val="false"/>
          <w:smallCaps w:val="false"/>
          <w:sz w:val="20"/>
        </w:rPr>
      </w:pPr>
      <w:r>
        <w:rPr>
          <w:rFonts w:ascii="Calibri" w:hAnsi="Calibri"/>
          <w:b w:val="false"/>
          <w:caps w:val="false"/>
          <w:smallCaps w:val="false"/>
          <w:color w:val="000000"/>
          <w:sz w:val="20"/>
        </w:rPr>
        <w:t>Cash used in operating activities was $(0.8) million and the Company invested less than $0.1 million in capital expenditures, yielding Free Cash Flow</w:t>
      </w:r>
      <w:r>
        <w:rPr>
          <w:rFonts w:ascii="Calibri" w:hAnsi="Calibri"/>
          <w:caps w:val="false"/>
          <w:smallCaps w:val="false"/>
          <w:sz w:val="20"/>
        </w:rPr>
        <w:t xml:space="preserve"> </w:t>
      </w:r>
      <w:r>
        <w:rPr>
          <w:rFonts w:ascii="Calibri" w:hAnsi="Calibri"/>
          <w:caps w:val="false"/>
          <w:smallCaps w:val="false"/>
          <w:position w:val="7"/>
          <w:sz w:val="16"/>
          <w:sz w:val="20"/>
        </w:rPr>
        <w:t>(1)</w:t>
      </w:r>
      <w:r>
        <w:rPr>
          <w:rFonts w:ascii="Calibri" w:hAnsi="Calibri"/>
          <w:caps w:val="false"/>
          <w:smallCaps w:val="false"/>
          <w:sz w:val="20"/>
        </w:rPr>
        <w:t xml:space="preserve"> </w:t>
      </w:r>
      <w:r>
        <w:rPr>
          <w:rFonts w:ascii="Calibri" w:hAnsi="Calibri"/>
          <w:b w:val="false"/>
          <w:caps w:val="false"/>
          <w:smallCaps w:val="false"/>
          <w:color w:val="000000"/>
          <w:sz w:val="20"/>
        </w:rPr>
        <w:t>of $(0.8) million during the three months ended </w:t>
      </w:r>
      <w:bookmarkStart w:id="12" w:name="led810056F202602131771013650233"/>
      <w:bookmarkEnd w:id="12"/>
      <w:r>
        <w:rPr>
          <w:rFonts w:ascii="Calibri" w:hAnsi="Calibri"/>
          <w:b w:val="false"/>
          <w:caps w:val="false"/>
          <w:smallCaps w:val="false"/>
          <w:color w:val="000000"/>
          <w:sz w:val="20"/>
        </w:rPr>
        <w:t>March 31, 2026. </w:t>
      </w:r>
      <w:r>
        <w:rPr>
          <w:rFonts w:ascii="Calibri" w:hAnsi="Calibri"/>
          <w:caps w:val="false"/>
          <w:smallCaps w:val="false"/>
          <w:sz w:val="20"/>
        </w:rPr>
        <w:t xml:space="preserve"> </w:t>
      </w:r>
      <w:r>
        <w:rPr>
          <w:rFonts w:ascii="Calibri" w:hAnsi="Calibri"/>
          <w:b w:val="false"/>
          <w:caps w:val="false"/>
          <w:smallCaps w:val="false"/>
          <w:color w:val="000000"/>
          <w:sz w:val="20"/>
        </w:rPr>
        <w:t>Free Cash Flow</w:t>
      </w:r>
      <w:r>
        <w:rPr>
          <w:rFonts w:ascii="Calibri" w:hAnsi="Calibri"/>
          <w:caps w:val="false"/>
          <w:smallCaps w:val="false"/>
          <w:sz w:val="20"/>
        </w:rPr>
        <w:t xml:space="preserve"> </w:t>
      </w:r>
      <w:r>
        <w:rPr>
          <w:rFonts w:ascii="Calibri" w:hAnsi="Calibri"/>
          <w:caps w:val="false"/>
          <w:smallCaps w:val="false"/>
          <w:position w:val="7"/>
          <w:sz w:val="16"/>
          <w:sz w:val="20"/>
        </w:rPr>
        <w:t>(1)</w:t>
      </w:r>
      <w:r>
        <w:rPr>
          <w:rFonts w:ascii="Calibri" w:hAnsi="Calibri"/>
          <w:caps w:val="false"/>
          <w:smallCaps w:val="false"/>
          <w:sz w:val="20"/>
        </w:rPr>
        <w:t xml:space="preserve"> </w:t>
      </w:r>
      <w:r>
        <w:rPr>
          <w:rFonts w:ascii="Calibri" w:hAnsi="Calibri"/>
          <w:b w:val="false"/>
          <w:caps w:val="false"/>
          <w:smallCaps w:val="false"/>
          <w:color w:val="000000"/>
          <w:sz w:val="20"/>
        </w:rPr>
        <w:t>improved by $11.2 million compared to the prior year.</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55" w:before="0" w:after="0"/>
        <w:ind w:left="0" w:right="0" w:hanging="0"/>
        <w:jc w:val="both"/>
        <w:rPr>
          <w:rFonts w:ascii="Times New Roman" w:hAnsi="Times New Roman"/>
          <w:caps w:val="false"/>
          <w:smallCaps w:val="false"/>
          <w:sz w:val="20"/>
        </w:rPr>
      </w:pPr>
      <w:r>
        <w:rPr>
          <w:rFonts w:ascii="Calibri" w:hAnsi="Calibri"/>
          <w:b w:val="false"/>
          <w:caps w:val="false"/>
          <w:smallCaps w:val="false"/>
          <w:color w:val="000000"/>
          <w:sz w:val="20"/>
        </w:rPr>
        <w:t>On February 4, 2026, the Company elected to defer making the interest payment of approximately $2.8 million on the Term Loan. As a result of the Company’s failure to pay the interest within the grace period, an event of default occurred with respect to the Term Loan. As a result of the event of default, the Term Loan was reclassified to current portion of long-term debt from long-term debt. On April 8, 2026, the Company entered into a Forbearance Agreement with the Term Loan lenders requiring certain provisions and reporting obligations, including a $1 million minimum liquidity threshold and regular budget approvals. As of the date of this earnings release, the Forbearance Agreement is continuing. The Company and its Board of Directors are exploring strategic alternatives to strengthen the Company’s liquidity and capital structure, and are engaged in ongoing discussions with the Term Loan lenders. </w:t>
      </w:r>
      <w:r>
        <w:rPr>
          <w:rFonts w:ascii="Calibri" w:hAnsi="Calibri"/>
          <w:caps w:val="false"/>
          <w:smallCaps w:val="false"/>
          <w:sz w:val="20"/>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99.1</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lineRule="atLeast" w:line="255" w:before="0" w:after="0"/>
        <w:ind w:left="0" w:right="0" w:hanging="0"/>
        <w:jc w:val="both"/>
        <w:rPr>
          <w:rFonts w:ascii="Calibri" w:hAnsi="Calibri"/>
          <w:caps w:val="false"/>
          <w:smallCaps w:val="false"/>
          <w:sz w:val="20"/>
        </w:rPr>
      </w:pPr>
      <w:r>
        <w:rPr>
          <w:rFonts w:ascii="Calibri" w:hAnsi="Calibri"/>
          <w:b/>
          <w:caps w:val="false"/>
          <w:smallCaps w:val="false"/>
          <w:color w:val="000000"/>
          <w:sz w:val="20"/>
        </w:rPr>
        <w:t>Strategic Priorities</w:t>
      </w:r>
      <w:r>
        <w:rPr>
          <w:rFonts w:ascii="Calibri" w:hAnsi="Calibri"/>
          <w:caps w:val="false"/>
          <w:smallCaps w:val="false"/>
          <w:color w:val="000000"/>
          <w:sz w:val="20"/>
        </w:rPr>
        <w:t> </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55" w:before="0" w:after="0"/>
        <w:ind w:left="0" w:right="0" w:hanging="0"/>
        <w:jc w:val="both"/>
        <w:rPr>
          <w:rFonts w:ascii="Calibri" w:hAnsi="Calibri"/>
          <w:caps w:val="false"/>
          <w:smallCaps w:val="false"/>
          <w:sz w:val="20"/>
        </w:rPr>
      </w:pPr>
      <w:r>
        <w:rPr>
          <w:rFonts w:ascii="Calibri" w:hAnsi="Calibri"/>
          <w:b w:val="false"/>
          <w:caps w:val="false"/>
          <w:smallCaps w:val="false"/>
          <w:color w:val="000000"/>
          <w:sz w:val="20"/>
        </w:rPr>
        <w:t xml:space="preserve">Hydrofarm remains committed to its strategic priorities: drive high-quality revenue streams, improve profit margins and strengthen financial position. </w:t>
      </w:r>
      <w:r>
        <w:rPr>
          <w:rFonts w:ascii="Calibri" w:hAnsi="Calibri"/>
          <w:b w:val="false"/>
          <w:caps w:val="false"/>
          <w:smallCaps w:val="false"/>
          <w:color w:val="000000"/>
          <w:sz w:val="20"/>
          <w:shd w:fill="FFFFFF" w:val="clear"/>
        </w:rPr>
        <w:t>While maintaining our dedication to customer service, we are focused on reducing costs and improving productivity within the organization. Our initiatives include implementing operational changes, consolidating our facility footprint, reducing headcount, and focusing our sales efforts on our proprietary brand offerings.</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i/>
          <w:caps w:val="false"/>
          <w:smallCaps w:val="false"/>
          <w:sz w:val="20"/>
        </w:rPr>
        <w:t xml:space="preserve">(1) Adjusted Gross Profit, Adjusted Gross Profit Margin, Adjusted SG&amp;A, Adjusted SG&amp;A as a percent of net sales, Adjusted EBITDA, and Free Cash Flow are non-GAAP measures. For a description of our non-GAAP measures see the </w:t>
      </w:r>
      <w:r>
        <w:rPr>
          <w:rFonts w:ascii="Calibri" w:hAnsi="Calibri"/>
          <w:caps w:val="false"/>
          <w:smallCaps w:val="false"/>
          <w:sz w:val="20"/>
        </w:rPr>
        <w:t>“</w:t>
      </w:r>
      <w:r>
        <w:rPr>
          <w:rFonts w:ascii="Calibri" w:hAnsi="Calibri"/>
          <w:i/>
          <w:caps w:val="false"/>
          <w:smallCaps w:val="false"/>
          <w:sz w:val="20"/>
        </w:rPr>
        <w:t>Non-GAAP Measures</w:t>
      </w:r>
      <w:r>
        <w:rPr>
          <w:rFonts w:ascii="Calibri" w:hAnsi="Calibri"/>
          <w:caps w:val="false"/>
          <w:smallCaps w:val="false"/>
          <w:sz w:val="20"/>
        </w:rPr>
        <w:t xml:space="preserve">” </w:t>
      </w:r>
      <w:r>
        <w:rPr>
          <w:rFonts w:ascii="Calibri" w:hAnsi="Calibri"/>
          <w:i/>
          <w:caps w:val="false"/>
          <w:smallCaps w:val="false"/>
          <w:sz w:val="20"/>
        </w:rPr>
        <w:t>section accompanying this release;</w:t>
      </w:r>
      <w:r>
        <w:rPr>
          <w:rFonts w:ascii="Calibri" w:hAnsi="Calibri"/>
          <w:caps w:val="false"/>
          <w:smallCaps w:val="false"/>
          <w:sz w:val="20"/>
        </w:rPr>
        <w:t xml:space="preserve"> </w:t>
      </w:r>
      <w:r>
        <w:rPr>
          <w:rFonts w:ascii="Calibri" w:hAnsi="Calibri"/>
          <w:i/>
          <w:caps w:val="false"/>
          <w:smallCaps w:val="false"/>
          <w:sz w:val="20"/>
        </w:rPr>
        <w:t>and for</w:t>
      </w:r>
      <w:r>
        <w:rPr>
          <w:rFonts w:ascii="Calibri" w:hAnsi="Calibri"/>
          <w:caps w:val="false"/>
          <w:smallCaps w:val="false"/>
          <w:sz w:val="20"/>
        </w:rPr>
        <w:t xml:space="preserve"> </w:t>
      </w:r>
      <w:r>
        <w:rPr>
          <w:rFonts w:ascii="Calibri" w:hAnsi="Calibri"/>
          <w:i/>
          <w:caps w:val="false"/>
          <w:smallCaps w:val="false"/>
          <w:sz w:val="20"/>
        </w:rPr>
        <w:t xml:space="preserve">reconciliations of GAAP to non-GAAP measures see the </w:t>
      </w:r>
      <w:r>
        <w:rPr>
          <w:rFonts w:ascii="Calibri" w:hAnsi="Calibri"/>
          <w:caps w:val="false"/>
          <w:smallCaps w:val="false"/>
          <w:sz w:val="20"/>
        </w:rPr>
        <w:t>“</w:t>
      </w:r>
      <w:r>
        <w:rPr>
          <w:rFonts w:ascii="Calibri" w:hAnsi="Calibri"/>
          <w:i/>
          <w:caps w:val="false"/>
          <w:smallCaps w:val="false"/>
          <w:sz w:val="20"/>
        </w:rPr>
        <w:t>Reconciliation of Non-GAAP Measures</w:t>
      </w:r>
      <w:r>
        <w:rPr>
          <w:rFonts w:ascii="Calibri" w:hAnsi="Calibri"/>
          <w:caps w:val="false"/>
          <w:smallCaps w:val="false"/>
          <w:sz w:val="20"/>
        </w:rPr>
        <w:t xml:space="preserve">” </w:t>
      </w:r>
      <w:r>
        <w:rPr>
          <w:rFonts w:ascii="Calibri" w:hAnsi="Calibri"/>
          <w:i/>
          <w:caps w:val="false"/>
          <w:smallCaps w:val="false"/>
          <w:sz w:val="20"/>
        </w:rPr>
        <w:t>accompanying this release.</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About Hydrofarm Holdings Group, Inc.</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Hydrofarm is a leading independent manufacturer and distributor of branded hydroponics equipment and supplies for controlled environment agriculture, including grow lights, climate control solutions, grow media and nutrients, as well as a broad portfolio of innovative proprietary branded products. For over 40 years, Hydrofarm has helped growers make growing easier and more productive. The Company’s mission is to empower growers, farmers and cultivators with products that enable greater quality, efficiency, consistency and speed in their grow projects.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99.1</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Cautionary Note Regarding Forward-Looking Statements</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i/>
          <w:caps w:val="false"/>
          <w:smallCaps w:val="false"/>
          <w:sz w:val="20"/>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 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i/>
          <w:caps w:val="false"/>
          <w:smallCaps w:val="false"/>
          <w:sz w:val="20"/>
        </w:rPr>
        <w:t>The Company's ability to continue as a going concern; The Company's level of indebtedness; The market in which the Company operates has been substantially adversely impacted by conditions of the agricultural and cannabis industries, including oversupply and decreasing prices of the products the Company's end customers sell, which, in turn, has materially adversely impacted the Company's sales and other results of operations and which may continue to do so in the future; If industry conditions worsen or are sustained for a lengthy period, the Company could be forced to take additional impairment charges and/or inventory and accounts receivable reserves, which could be substantial, and, ultimately, the Company may face liquidity challenges; The Company’s current and future debt facilities may limit the operation of the Company’s business including restricting its ability to sell products directly to the cannabis industry; Although equity financing may be available, the Company's current stock prices are at depressed levels and any such financing would be dilutive; Interruptions in the Company's supply chain could adversely impact expected sales growth and operations; Increased prices and inflation could adversely impact the Company's performance and financial results; Global political and economic conditions including the imposition of potential tariffs could increase the costs of the Company's products and adversely impact the competitiveness of the Company's products and the Company's financial results; The Company may be unable to regain compliance and continue to meet the continued listing standards of Nasdaq; The Company's restructuring activities may increase our expenses and cash expenditures, and may not have the intended cost saving effects; The highly competitive nature of the Company’s markets could adversely affect its ability to maintain or grow revenues; Certain of the Company’s products may be purchased for use in new or emerging industries or segments, including the cannabis industry, and/or be subject to varying, inconsistent, and rapidly changing laws, regulations, administrative and enforcement approaches, and consumer perceptions which may adversely impact the market for the Company’s products; The market for the Company’s products has been impacted by conditions impacting its customers, including related crop prices, climate change, and other factors impacting growers; Compliance with government laws and regulations including environmental and other public health regulations or changes in such regulations or regulatory enforcement priorities could increase the Company’s costs of doing business or limit the Company’s ability to market all of its products; Damage to the Company’s reputation or the reputation of its products or products it markets on behalf of third parties could have an adverse effect on its business; If the Company is unable to effectively execute its e-commerce business, its reputation and operating results may be harmed; The Company’s operations may be impaired if its information technology systems fail to perform adequately or if it is the subject of a data breach or cyber-attack; The Company may not be able to adequately protect its intellectual property and other proprietary rights that are material to the Company’s business; Acquisitions, other strategic alliances and investments could result in operating and integration difficulties, dilution and other harmful consequences that may adversely impact the Company’s business and results of operations. Additional detailed information concerning a number of the important factors that could cause actual results to differ materially from the forward-looking information contained in this release is readily available in the Company’s annual, quarterly and other reports. The Company disclaims any obligation to update developments of these risk factors or to announce publicly any revision to any of the forward-looking statements contained in this release, or to make corrections to reflect future events or developments except as otherwise required by law.</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Contacts:</w:t>
      </w:r>
      <w:r>
        <w:rPr>
          <w:rFonts w:ascii="Calibri" w:hAnsi="Calibri"/>
          <w:caps w:val="false"/>
          <w:smallCaps w:val="false"/>
          <w:sz w:val="20"/>
        </w:rPr>
        <w:t xml:space="preserve">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Investor Contact</w:t>
      </w:r>
      <w:r>
        <w:rPr>
          <w:rFonts w:ascii="Calibri" w:hAnsi="Calibri"/>
          <w:caps w:val="false"/>
          <w:smallCaps w:val="false"/>
          <w:sz w:val="20"/>
        </w:rPr>
        <w:t xml:space="preserve">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u w:val="single"/>
        </w:rPr>
        <w:t>ir@hydrofarm.com</w:t>
      </w:r>
      <w:r>
        <w:rPr>
          <w:rFonts w:ascii="Calibri" w:hAnsi="Calibri"/>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99.1</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 (UNAUDITED)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3" w:name="led-table-2f1a27b8-5906-4c76-8aad-e2c54d"/>
      <w:bookmarkStart w:id="14" w:name="led-table-2f1a27b8-5906-4c76-8aad-e2c54d"/>
      <w:bookmarkEnd w:id="14"/>
    </w:p>
    <w:tbl>
      <w:tblPr>
        <w:tblW w:w="7346" w:type="dxa"/>
        <w:jc w:val="left"/>
        <w:tblInd w:w="0" w:type="dxa"/>
        <w:tblLayout w:type="fixed"/>
        <w:tblCellMar>
          <w:top w:w="0" w:type="dxa"/>
          <w:left w:w="0" w:type="dxa"/>
          <w:bottom w:w="0" w:type="dxa"/>
          <w:right w:w="0" w:type="dxa"/>
        </w:tblCellMar>
      </w:tblPr>
      <w:tblGrid>
        <w:gridCol w:w="4565"/>
        <w:gridCol w:w="60"/>
        <w:gridCol w:w="158"/>
        <w:gridCol w:w="1074"/>
        <w:gridCol w:w="101"/>
        <w:gridCol w:w="76"/>
        <w:gridCol w:w="158"/>
        <w:gridCol w:w="1074"/>
        <w:gridCol w:w="80"/>
      </w:tblGrid>
      <w:tr>
        <w:trPr/>
        <w:tc>
          <w:tcPr>
            <w:tcW w:w="4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 w:name=".amt.D3"/>
            <w:bookmarkEnd w:id="15"/>
          </w:p>
        </w:tc>
        <w:tc>
          <w:tcPr>
            <w:tcW w:w="264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6" w:name=".amt.D2"/>
            <w:bookmarkEnd w:id="16"/>
          </w:p>
        </w:tc>
        <w:tc>
          <w:tcPr>
            <w:tcW w:w="12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bookmarkStart w:id="17" w:name=".amt.D31"/>
            <w:bookmarkStart w:id="18" w:name=".amt.D32"/>
            <w:bookmarkEnd w:id="17"/>
            <w:bookmarkEnd w:id="18"/>
          </w:p>
        </w:tc>
        <w:tc>
          <w:tcPr>
            <w:tcW w:w="12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0"/>
              <w:ind w:left="0" w:right="0" w:hanging="0"/>
              <w:jc w:val="left"/>
              <w:rPr/>
            </w:pPr>
            <w:r>
              <w:rPr/>
              <w:t> </w:t>
            </w:r>
            <w:bookmarkStart w:id="19" w:name=".symb.2"/>
            <w:bookmarkEnd w:id="19"/>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0" w:name=".amt.2"/>
            <w:bookmarkEnd w:id="20"/>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28,524</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bookmarkStart w:id="21" w:name=".symb.3"/>
            <w:bookmarkEnd w:id="21"/>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2" w:name=".amt.3"/>
            <w:bookmarkEnd w:id="22"/>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40,534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 w:name=".amt.21"/>
            <w:bookmarkStart w:id="24" w:name=".amt.22"/>
            <w:bookmarkEnd w:id="23"/>
            <w:bookmarkEnd w:id="24"/>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26,687</w:t>
            </w:r>
          </w:p>
        </w:tc>
        <w:tc>
          <w:tcPr>
            <w:tcW w:w="1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 w:name=".amt.31"/>
            <w:bookmarkStart w:id="26" w:name=".amt.32"/>
            <w:bookmarkEnd w:id="25"/>
            <w:bookmarkEnd w:id="26"/>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33,657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27" w:name=".amt.23"/>
            <w:bookmarkStart w:id="28" w:name=".amt.24"/>
            <w:bookmarkEnd w:id="27"/>
            <w:bookmarkEnd w:id="28"/>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1,837</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29" w:name=".amt.33"/>
            <w:bookmarkStart w:id="30" w:name=".amt.34"/>
            <w:bookmarkEnd w:id="29"/>
            <w:bookmarkEnd w:id="30"/>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6,877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 w:name=".amt.25"/>
            <w:bookmarkStart w:id="32" w:name=".amt.26"/>
            <w:bookmarkEnd w:id="31"/>
            <w:bookmarkEnd w:id="32"/>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10,568</w:t>
            </w:r>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3" w:name=".amt.35"/>
            <w:bookmarkStart w:id="34" w:name=".amt.36"/>
            <w:bookmarkEnd w:id="33"/>
            <w:bookmarkEnd w:id="34"/>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17,863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from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35" w:name=".amt.27"/>
            <w:bookmarkStart w:id="36" w:name=".amt.28"/>
            <w:bookmarkEnd w:id="35"/>
            <w:bookmarkEnd w:id="36"/>
          </w:p>
        </w:tc>
        <w:tc>
          <w:tcPr>
            <w:tcW w:w="107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(8,731</w:t>
            </w:r>
            <w:bookmarkStart w:id="37" w:name=".trail.2"/>
            <w:bookmarkEnd w:id="37"/>
          </w:p>
        </w:tc>
        <w:tc>
          <w:tcPr>
            <w:tcW w:w="10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38" w:name=".amt.37"/>
            <w:bookmarkStart w:id="39" w:name=".amt.38"/>
            <w:bookmarkEnd w:id="38"/>
            <w:bookmarkEnd w:id="39"/>
          </w:p>
        </w:tc>
        <w:tc>
          <w:tcPr>
            <w:tcW w:w="107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(10,986</w:t>
            </w:r>
            <w:bookmarkStart w:id="40" w:name=".trail.3"/>
            <w:bookmarkEnd w:id="40"/>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1" w:name=".amt.29"/>
            <w:bookmarkStart w:id="42" w:name=".amt.210"/>
            <w:bookmarkEnd w:id="41"/>
            <w:bookmarkEnd w:id="42"/>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(5,866</w:t>
            </w:r>
            <w:bookmarkStart w:id="43" w:name=".trail.21"/>
            <w:bookmarkStart w:id="44" w:name=".trail.22"/>
            <w:bookmarkEnd w:id="43"/>
            <w:bookmarkEnd w:id="44"/>
          </w:p>
        </w:tc>
        <w:tc>
          <w:tcPr>
            <w:tcW w:w="10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45" w:name=".amt.39"/>
            <w:bookmarkStart w:id="46" w:name=".amt.310"/>
            <w:bookmarkEnd w:id="45"/>
            <w:bookmarkEnd w:id="46"/>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(3,377</w:t>
            </w:r>
            <w:bookmarkStart w:id="47" w:name=".trail.31"/>
            <w:bookmarkStart w:id="48" w:name=".trail.32"/>
            <w:bookmarkEnd w:id="47"/>
            <w:bookmarkEnd w:id="48"/>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 net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 w:name=".amt.211"/>
            <w:bookmarkStart w:id="50" w:name=".amt.212"/>
            <w:bookmarkEnd w:id="49"/>
            <w:bookmarkEnd w:id="50"/>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(122</w:t>
            </w:r>
            <w:bookmarkStart w:id="51" w:name=".trail.23"/>
            <w:bookmarkStart w:id="52" w:name=".trail.24"/>
            <w:bookmarkEnd w:id="51"/>
            <w:bookmarkEnd w:id="52"/>
          </w:p>
        </w:tc>
        <w:tc>
          <w:tcPr>
            <w:tcW w:w="1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3" w:name=".amt.311"/>
            <w:bookmarkStart w:id="54" w:name=".amt.312"/>
            <w:bookmarkEnd w:id="53"/>
            <w:bookmarkEnd w:id="54"/>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tax</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55" w:name=".amt.213"/>
            <w:bookmarkStart w:id="56" w:name=".amt.214"/>
            <w:bookmarkEnd w:id="55"/>
            <w:bookmarkEnd w:id="56"/>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(14,719</w:t>
            </w:r>
            <w:bookmarkStart w:id="57" w:name=".trail.25"/>
            <w:bookmarkStart w:id="58" w:name=".trail.26"/>
            <w:bookmarkEnd w:id="57"/>
            <w:bookmarkEnd w:id="58"/>
          </w:p>
        </w:tc>
        <w:tc>
          <w:tcPr>
            <w:tcW w:w="10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59" w:name=".amt.313"/>
            <w:bookmarkStart w:id="60" w:name=".amt.314"/>
            <w:bookmarkEnd w:id="59"/>
            <w:bookmarkEnd w:id="60"/>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(14,303</w:t>
            </w:r>
            <w:bookmarkStart w:id="61" w:name=".trail.33"/>
            <w:bookmarkStart w:id="62" w:name=".trail.34"/>
            <w:bookmarkEnd w:id="61"/>
            <w:bookmarkEnd w:id="62"/>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3" w:name=".amt.215"/>
            <w:bookmarkStart w:id="64" w:name=".amt.216"/>
            <w:bookmarkEnd w:id="63"/>
            <w:bookmarkEnd w:id="64"/>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108</w:t>
            </w:r>
            <w:bookmarkStart w:id="65" w:name=".trail.27"/>
            <w:bookmarkStart w:id="66" w:name=".trail.28"/>
            <w:bookmarkEnd w:id="65"/>
            <w:bookmarkEnd w:id="66"/>
          </w:p>
        </w:tc>
        <w:tc>
          <w:tcPr>
            <w:tcW w:w="1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7" w:name=".amt.315"/>
            <w:bookmarkStart w:id="68" w:name=".amt.316"/>
            <w:bookmarkEnd w:id="67"/>
            <w:bookmarkEnd w:id="68"/>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w:t>
            </w:r>
            <w:bookmarkStart w:id="69" w:name=".trail.35"/>
            <w:bookmarkStart w:id="70" w:name=".trail.36"/>
            <w:bookmarkEnd w:id="69"/>
            <w:bookmarkEnd w:id="70"/>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bookmarkStart w:id="71" w:name=".symb.21"/>
            <w:bookmarkStart w:id="72" w:name=".symb.22"/>
            <w:bookmarkEnd w:id="71"/>
            <w:bookmarkEnd w:id="72"/>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3" w:name=".amt.217"/>
            <w:bookmarkStart w:id="74" w:name=".amt.218"/>
            <w:bookmarkEnd w:id="73"/>
            <w:bookmarkEnd w:id="74"/>
          </w:p>
        </w:tc>
        <w:tc>
          <w:tcPr>
            <w:tcW w:w="10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bookmarkStart w:id="75" w:name=".trail.29"/>
            <w:bookmarkStart w:id="76" w:name=".trail.210"/>
            <w:bookmarkEnd w:id="75"/>
            <w:bookmarkEnd w:id="76"/>
          </w:p>
        </w:tc>
        <w:tc>
          <w:tcPr>
            <w:tcW w:w="1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6" w:type="dxa"/>
            <w:tcBorders/>
            <w:shd w:fill="CCEEFF" w:val="clear"/>
            <w:vAlign w:val="center"/>
          </w:tcPr>
          <w:p>
            <w:pPr>
              <w:pStyle w:val="TableContents"/>
              <w:bidi w:val="0"/>
              <w:spacing w:before="0" w:after="0"/>
              <w:ind w:left="0" w:right="0" w:hanging="0"/>
              <w:jc w:val="left"/>
              <w:rPr/>
            </w:pPr>
            <w:r>
              <w:rPr/>
              <w:t> </w:t>
            </w:r>
            <w:bookmarkStart w:id="77" w:name=".symb.31"/>
            <w:bookmarkStart w:id="78" w:name=".symb.32"/>
            <w:bookmarkEnd w:id="77"/>
            <w:bookmarkEnd w:id="78"/>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9" w:name=".amt.317"/>
            <w:bookmarkStart w:id="80" w:name=".amt.318"/>
            <w:bookmarkEnd w:id="79"/>
            <w:bookmarkEnd w:id="80"/>
          </w:p>
        </w:tc>
        <w:tc>
          <w:tcPr>
            <w:tcW w:w="10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(14,385</w:t>
            </w:r>
            <w:bookmarkStart w:id="81" w:name=".trail.37"/>
            <w:bookmarkStart w:id="82" w:name=".trail.38"/>
            <w:bookmarkEnd w:id="81"/>
            <w:bookmarkEnd w:id="82"/>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0"/>
              <w:ind w:left="0" w:right="0" w:hanging="0"/>
              <w:jc w:val="left"/>
              <w:rPr/>
            </w:pPr>
            <w:r>
              <w:rPr/>
              <w:t> </w:t>
            </w:r>
            <w:bookmarkStart w:id="83" w:name=".symb.23"/>
            <w:bookmarkStart w:id="84" w:name=".symb.24"/>
            <w:bookmarkEnd w:id="83"/>
            <w:bookmarkEnd w:id="84"/>
          </w:p>
        </w:tc>
        <w:tc>
          <w:tcPr>
            <w:tcW w:w="1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5" w:name=".amt.219"/>
            <w:bookmarkStart w:id="86" w:name=".amt.220"/>
            <w:bookmarkEnd w:id="85"/>
            <w:bookmarkEnd w:id="86"/>
          </w:p>
        </w:tc>
        <w:tc>
          <w:tcPr>
            <w:tcW w:w="107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(3.07</w:t>
            </w:r>
            <w:bookmarkStart w:id="87" w:name=".trail.211"/>
            <w:bookmarkStart w:id="88" w:name=".trail.212"/>
            <w:bookmarkEnd w:id="87"/>
            <w:bookmarkEnd w:id="88"/>
          </w:p>
        </w:tc>
        <w:tc>
          <w:tcPr>
            <w:tcW w:w="10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6" w:type="dxa"/>
            <w:tcBorders/>
            <w:shd w:fill="FFFFFF" w:val="clear"/>
            <w:vAlign w:val="center"/>
          </w:tcPr>
          <w:p>
            <w:pPr>
              <w:pStyle w:val="TableContents"/>
              <w:bidi w:val="0"/>
              <w:spacing w:before="0" w:after="0"/>
              <w:ind w:left="0" w:right="0" w:hanging="0"/>
              <w:jc w:val="left"/>
              <w:rPr/>
            </w:pPr>
            <w:r>
              <w:rPr/>
              <w:t> </w:t>
            </w:r>
            <w:bookmarkStart w:id="89" w:name=".symb.33"/>
            <w:bookmarkStart w:id="90" w:name=".symb.34"/>
            <w:bookmarkEnd w:id="89"/>
            <w:bookmarkEnd w:id="90"/>
          </w:p>
        </w:tc>
        <w:tc>
          <w:tcPr>
            <w:tcW w:w="1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1" w:name=".amt.319"/>
            <w:bookmarkStart w:id="92" w:name=".amt.320"/>
            <w:bookmarkEnd w:id="91"/>
            <w:bookmarkEnd w:id="92"/>
          </w:p>
        </w:tc>
        <w:tc>
          <w:tcPr>
            <w:tcW w:w="107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bookmarkStart w:id="93" w:name=".trail.39"/>
            <w:bookmarkStart w:id="94" w:name=".trail.310"/>
            <w:bookmarkEnd w:id="93"/>
            <w:bookmarkEnd w:id="94"/>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0"/>
              <w:ind w:left="0" w:right="0" w:hanging="0"/>
              <w:jc w:val="left"/>
              <w:rPr/>
            </w:pPr>
            <w:r>
              <w:rPr/>
              <w:t> </w:t>
            </w:r>
            <w:bookmarkStart w:id="95" w:name=".symb.25"/>
            <w:bookmarkStart w:id="96" w:name=".symb.26"/>
            <w:bookmarkEnd w:id="95"/>
            <w:bookmarkEnd w:id="96"/>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7" w:name=".amt.221"/>
            <w:bookmarkStart w:id="98" w:name=".amt.222"/>
            <w:bookmarkEnd w:id="97"/>
            <w:bookmarkEnd w:id="98"/>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(3.07</w:t>
            </w:r>
            <w:bookmarkStart w:id="99" w:name=".trail.213"/>
            <w:bookmarkStart w:id="100" w:name=".trail.214"/>
            <w:bookmarkEnd w:id="99"/>
            <w:bookmarkEnd w:id="100"/>
          </w:p>
        </w:tc>
        <w:tc>
          <w:tcPr>
            <w:tcW w:w="10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6" w:type="dxa"/>
            <w:tcBorders/>
            <w:shd w:fill="CCEEFF" w:val="clear"/>
            <w:vAlign w:val="center"/>
          </w:tcPr>
          <w:p>
            <w:pPr>
              <w:pStyle w:val="TableContents"/>
              <w:bidi w:val="0"/>
              <w:spacing w:before="0" w:after="0"/>
              <w:ind w:left="0" w:right="0" w:hanging="0"/>
              <w:jc w:val="left"/>
              <w:rPr/>
            </w:pPr>
            <w:r>
              <w:rPr/>
              <w:t> </w:t>
            </w:r>
            <w:bookmarkStart w:id="101" w:name=".symb.35"/>
            <w:bookmarkStart w:id="102" w:name=".symb.36"/>
            <w:bookmarkEnd w:id="101"/>
            <w:bookmarkEnd w:id="102"/>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3" w:name=".amt.321"/>
            <w:bookmarkStart w:id="104" w:name=".amt.322"/>
            <w:bookmarkEnd w:id="103"/>
            <w:bookmarkEnd w:id="104"/>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bookmarkStart w:id="105" w:name=".trail.311"/>
            <w:bookmarkStart w:id="106" w:name=".trail.312"/>
            <w:bookmarkEnd w:id="105"/>
            <w:bookmarkEnd w:id="106"/>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107" w:name=".amt.223"/>
            <w:bookmarkStart w:id="108" w:name=".amt.224"/>
            <w:bookmarkEnd w:id="107"/>
            <w:bookmarkEnd w:id="108"/>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4,763,731</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bookmarkStart w:id="109" w:name=".amt.323"/>
            <w:bookmarkStart w:id="110" w:name=".amt.324"/>
            <w:bookmarkEnd w:id="109"/>
            <w:bookmarkEnd w:id="110"/>
          </w:p>
        </w:tc>
        <w:tc>
          <w:tcPr>
            <w:tcW w:w="10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4,614,510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111" w:name=".amt.225"/>
            <w:bookmarkStart w:id="112" w:name=".amt.226"/>
            <w:bookmarkEnd w:id="111"/>
            <w:bookmarkEnd w:id="112"/>
          </w:p>
        </w:tc>
        <w:tc>
          <w:tcPr>
            <w:tcW w:w="107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4,763,731</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bookmarkStart w:id="113" w:name=".amt.325"/>
            <w:bookmarkStart w:id="114" w:name=".amt.326"/>
            <w:bookmarkEnd w:id="113"/>
            <w:bookmarkEnd w:id="114"/>
          </w:p>
        </w:tc>
        <w:tc>
          <w:tcPr>
            <w:tcW w:w="107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4,614,510</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99.1</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 (UNAUDITED)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15" w:name="led-table-491ea983-eb22-4830-ab63-b39151"/>
      <w:bookmarkStart w:id="116" w:name="led-table-491ea983-eb22-4830-ab63-b39151"/>
      <w:bookmarkEnd w:id="116"/>
    </w:p>
    <w:tbl>
      <w:tblPr>
        <w:tblW w:w="10205" w:type="dxa"/>
        <w:jc w:val="left"/>
        <w:tblInd w:w="0" w:type="dxa"/>
        <w:tblLayout w:type="fixed"/>
        <w:tblCellMar>
          <w:top w:w="0" w:type="dxa"/>
          <w:left w:w="0" w:type="dxa"/>
          <w:bottom w:w="0" w:type="dxa"/>
          <w:right w:w="0" w:type="dxa"/>
        </w:tblCellMar>
      </w:tblPr>
      <w:tblGrid>
        <w:gridCol w:w="7584"/>
        <w:gridCol w:w="60"/>
        <w:gridCol w:w="156"/>
        <w:gridCol w:w="946"/>
        <w:gridCol w:w="80"/>
        <w:gridCol w:w="60"/>
        <w:gridCol w:w="175"/>
        <w:gridCol w:w="1061"/>
        <w:gridCol w:w="83"/>
      </w:tblGrid>
      <w:tr>
        <w:trPr/>
        <w:tc>
          <w:tcPr>
            <w:tcW w:w="758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17" w:name=".amt.D21"/>
            <w:bookmarkStart w:id="118" w:name=".amt.D22"/>
            <w:bookmarkEnd w:id="117"/>
            <w:bookmarkEnd w:id="118"/>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19" w:name=".amt.D33"/>
            <w:bookmarkStart w:id="120" w:name=".amt.D34"/>
            <w:bookmarkEnd w:id="119"/>
            <w:bookmarkEnd w:id="120"/>
          </w:p>
        </w:tc>
        <w:tc>
          <w:tcPr>
            <w:tcW w:w="12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0"/>
              <w:ind w:left="0" w:right="0" w:hanging="0"/>
              <w:jc w:val="left"/>
              <w:rPr/>
            </w:pPr>
            <w:r>
              <w:rPr/>
              <w:t> </w:t>
            </w:r>
            <w:bookmarkStart w:id="121" w:name=".symb.27"/>
            <w:bookmarkStart w:id="122" w:name=".symb.28"/>
            <w:bookmarkEnd w:id="121"/>
            <w:bookmarkEnd w:id="122"/>
          </w:p>
        </w:tc>
        <w:tc>
          <w:tcPr>
            <w:tcW w:w="1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3" w:name=".amt.227"/>
            <w:bookmarkStart w:id="124" w:name=".amt.228"/>
            <w:bookmarkEnd w:id="123"/>
            <w:bookmarkEnd w:id="124"/>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25" w:name=".symb.37"/>
            <w:bookmarkStart w:id="126" w:name=".symb.38"/>
            <w:bookmarkEnd w:id="125"/>
            <w:bookmarkEnd w:id="126"/>
          </w:p>
        </w:tc>
        <w:tc>
          <w:tcPr>
            <w:tcW w:w="17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7" w:name=".amt.327"/>
            <w:bookmarkStart w:id="128" w:name=".amt.328"/>
            <w:bookmarkEnd w:id="127"/>
            <w:bookmarkEnd w:id="128"/>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129" w:name=".amt.229"/>
            <w:bookmarkStart w:id="130" w:name=".amt.230"/>
            <w:bookmarkEnd w:id="129"/>
            <w:bookmarkEnd w:id="130"/>
          </w:p>
        </w:tc>
        <w:tc>
          <w:tcPr>
            <w:tcW w:w="94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131" w:name=".amt.329"/>
            <w:bookmarkStart w:id="132" w:name=".amt.330"/>
            <w:bookmarkEnd w:id="131"/>
            <w:bookmarkEnd w:id="132"/>
          </w:p>
        </w:tc>
        <w:tc>
          <w:tcPr>
            <w:tcW w:w="1061" w:type="dxa"/>
            <w:tcBorders/>
            <w:shd w:fill="FFFFFF" w:val="clear"/>
            <w:vAlign w:val="center"/>
          </w:tcPr>
          <w:p>
            <w:pPr>
              <w:pStyle w:val="TableContents"/>
              <w:bidi w:val="0"/>
              <w:spacing w:before="0" w:after="0"/>
              <w:ind w:left="0" w:right="0" w:hanging="0"/>
              <w:jc w:val="right"/>
              <w:rPr/>
            </w:pPr>
            <w:r>
              <w:rPr/>
              <w:t>—</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133" w:name=".amt.231"/>
            <w:bookmarkStart w:id="134" w:name=".amt.232"/>
            <w:bookmarkEnd w:id="133"/>
            <w:bookmarkEnd w:id="134"/>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12,082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135" w:name=".amt.331"/>
            <w:bookmarkStart w:id="136" w:name=".amt.332"/>
            <w:bookmarkEnd w:id="135"/>
            <w:bookmarkEnd w:id="136"/>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8,186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137" w:name=".amt.233"/>
            <w:bookmarkStart w:id="138" w:name=".amt.234"/>
            <w:bookmarkEnd w:id="137"/>
            <w:bookmarkEnd w:id="138"/>
          </w:p>
        </w:tc>
        <w:tc>
          <w:tcPr>
            <w:tcW w:w="94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28,806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139" w:name=".amt.333"/>
            <w:bookmarkStart w:id="140" w:name=".amt.334"/>
            <w:bookmarkEnd w:id="139"/>
            <w:bookmarkEnd w:id="140"/>
          </w:p>
        </w:tc>
        <w:tc>
          <w:tcPr>
            <w:tcW w:w="10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33,324</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141" w:name=".amt.235"/>
            <w:bookmarkStart w:id="142" w:name=".amt.236"/>
            <w:bookmarkEnd w:id="141"/>
            <w:bookmarkEnd w:id="142"/>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143" w:name=".amt.335"/>
            <w:bookmarkStart w:id="144" w:name=".amt.336"/>
            <w:bookmarkEnd w:id="143"/>
            <w:bookmarkEnd w:id="144"/>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3,622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Assets held for sale</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 w:name=".amt.237"/>
            <w:bookmarkStart w:id="146" w:name=".amt.238"/>
            <w:bookmarkEnd w:id="145"/>
            <w:bookmarkEnd w:id="146"/>
          </w:p>
        </w:tc>
        <w:tc>
          <w:tcPr>
            <w:tcW w:w="9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1,415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 w:name=".amt.337"/>
            <w:bookmarkStart w:id="148" w:name=".amt.338"/>
            <w:bookmarkEnd w:id="147"/>
            <w:bookmarkEnd w:id="148"/>
          </w:p>
        </w:tc>
        <w:tc>
          <w:tcPr>
            <w:tcW w:w="10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149" w:name=".amt.239"/>
            <w:bookmarkStart w:id="150" w:name=".amt.240"/>
            <w:bookmarkEnd w:id="149"/>
            <w:bookmarkEnd w:id="150"/>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50,536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151" w:name=".amt.339"/>
            <w:bookmarkStart w:id="152" w:name=".amt.340"/>
            <w:bookmarkEnd w:id="151"/>
            <w:bookmarkEnd w:id="152"/>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51,441</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153" w:name=".amt.241"/>
            <w:bookmarkStart w:id="154" w:name=".amt.242"/>
            <w:bookmarkEnd w:id="153"/>
            <w:bookmarkEnd w:id="154"/>
          </w:p>
        </w:tc>
        <w:tc>
          <w:tcPr>
            <w:tcW w:w="94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27,649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155" w:name=".amt.341"/>
            <w:bookmarkStart w:id="156" w:name=".amt.342"/>
            <w:bookmarkEnd w:id="155"/>
            <w:bookmarkEnd w:id="156"/>
          </w:p>
        </w:tc>
        <w:tc>
          <w:tcPr>
            <w:tcW w:w="10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30,334</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157" w:name=".amt.243"/>
            <w:bookmarkStart w:id="158" w:name=".amt.244"/>
            <w:bookmarkEnd w:id="157"/>
            <w:bookmarkEnd w:id="158"/>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35,559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159" w:name=".amt.343"/>
            <w:bookmarkStart w:id="160" w:name=".amt.344"/>
            <w:bookmarkEnd w:id="159"/>
            <w:bookmarkEnd w:id="160"/>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37,765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161" w:name=".amt.245"/>
            <w:bookmarkStart w:id="162" w:name=".amt.246"/>
            <w:bookmarkEnd w:id="161"/>
            <w:bookmarkEnd w:id="162"/>
          </w:p>
        </w:tc>
        <w:tc>
          <w:tcPr>
            <w:tcW w:w="94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163" w:name=".amt.345"/>
            <w:bookmarkStart w:id="164" w:name=".amt.346"/>
            <w:bookmarkEnd w:id="163"/>
            <w:bookmarkEnd w:id="164"/>
          </w:p>
        </w:tc>
        <w:tc>
          <w:tcPr>
            <w:tcW w:w="10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5" w:name=".amt.247"/>
            <w:bookmarkStart w:id="166" w:name=".amt.248"/>
            <w:bookmarkEnd w:id="165"/>
            <w:bookmarkEnd w:id="166"/>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1,215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7" w:name=".amt.347"/>
            <w:bookmarkStart w:id="168" w:name=".amt.348"/>
            <w:bookmarkEnd w:id="167"/>
            <w:bookmarkEnd w:id="168"/>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1,463</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FFFFFF" w:val="clear"/>
            <w:vAlign w:val="center"/>
          </w:tcPr>
          <w:p>
            <w:pPr>
              <w:pStyle w:val="TableContents"/>
              <w:bidi w:val="0"/>
              <w:spacing w:before="0" w:after="0"/>
              <w:ind w:left="0" w:right="0" w:hanging="0"/>
              <w:jc w:val="left"/>
              <w:rPr/>
            </w:pPr>
            <w:r>
              <w:rPr/>
              <w:t> </w:t>
            </w:r>
            <w:bookmarkStart w:id="169" w:name=".symb.29"/>
            <w:bookmarkStart w:id="170" w:name=".symb.210"/>
            <w:bookmarkEnd w:id="169"/>
            <w:bookmarkEnd w:id="170"/>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71" w:name=".amt.249"/>
            <w:bookmarkStart w:id="172" w:name=".amt.250"/>
            <w:bookmarkEnd w:id="171"/>
            <w:bookmarkEnd w:id="172"/>
          </w:p>
        </w:tc>
        <w:tc>
          <w:tcPr>
            <w:tcW w:w="9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117,760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73" w:name=".symb.39"/>
            <w:bookmarkStart w:id="174" w:name=".symb.310"/>
            <w:bookmarkEnd w:id="173"/>
            <w:bookmarkEnd w:id="174"/>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75" w:name=".amt.349"/>
            <w:bookmarkStart w:id="176" w:name=".amt.350"/>
            <w:bookmarkEnd w:id="175"/>
            <w:bookmarkEnd w:id="176"/>
          </w:p>
        </w:tc>
        <w:tc>
          <w:tcPr>
            <w:tcW w:w="10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123,804</w:t>
            </w:r>
          </w:p>
        </w:tc>
        <w:tc>
          <w:tcPr>
            <w:tcW w:w="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deficit</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bookmarkStart w:id="177" w:name=".symb.211"/>
            <w:bookmarkStart w:id="178" w:name=".symb.212"/>
            <w:bookmarkEnd w:id="177"/>
            <w:bookmarkEnd w:id="178"/>
          </w:p>
        </w:tc>
        <w:tc>
          <w:tcPr>
            <w:tcW w:w="1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79" w:name=".amt.251"/>
            <w:bookmarkStart w:id="180" w:name=".amt.252"/>
            <w:bookmarkEnd w:id="179"/>
            <w:bookmarkEnd w:id="180"/>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14,526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81" w:name=".symb.311"/>
            <w:bookmarkStart w:id="182" w:name=".symb.312"/>
            <w:bookmarkEnd w:id="181"/>
            <w:bookmarkEnd w:id="182"/>
          </w:p>
        </w:tc>
        <w:tc>
          <w:tcPr>
            <w:tcW w:w="17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3" w:name=".amt.351"/>
            <w:bookmarkStart w:id="184" w:name=".amt.352"/>
            <w:bookmarkEnd w:id="183"/>
            <w:bookmarkEnd w:id="184"/>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9,752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185" w:name=".amt.253"/>
            <w:bookmarkStart w:id="186" w:name=".amt.254"/>
            <w:bookmarkEnd w:id="185"/>
            <w:bookmarkEnd w:id="186"/>
          </w:p>
        </w:tc>
        <w:tc>
          <w:tcPr>
            <w:tcW w:w="94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12,196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187" w:name=".amt.353"/>
            <w:bookmarkStart w:id="188" w:name=".amt.354"/>
            <w:bookmarkEnd w:id="187"/>
            <w:bookmarkEnd w:id="188"/>
          </w:p>
        </w:tc>
        <w:tc>
          <w:tcPr>
            <w:tcW w:w="10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7,688</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189" w:name=".amt.255"/>
            <w:bookmarkStart w:id="190" w:name=".amt.256"/>
            <w:bookmarkEnd w:id="189"/>
            <w:bookmarkEnd w:id="190"/>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1,755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191" w:name=".amt.355"/>
            <w:bookmarkStart w:id="192" w:name=".amt.356"/>
            <w:bookmarkEnd w:id="191"/>
            <w:bookmarkEnd w:id="192"/>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2,742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operating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193" w:name=".amt.257"/>
            <w:bookmarkStart w:id="194" w:name=".amt.258"/>
            <w:bookmarkEnd w:id="193"/>
            <w:bookmarkEnd w:id="194"/>
          </w:p>
        </w:tc>
        <w:tc>
          <w:tcPr>
            <w:tcW w:w="94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7,576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195" w:name=".amt.357"/>
            <w:bookmarkStart w:id="196" w:name=".amt.358"/>
            <w:bookmarkEnd w:id="195"/>
            <w:bookmarkEnd w:id="196"/>
          </w:p>
        </w:tc>
        <w:tc>
          <w:tcPr>
            <w:tcW w:w="10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7,543</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finance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197" w:name=".amt.259"/>
            <w:bookmarkStart w:id="198" w:name=".amt.260"/>
            <w:bookmarkEnd w:id="197"/>
            <w:bookmarkEnd w:id="198"/>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199" w:name=".amt.359"/>
            <w:bookmarkStart w:id="200" w:name=".amt.360"/>
            <w:bookmarkEnd w:id="199"/>
            <w:bookmarkEnd w:id="200"/>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01" w:name=".amt.261"/>
            <w:bookmarkStart w:id="202" w:name=".amt.262"/>
            <w:bookmarkEnd w:id="201"/>
            <w:bookmarkEnd w:id="202"/>
          </w:p>
        </w:tc>
        <w:tc>
          <w:tcPr>
            <w:tcW w:w="9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114,419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03" w:name=".amt.361"/>
            <w:bookmarkStart w:id="204" w:name=".amt.362"/>
            <w:bookmarkEnd w:id="203"/>
            <w:bookmarkEnd w:id="204"/>
          </w:p>
        </w:tc>
        <w:tc>
          <w:tcPr>
            <w:tcW w:w="10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111,853</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205" w:name=".amt.263"/>
            <w:bookmarkStart w:id="206" w:name=".amt.264"/>
            <w:bookmarkEnd w:id="205"/>
            <w:bookmarkEnd w:id="206"/>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150,923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207" w:name=".amt.363"/>
            <w:bookmarkStart w:id="208" w:name=".amt.364"/>
            <w:bookmarkEnd w:id="207"/>
            <w:bookmarkEnd w:id="208"/>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140,033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operating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209" w:name=".amt.265"/>
            <w:bookmarkStart w:id="210" w:name=".amt.266"/>
            <w:bookmarkEnd w:id="209"/>
            <w:bookmarkEnd w:id="210"/>
          </w:p>
        </w:tc>
        <w:tc>
          <w:tcPr>
            <w:tcW w:w="94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30,645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211" w:name=".amt.365"/>
            <w:bookmarkStart w:id="212" w:name=".amt.366"/>
            <w:bookmarkEnd w:id="211"/>
            <w:bookmarkEnd w:id="212"/>
          </w:p>
        </w:tc>
        <w:tc>
          <w:tcPr>
            <w:tcW w:w="10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32,800</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finance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213" w:name=".amt.267"/>
            <w:bookmarkStart w:id="214" w:name=".amt.268"/>
            <w:bookmarkEnd w:id="213"/>
            <w:bookmarkEnd w:id="214"/>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215" w:name=".amt.367"/>
            <w:bookmarkStart w:id="216" w:name=".amt.368"/>
            <w:bookmarkEnd w:id="215"/>
            <w:bookmarkEnd w:id="216"/>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7,381</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217" w:name=".amt.269"/>
            <w:bookmarkStart w:id="218" w:name=".amt.270"/>
            <w:bookmarkEnd w:id="217"/>
            <w:bookmarkEnd w:id="218"/>
          </w:p>
        </w:tc>
        <w:tc>
          <w:tcPr>
            <w:tcW w:w="94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219" w:name=".amt.369"/>
            <w:bookmarkStart w:id="220" w:name=".amt.370"/>
            <w:bookmarkEnd w:id="219"/>
            <w:bookmarkEnd w:id="220"/>
          </w:p>
        </w:tc>
        <w:tc>
          <w:tcPr>
            <w:tcW w:w="10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221" w:name=".amt.271"/>
            <w:bookmarkStart w:id="222" w:name=".amt.272"/>
            <w:bookmarkEnd w:id="221"/>
            <w:bookmarkEnd w:id="222"/>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223" w:name=".amt.371"/>
            <w:bookmarkStart w:id="224" w:name=".amt.372"/>
            <w:bookmarkEnd w:id="223"/>
            <w:bookmarkEnd w:id="224"/>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2,130</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5" w:name=".amt.273"/>
            <w:bookmarkStart w:id="226" w:name=".amt.274"/>
            <w:bookmarkEnd w:id="225"/>
            <w:bookmarkEnd w:id="226"/>
          </w:p>
        </w:tc>
        <w:tc>
          <w:tcPr>
            <w:tcW w:w="9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4,889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7" w:name=".amt.373"/>
            <w:bookmarkStart w:id="228" w:name=".amt.374"/>
            <w:bookmarkEnd w:id="227"/>
            <w:bookmarkEnd w:id="228"/>
          </w:p>
        </w:tc>
        <w:tc>
          <w:tcPr>
            <w:tcW w:w="10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4,706</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29" w:name=".amt.275"/>
            <w:bookmarkStart w:id="230" w:name=".amt.276"/>
            <w:bookmarkEnd w:id="229"/>
            <w:bookmarkEnd w:id="230"/>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195,895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31" w:name=".amt.375"/>
            <w:bookmarkStart w:id="232" w:name=".amt.376"/>
            <w:bookmarkEnd w:id="231"/>
            <w:bookmarkEnd w:id="232"/>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187,100</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1061"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Stockholders’ deficit</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1061"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300,000,000 shares authorized; 4,764,612 and 4,667,004 shares issued and outstanding at March 31, 2026, and December 31, 2025, respectively)</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233" w:name=".amt.277"/>
            <w:bookmarkStart w:id="234" w:name=".amt.278"/>
            <w:bookmarkEnd w:id="233"/>
            <w:bookmarkEnd w:id="234"/>
          </w:p>
        </w:tc>
        <w:tc>
          <w:tcPr>
            <w:tcW w:w="94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235" w:name=".amt.377"/>
            <w:bookmarkStart w:id="236" w:name=".amt.378"/>
            <w:bookmarkEnd w:id="235"/>
            <w:bookmarkEnd w:id="236"/>
          </w:p>
        </w:tc>
        <w:tc>
          <w:tcPr>
            <w:tcW w:w="1061" w:type="dxa"/>
            <w:tcBorders/>
            <w:shd w:fill="FFFFFF" w:val="clear"/>
            <w:vAlign w:val="center"/>
          </w:tcPr>
          <w:p>
            <w:pPr>
              <w:pStyle w:val="TableContents"/>
              <w:bidi w:val="0"/>
              <w:spacing w:before="0" w:after="0"/>
              <w:ind w:left="0" w:right="0" w:hanging="0"/>
              <w:jc w:val="right"/>
              <w:rPr/>
            </w:pPr>
            <w:r>
              <w:rPr/>
              <w:t>—</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8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bookmarkStart w:id="237" w:name=".amt.279"/>
            <w:bookmarkStart w:id="238" w:name=".amt.280"/>
            <w:bookmarkEnd w:id="237"/>
            <w:bookmarkEnd w:id="238"/>
          </w:p>
        </w:tc>
        <w:tc>
          <w:tcPr>
            <w:tcW w:w="94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791,380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239" w:name=".amt.379"/>
            <w:bookmarkStart w:id="240" w:name=".amt.380"/>
            <w:bookmarkEnd w:id="239"/>
            <w:bookmarkEnd w:id="240"/>
          </w:p>
        </w:tc>
        <w:tc>
          <w:tcPr>
            <w:tcW w:w="10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791,227</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8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bookmarkStart w:id="241" w:name=".amt.281"/>
            <w:bookmarkStart w:id="242" w:name=".amt.282"/>
            <w:bookmarkEnd w:id="241"/>
            <w:bookmarkEnd w:id="242"/>
          </w:p>
        </w:tc>
        <w:tc>
          <w:tcPr>
            <w:tcW w:w="94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(7,653</w:t>
            </w:r>
            <w:bookmarkStart w:id="243" w:name=".trail.215"/>
            <w:bookmarkStart w:id="244" w:name=".trail.216"/>
            <w:bookmarkEnd w:id="243"/>
            <w:bookmarkEnd w:id="244"/>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245" w:name=".amt.381"/>
            <w:bookmarkStart w:id="246" w:name=".amt.382"/>
            <w:bookmarkEnd w:id="245"/>
            <w:bookmarkEnd w:id="246"/>
          </w:p>
        </w:tc>
        <w:tc>
          <w:tcPr>
            <w:tcW w:w="10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(7,272</w:t>
            </w:r>
            <w:bookmarkStart w:id="247" w:name=".trail.313"/>
            <w:bookmarkStart w:id="248" w:name=".trail.314"/>
            <w:bookmarkEnd w:id="247"/>
            <w:bookmarkEnd w:id="248"/>
          </w:p>
        </w:tc>
        <w:tc>
          <w:tcPr>
            <w:tcW w:w="8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758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49" w:name=".amt.283"/>
            <w:bookmarkStart w:id="250" w:name=".amt.284"/>
            <w:bookmarkEnd w:id="249"/>
            <w:bookmarkEnd w:id="250"/>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(861,862</w:t>
            </w:r>
            <w:bookmarkStart w:id="251" w:name=".trail.217"/>
            <w:bookmarkStart w:id="252" w:name=".trail.218"/>
            <w:bookmarkEnd w:id="251"/>
            <w:bookmarkEnd w:id="252"/>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53" w:name=".amt.383"/>
            <w:bookmarkStart w:id="254" w:name=".amt.384"/>
            <w:bookmarkEnd w:id="253"/>
            <w:bookmarkEnd w:id="254"/>
          </w:p>
        </w:tc>
        <w:tc>
          <w:tcPr>
            <w:tcW w:w="10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(847,251</w:t>
            </w:r>
            <w:bookmarkStart w:id="255" w:name=".trail.315"/>
            <w:bookmarkStart w:id="256" w:name=".trail.316"/>
            <w:bookmarkEnd w:id="255"/>
            <w:bookmarkEnd w:id="256"/>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7584"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stockholders’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7" w:name=".amt.285"/>
            <w:bookmarkStart w:id="258" w:name=".amt.286"/>
            <w:bookmarkEnd w:id="257"/>
            <w:bookmarkEnd w:id="258"/>
          </w:p>
        </w:tc>
        <w:tc>
          <w:tcPr>
            <w:tcW w:w="9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(78,135</w:t>
            </w:r>
            <w:bookmarkStart w:id="259" w:name=".trail.219"/>
            <w:bookmarkStart w:id="260" w:name=".trail.220"/>
            <w:bookmarkEnd w:id="259"/>
            <w:bookmarkEnd w:id="260"/>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1" w:name=".amt.385"/>
            <w:bookmarkStart w:id="262" w:name=".amt.386"/>
            <w:bookmarkEnd w:id="261"/>
            <w:bookmarkEnd w:id="262"/>
          </w:p>
        </w:tc>
        <w:tc>
          <w:tcPr>
            <w:tcW w:w="10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(63,296</w:t>
            </w:r>
            <w:bookmarkStart w:id="263" w:name=".trail.317"/>
            <w:bookmarkStart w:id="264" w:name=".trail.318"/>
            <w:bookmarkEnd w:id="263"/>
            <w:bookmarkEnd w:id="264"/>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7584"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deficit</w:t>
            </w:r>
          </w:p>
        </w:tc>
        <w:tc>
          <w:tcPr>
            <w:tcW w:w="60" w:type="dxa"/>
            <w:tcBorders/>
            <w:shd w:fill="CCEEFF" w:val="clear"/>
            <w:vAlign w:val="center"/>
          </w:tcPr>
          <w:p>
            <w:pPr>
              <w:pStyle w:val="TableContents"/>
              <w:bidi w:val="0"/>
              <w:spacing w:before="0" w:after="0"/>
              <w:ind w:left="0" w:right="0" w:hanging="0"/>
              <w:jc w:val="left"/>
              <w:rPr/>
            </w:pPr>
            <w:r>
              <w:rPr/>
              <w:t> </w:t>
            </w:r>
            <w:bookmarkStart w:id="265" w:name=".symb.213"/>
            <w:bookmarkStart w:id="266" w:name=".symb.214"/>
            <w:bookmarkEnd w:id="265"/>
            <w:bookmarkEnd w:id="266"/>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67" w:name=".amt.287"/>
            <w:bookmarkStart w:id="268" w:name=".amt.288"/>
            <w:bookmarkEnd w:id="267"/>
            <w:bookmarkEnd w:id="268"/>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117,760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69" w:name=".symb.313"/>
            <w:bookmarkStart w:id="270" w:name=".symb.314"/>
            <w:bookmarkEnd w:id="269"/>
            <w:bookmarkEnd w:id="270"/>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71" w:name=".amt.387"/>
            <w:bookmarkStart w:id="272" w:name=".amt.388"/>
            <w:bookmarkEnd w:id="271"/>
            <w:bookmarkEnd w:id="272"/>
          </w:p>
        </w:tc>
        <w:tc>
          <w:tcPr>
            <w:tcW w:w="10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123,804</w:t>
            </w:r>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99.1</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NON-GAAP MEASURES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73" w:name="led-table-f7dc14b6-603f-4e50-94a8-5ad65b"/>
      <w:bookmarkStart w:id="274" w:name="led-table-f7dc14b6-603f-4e50-94a8-5ad65b"/>
      <w:bookmarkEnd w:id="274"/>
    </w:p>
    <w:tbl>
      <w:tblPr>
        <w:tblW w:w="6389" w:type="dxa"/>
        <w:jc w:val="left"/>
        <w:tblInd w:w="0" w:type="dxa"/>
        <w:tblLayout w:type="fixed"/>
        <w:tblCellMar>
          <w:top w:w="0" w:type="dxa"/>
          <w:left w:w="0" w:type="dxa"/>
          <w:bottom w:w="0" w:type="dxa"/>
          <w:right w:w="0" w:type="dxa"/>
        </w:tblCellMar>
      </w:tblPr>
      <w:tblGrid>
        <w:gridCol w:w="3470"/>
        <w:gridCol w:w="60"/>
        <w:gridCol w:w="221"/>
        <w:gridCol w:w="858"/>
        <w:gridCol w:w="380"/>
        <w:gridCol w:w="106"/>
        <w:gridCol w:w="221"/>
        <w:gridCol w:w="858"/>
        <w:gridCol w:w="215"/>
      </w:tblGrid>
      <w:tr>
        <w:trPr/>
        <w:tc>
          <w:tcPr>
            <w:tcW w:w="34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5" w:name=".amt.D35"/>
            <w:bookmarkStart w:id="276" w:name=".amt.D36"/>
            <w:bookmarkEnd w:id="275"/>
            <w:bookmarkEnd w:id="276"/>
          </w:p>
        </w:tc>
        <w:tc>
          <w:tcPr>
            <w:tcW w:w="264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4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7" w:name=".amt.D23"/>
            <w:bookmarkStart w:id="278" w:name=".amt.D24"/>
            <w:bookmarkEnd w:id="277"/>
            <w:bookmarkEnd w:id="278"/>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bookmarkStart w:id="279" w:name=".amt.D37"/>
            <w:bookmarkStart w:id="280" w:name=".amt.D38"/>
            <w:bookmarkEnd w:id="279"/>
            <w:bookmarkEnd w:id="280"/>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Adjusted Gross Profit:</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47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Gross Profit (GAAP)</w:t>
            </w:r>
          </w:p>
        </w:tc>
        <w:tc>
          <w:tcPr>
            <w:tcW w:w="60" w:type="dxa"/>
            <w:tcBorders/>
            <w:shd w:fill="FFFFFF" w:val="clear"/>
            <w:vAlign w:val="center"/>
          </w:tcPr>
          <w:p>
            <w:pPr>
              <w:pStyle w:val="TableContents"/>
              <w:bidi w:val="0"/>
              <w:spacing w:before="0" w:after="0"/>
              <w:ind w:left="0" w:right="0" w:hanging="0"/>
              <w:jc w:val="left"/>
              <w:rPr/>
            </w:pPr>
            <w:r>
              <w:rPr/>
              <w:t> </w:t>
            </w:r>
            <w:bookmarkStart w:id="281" w:name=".symb.215"/>
            <w:bookmarkStart w:id="282" w:name=".symb.216"/>
            <w:bookmarkEnd w:id="281"/>
            <w:bookmarkEnd w:id="282"/>
          </w:p>
        </w:tc>
        <w:tc>
          <w:tcPr>
            <w:tcW w:w="2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83" w:name=".amt.289"/>
            <w:bookmarkStart w:id="284" w:name=".amt.290"/>
            <w:bookmarkEnd w:id="283"/>
            <w:bookmarkEnd w:id="284"/>
          </w:p>
        </w:tc>
        <w:tc>
          <w:tcPr>
            <w:tcW w:w="8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1,837</w:t>
            </w:r>
          </w:p>
        </w:tc>
        <w:tc>
          <w:tcPr>
            <w:tcW w:w="38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bookmarkStart w:id="285" w:name=".symb.315"/>
            <w:bookmarkStart w:id="286" w:name=".symb.316"/>
            <w:bookmarkEnd w:id="285"/>
            <w:bookmarkEnd w:id="286"/>
          </w:p>
        </w:tc>
        <w:tc>
          <w:tcPr>
            <w:tcW w:w="2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87" w:name=".amt.389"/>
            <w:bookmarkStart w:id="288" w:name=".amt.390"/>
            <w:bookmarkEnd w:id="287"/>
            <w:bookmarkEnd w:id="288"/>
          </w:p>
        </w:tc>
        <w:tc>
          <w:tcPr>
            <w:tcW w:w="8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6,877</w:t>
            </w:r>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4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depletion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bookmarkStart w:id="289" w:name=".amt.291"/>
            <w:bookmarkStart w:id="290" w:name=".amt.292"/>
            <w:bookmarkEnd w:id="289"/>
            <w:bookmarkEnd w:id="290"/>
          </w:p>
        </w:tc>
        <w:tc>
          <w:tcPr>
            <w:tcW w:w="8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991</w:t>
            </w:r>
          </w:p>
        </w:tc>
        <w:tc>
          <w:tcPr>
            <w:tcW w:w="38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bookmarkStart w:id="291" w:name=".amt.391"/>
            <w:bookmarkStart w:id="292" w:name=".amt.392"/>
            <w:bookmarkEnd w:id="291"/>
            <w:bookmarkEnd w:id="292"/>
          </w:p>
        </w:tc>
        <w:tc>
          <w:tcPr>
            <w:tcW w:w="8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1,313</w:t>
            </w:r>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4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 expenses</w:t>
            </w:r>
            <w:r>
              <w:rPr>
                <w:rFonts w:ascii="Times New Roman" w:hAnsi="Times New Roman"/>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3" w:name=".amt.293"/>
            <w:bookmarkStart w:id="294" w:name=".amt.294"/>
            <w:bookmarkEnd w:id="293"/>
            <w:bookmarkEnd w:id="294"/>
          </w:p>
        </w:tc>
        <w:tc>
          <w:tcPr>
            <w:tcW w:w="8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1,689</w:t>
            </w:r>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5" w:name=".amt.393"/>
            <w:bookmarkStart w:id="296" w:name=".amt.394"/>
            <w:bookmarkEnd w:id="295"/>
            <w:bookmarkEnd w:id="296"/>
          </w:p>
        </w:tc>
        <w:tc>
          <w:tcPr>
            <w:tcW w:w="8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Adjusted Gross Profit (Non-GAAP)</w:t>
            </w:r>
          </w:p>
        </w:tc>
        <w:tc>
          <w:tcPr>
            <w:tcW w:w="60" w:type="dxa"/>
            <w:tcBorders/>
            <w:shd w:fill="CCEEFF" w:val="clear"/>
            <w:vAlign w:val="center"/>
          </w:tcPr>
          <w:p>
            <w:pPr>
              <w:pStyle w:val="TableContents"/>
              <w:bidi w:val="0"/>
              <w:spacing w:before="0" w:after="0"/>
              <w:ind w:left="0" w:right="0" w:hanging="0"/>
              <w:jc w:val="left"/>
              <w:rPr/>
            </w:pPr>
            <w:r>
              <w:rPr/>
              <w:t> </w:t>
            </w:r>
            <w:bookmarkStart w:id="297" w:name=".symb.217"/>
            <w:bookmarkStart w:id="298" w:name=".symb.218"/>
            <w:bookmarkEnd w:id="297"/>
            <w:bookmarkEnd w:id="298"/>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99" w:name=".amt.295"/>
            <w:bookmarkStart w:id="300" w:name=".amt.296"/>
            <w:bookmarkEnd w:id="299"/>
            <w:bookmarkEnd w:id="300"/>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4,517</w:t>
            </w:r>
          </w:p>
        </w:tc>
        <w:tc>
          <w:tcPr>
            <w:tcW w:w="3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bookmarkStart w:id="301" w:name=".symb.317"/>
            <w:bookmarkStart w:id="302" w:name=".symb.318"/>
            <w:bookmarkEnd w:id="301"/>
            <w:bookmarkEnd w:id="302"/>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03" w:name=".amt.395"/>
            <w:bookmarkStart w:id="304" w:name=".amt.396"/>
            <w:bookmarkEnd w:id="303"/>
            <w:bookmarkEnd w:id="304"/>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8,532</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4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858" w:type="dxa"/>
            <w:tcBorders/>
            <w:shd w:fill="FFFFFF" w:val="clear"/>
            <w:vAlign w:val="center"/>
          </w:tcPr>
          <w:p>
            <w:pPr>
              <w:pStyle w:val="TableContents"/>
              <w:bidi w:val="0"/>
              <w:spacing w:before="0" w:after="0"/>
              <w:ind w:left="0" w:right="0" w:hanging="0"/>
              <w:jc w:val="left"/>
              <w:rPr/>
            </w:pPr>
            <w:r>
              <w:rPr/>
              <w:t> </w:t>
            </w:r>
          </w:p>
        </w:tc>
        <w:tc>
          <w:tcPr>
            <w:tcW w:w="38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858"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470" w:type="dxa"/>
            <w:tcBorders/>
            <w:shd w:fill="CCEEFF" w:val="clear"/>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As a percent of net sales:</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47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Gross Profit Margin (GAAP)</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bookmarkStart w:id="305" w:name=".amt.297"/>
            <w:bookmarkStart w:id="306" w:name=".amt.298"/>
            <w:bookmarkEnd w:id="305"/>
            <w:bookmarkEnd w:id="306"/>
          </w:p>
        </w:tc>
        <w:tc>
          <w:tcPr>
            <w:tcW w:w="8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6.4</w:t>
            </w:r>
            <w:bookmarkStart w:id="307" w:name=".trail.221"/>
            <w:bookmarkStart w:id="308" w:name=".trail.222"/>
            <w:bookmarkEnd w:id="307"/>
            <w:bookmarkEnd w:id="308"/>
          </w:p>
        </w:tc>
        <w:tc>
          <w:tcPr>
            <w:tcW w:w="3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6"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bookmarkStart w:id="309" w:name=".amt.397"/>
            <w:bookmarkStart w:id="310" w:name=".amt.398"/>
            <w:bookmarkEnd w:id="309"/>
            <w:bookmarkEnd w:id="310"/>
          </w:p>
        </w:tc>
        <w:tc>
          <w:tcPr>
            <w:tcW w:w="8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17.0</w:t>
            </w:r>
            <w:bookmarkStart w:id="311" w:name=".trail.319"/>
            <w:bookmarkStart w:id="312" w:name=".trail.320"/>
            <w:bookmarkEnd w:id="311"/>
            <w:bookmarkEnd w:id="312"/>
          </w:p>
        </w:tc>
        <w:tc>
          <w:tcPr>
            <w:tcW w:w="21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47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Adjusted Gross Profit Margin (Non-GAAP)</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bookmarkStart w:id="313" w:name=".amt.299"/>
            <w:bookmarkStart w:id="314" w:name=".amt.2100"/>
            <w:bookmarkEnd w:id="313"/>
            <w:bookmarkEnd w:id="314"/>
          </w:p>
        </w:tc>
        <w:tc>
          <w:tcPr>
            <w:tcW w:w="85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15.8</w:t>
            </w:r>
            <w:bookmarkStart w:id="315" w:name=".trail.223"/>
            <w:bookmarkStart w:id="316" w:name=".trail.224"/>
            <w:bookmarkEnd w:id="315"/>
            <w:bookmarkEnd w:id="316"/>
          </w:p>
        </w:tc>
        <w:tc>
          <w:tcPr>
            <w:tcW w:w="3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bookmarkStart w:id="317" w:name=".amt.399"/>
            <w:bookmarkStart w:id="318" w:name=".amt.3100"/>
            <w:bookmarkEnd w:id="317"/>
            <w:bookmarkEnd w:id="318"/>
          </w:p>
        </w:tc>
        <w:tc>
          <w:tcPr>
            <w:tcW w:w="85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21.0</w:t>
            </w:r>
            <w:bookmarkStart w:id="319" w:name=".trail.321"/>
            <w:bookmarkStart w:id="320" w:name=".trail.322"/>
            <w:bookmarkEnd w:id="319"/>
            <w:bookmarkEnd w:id="320"/>
          </w:p>
        </w:tc>
        <w:tc>
          <w:tcPr>
            <w:tcW w:w="21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1" w:name="led-table-0a5f2d39-b536-4905-a907-699d74"/>
      <w:bookmarkStart w:id="322" w:name="led-table-0a5f2d39-b536-4905-a907-699d74"/>
      <w:bookmarkEnd w:id="322"/>
    </w:p>
    <w:tbl>
      <w:tblPr>
        <w:tblW w:w="6612" w:type="dxa"/>
        <w:jc w:val="left"/>
        <w:tblInd w:w="0" w:type="dxa"/>
        <w:tblLayout w:type="fixed"/>
        <w:tblCellMar>
          <w:top w:w="0" w:type="dxa"/>
          <w:left w:w="0" w:type="dxa"/>
          <w:bottom w:w="0" w:type="dxa"/>
          <w:right w:w="0" w:type="dxa"/>
        </w:tblCellMar>
      </w:tblPr>
      <w:tblGrid>
        <w:gridCol w:w="3695"/>
        <w:gridCol w:w="60"/>
        <w:gridCol w:w="193"/>
        <w:gridCol w:w="915"/>
        <w:gridCol w:w="333"/>
        <w:gridCol w:w="93"/>
        <w:gridCol w:w="193"/>
        <w:gridCol w:w="915"/>
        <w:gridCol w:w="215"/>
      </w:tblGrid>
      <w:tr>
        <w:trPr/>
        <w:tc>
          <w:tcPr>
            <w:tcW w:w="3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23" w:name=".amt.D39"/>
            <w:bookmarkStart w:id="324" w:name=".amt.D310"/>
            <w:bookmarkEnd w:id="323"/>
            <w:bookmarkEnd w:id="324"/>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25" w:name=".amt.D25"/>
            <w:bookmarkStart w:id="326" w:name=".amt.D26"/>
            <w:bookmarkEnd w:id="325"/>
            <w:bookmarkEnd w:id="326"/>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3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bookmarkStart w:id="327" w:name=".amt.D311"/>
            <w:bookmarkStart w:id="328" w:name=".amt.D312"/>
            <w:bookmarkEnd w:id="327"/>
            <w:bookmarkEnd w:id="328"/>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Adjusted SG&amp;A:</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left"/>
              <w:rPr/>
            </w:pPr>
            <w:r>
              <w:rPr/>
              <w:t> </w:t>
            </w:r>
          </w:p>
        </w:tc>
        <w:tc>
          <w:tcPr>
            <w:tcW w:w="333"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Selling, general and administrative (GAAP)</w:t>
            </w:r>
          </w:p>
        </w:tc>
        <w:tc>
          <w:tcPr>
            <w:tcW w:w="60" w:type="dxa"/>
            <w:tcBorders/>
            <w:shd w:fill="FFFFFF" w:val="clear"/>
            <w:vAlign w:val="center"/>
          </w:tcPr>
          <w:p>
            <w:pPr>
              <w:pStyle w:val="TableContents"/>
              <w:bidi w:val="0"/>
              <w:spacing w:before="0" w:after="0"/>
              <w:ind w:left="0" w:right="0" w:hanging="0"/>
              <w:jc w:val="left"/>
              <w:rPr/>
            </w:pPr>
            <w:r>
              <w:rPr/>
              <w:t> </w:t>
            </w:r>
            <w:bookmarkStart w:id="329" w:name=".symb.219"/>
            <w:bookmarkStart w:id="330" w:name=".symb.220"/>
            <w:bookmarkEnd w:id="329"/>
            <w:bookmarkEnd w:id="330"/>
          </w:p>
        </w:tc>
        <w:tc>
          <w:tcPr>
            <w:tcW w:w="19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1" w:name=".amt.2101"/>
            <w:bookmarkStart w:id="332" w:name=".amt.2102"/>
            <w:bookmarkEnd w:id="331"/>
            <w:bookmarkEnd w:id="332"/>
          </w:p>
        </w:tc>
        <w:tc>
          <w:tcPr>
            <w:tcW w:w="91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10,568</w:t>
            </w:r>
          </w:p>
        </w:tc>
        <w:tc>
          <w:tcPr>
            <w:tcW w:w="333"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bookmarkStart w:id="333" w:name=".symb.319"/>
            <w:bookmarkStart w:id="334" w:name=".symb.320"/>
            <w:bookmarkEnd w:id="333"/>
            <w:bookmarkEnd w:id="334"/>
          </w:p>
        </w:tc>
        <w:tc>
          <w:tcPr>
            <w:tcW w:w="19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35" w:name=".amt.3101"/>
            <w:bookmarkStart w:id="336" w:name=".amt.3102"/>
            <w:bookmarkEnd w:id="335"/>
            <w:bookmarkEnd w:id="336"/>
          </w:p>
        </w:tc>
        <w:tc>
          <w:tcPr>
            <w:tcW w:w="91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17,863</w:t>
            </w:r>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depletion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bookmarkStart w:id="337" w:name=".amt.2103"/>
            <w:bookmarkStart w:id="338" w:name=".amt.2104"/>
            <w:bookmarkEnd w:id="337"/>
            <w:bookmarkEnd w:id="338"/>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c>
          <w:tcPr>
            <w:tcW w:w="333"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bookmarkStart w:id="339" w:name=".amt.3103"/>
            <w:bookmarkStart w:id="340" w:name=".amt.3104"/>
            <w:bookmarkEnd w:id="339"/>
            <w:bookmarkEnd w:id="340"/>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5,996</w:t>
            </w:r>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 expenses</w:t>
            </w:r>
            <w:r>
              <w:rPr>
                <w:rFonts w:ascii="Times New Roman" w:hAnsi="Times New Roman"/>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bookmarkStart w:id="341" w:name=".amt.2105"/>
            <w:bookmarkStart w:id="342" w:name=".amt.2106"/>
            <w:bookmarkEnd w:id="341"/>
            <w:bookmarkEnd w:id="342"/>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808</w:t>
            </w:r>
          </w:p>
        </w:tc>
        <w:tc>
          <w:tcPr>
            <w:tcW w:w="333"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bookmarkStart w:id="343" w:name=".amt.3105"/>
            <w:bookmarkStart w:id="344" w:name=".amt.3106"/>
            <w:bookmarkEnd w:id="343"/>
            <w:bookmarkEnd w:id="344"/>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bookmarkStart w:id="345" w:name=".amt.2107"/>
            <w:bookmarkStart w:id="346" w:name=".amt.2108"/>
            <w:bookmarkEnd w:id="345"/>
            <w:bookmarkEnd w:id="346"/>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333"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bookmarkStart w:id="347" w:name=".amt.3107"/>
            <w:bookmarkStart w:id="348" w:name=".amt.3108"/>
            <w:bookmarkEnd w:id="347"/>
            <w:bookmarkEnd w:id="348"/>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w:t>
            </w:r>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r>
              <w:rPr>
                <w:rFonts w:ascii="Times New Roman" w:hAnsi="Times New Roman"/>
                <w:caps w:val="false"/>
                <w:smallCaps w:val="false"/>
                <w:position w:val="7"/>
                <w:sz w:val="16"/>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bookmarkStart w:id="349" w:name=".amt.2109"/>
            <w:bookmarkStart w:id="350" w:name=".amt.2110"/>
            <w:bookmarkEnd w:id="349"/>
            <w:bookmarkEnd w:id="350"/>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w:t>
            </w:r>
          </w:p>
        </w:tc>
        <w:tc>
          <w:tcPr>
            <w:tcW w:w="333"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bookmarkStart w:id="351" w:name=".amt.3109"/>
            <w:bookmarkStart w:id="352" w:name=".amt.3110"/>
            <w:bookmarkEnd w:id="351"/>
            <w:bookmarkEnd w:id="352"/>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475</w:t>
            </w:r>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Debt transactions and strategic alternatives</w:t>
            </w:r>
            <w:r>
              <w:rPr>
                <w:rFonts w:ascii="Times New Roman" w:hAnsi="Times New Roman"/>
                <w:caps w:val="false"/>
                <w:smallCaps w:val="false"/>
                <w:position w:val="7"/>
                <w:sz w:val="16"/>
                <w:sz w:val="20"/>
              </w:rPr>
              <w:t>4</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3" w:name=".amt.2111"/>
            <w:bookmarkStart w:id="354" w:name=".amt.2112"/>
            <w:bookmarkEnd w:id="353"/>
            <w:bookmarkEnd w:id="354"/>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1,060</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5" w:name=".amt.3111"/>
            <w:bookmarkStart w:id="356" w:name=".amt.3112"/>
            <w:bookmarkEnd w:id="355"/>
            <w:bookmarkEnd w:id="356"/>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208</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Adjusted SG&amp;A (Non-GAAP)</w:t>
            </w:r>
          </w:p>
        </w:tc>
        <w:tc>
          <w:tcPr>
            <w:tcW w:w="60" w:type="dxa"/>
            <w:tcBorders/>
            <w:shd w:fill="FFFFFF" w:val="clear"/>
            <w:vAlign w:val="center"/>
          </w:tcPr>
          <w:p>
            <w:pPr>
              <w:pStyle w:val="TableContents"/>
              <w:bidi w:val="0"/>
              <w:spacing w:before="0" w:after="0"/>
              <w:ind w:left="0" w:right="0" w:hanging="0"/>
              <w:jc w:val="left"/>
              <w:rPr/>
            </w:pPr>
            <w:r>
              <w:rPr/>
              <w:t> </w:t>
            </w:r>
            <w:bookmarkStart w:id="357" w:name=".symb.221"/>
            <w:bookmarkStart w:id="358" w:name=".symb.222"/>
            <w:bookmarkEnd w:id="357"/>
            <w:bookmarkEnd w:id="358"/>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59" w:name=".amt.2113"/>
            <w:bookmarkStart w:id="360" w:name=".amt.2114"/>
            <w:bookmarkEnd w:id="359"/>
            <w:bookmarkEnd w:id="360"/>
          </w:p>
        </w:tc>
        <w:tc>
          <w:tcPr>
            <w:tcW w:w="9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8,449</w:t>
            </w:r>
          </w:p>
        </w:tc>
        <w:tc>
          <w:tcPr>
            <w:tcW w:w="3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bookmarkStart w:id="361" w:name=".symb.321"/>
            <w:bookmarkStart w:id="362" w:name=".symb.322"/>
            <w:bookmarkEnd w:id="361"/>
            <w:bookmarkEnd w:id="362"/>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63" w:name=".amt.3113"/>
            <w:bookmarkStart w:id="364" w:name=".amt.3114"/>
            <w:bookmarkEnd w:id="363"/>
            <w:bookmarkEnd w:id="364"/>
          </w:p>
        </w:tc>
        <w:tc>
          <w:tcPr>
            <w:tcW w:w="9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10,980</w:t>
            </w:r>
          </w:p>
        </w:tc>
        <w:tc>
          <w:tcPr>
            <w:tcW w:w="21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left"/>
              <w:rPr/>
            </w:pPr>
            <w:r>
              <w:rPr/>
              <w:t> </w:t>
            </w:r>
          </w:p>
        </w:tc>
        <w:tc>
          <w:tcPr>
            <w:tcW w:w="333"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p>
        </w:tc>
        <w:tc>
          <w:tcPr>
            <w:tcW w:w="915"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r>
      <w:tr>
        <w:trPr/>
        <w:tc>
          <w:tcPr>
            <w:tcW w:w="3695" w:type="dxa"/>
            <w:tcBorders/>
            <w:shd w:fill="FFFFFF" w:val="clear"/>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As a percent of net sales:</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p>
        </w:tc>
        <w:tc>
          <w:tcPr>
            <w:tcW w:w="915" w:type="dxa"/>
            <w:tcBorders/>
            <w:shd w:fill="FFFFFF" w:val="clear"/>
            <w:vAlign w:val="center"/>
          </w:tcPr>
          <w:p>
            <w:pPr>
              <w:pStyle w:val="TableContents"/>
              <w:bidi w:val="0"/>
              <w:spacing w:before="0" w:after="0"/>
              <w:ind w:left="0" w:right="0" w:hanging="0"/>
              <w:jc w:val="left"/>
              <w:rPr/>
            </w:pPr>
            <w:r>
              <w:rPr/>
              <w:t> </w:t>
            </w:r>
          </w:p>
        </w:tc>
        <w:tc>
          <w:tcPr>
            <w:tcW w:w="333"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p>
        </w:tc>
        <w:tc>
          <w:tcPr>
            <w:tcW w:w="915"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0"/>
              <w:ind w:left="0" w:right="0" w:hanging="0"/>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SG&amp;A (GAAP)</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bookmarkStart w:id="365" w:name=".amt.2115"/>
            <w:bookmarkStart w:id="366" w:name=".amt.2116"/>
            <w:bookmarkEnd w:id="365"/>
            <w:bookmarkEnd w:id="366"/>
          </w:p>
        </w:tc>
        <w:tc>
          <w:tcPr>
            <w:tcW w:w="9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37.0</w:t>
            </w:r>
            <w:bookmarkStart w:id="367" w:name=".trail.225"/>
            <w:bookmarkStart w:id="368" w:name=".trail.226"/>
            <w:bookmarkEnd w:id="367"/>
            <w:bookmarkEnd w:id="368"/>
          </w:p>
        </w:tc>
        <w:tc>
          <w:tcPr>
            <w:tcW w:w="33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3" w:type="dxa"/>
            <w:tcBorders/>
            <w:shd w:fill="CCEEFF" w:val="clear"/>
            <w:vAlign w:val="center"/>
          </w:tcPr>
          <w:p>
            <w:pPr>
              <w:pStyle w:val="TableContents"/>
              <w:bidi w:val="0"/>
              <w:spacing w:before="0" w:after="0"/>
              <w:ind w:left="0" w:right="0" w:hanging="0"/>
              <w:jc w:val="left"/>
              <w:rPr/>
            </w:pPr>
            <w:r>
              <w:rPr/>
              <w:t> </w:t>
            </w:r>
          </w:p>
        </w:tc>
        <w:tc>
          <w:tcPr>
            <w:tcW w:w="193" w:type="dxa"/>
            <w:tcBorders/>
            <w:shd w:fill="CCEEFF" w:val="clear"/>
            <w:vAlign w:val="center"/>
          </w:tcPr>
          <w:p>
            <w:pPr>
              <w:pStyle w:val="TableContents"/>
              <w:bidi w:val="0"/>
              <w:spacing w:before="0" w:after="0"/>
              <w:ind w:left="0" w:right="0" w:hanging="0"/>
              <w:jc w:val="left"/>
              <w:rPr/>
            </w:pPr>
            <w:r>
              <w:rPr/>
              <w:t> </w:t>
            </w:r>
            <w:bookmarkStart w:id="369" w:name=".amt.3115"/>
            <w:bookmarkStart w:id="370" w:name=".amt.3116"/>
            <w:bookmarkEnd w:id="369"/>
            <w:bookmarkEnd w:id="370"/>
          </w:p>
        </w:tc>
        <w:tc>
          <w:tcPr>
            <w:tcW w:w="91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44.1</w:t>
            </w:r>
            <w:bookmarkStart w:id="371" w:name=".trail.323"/>
            <w:bookmarkStart w:id="372" w:name=".trail.324"/>
            <w:bookmarkEnd w:id="371"/>
            <w:bookmarkEnd w:id="372"/>
          </w:p>
        </w:tc>
        <w:tc>
          <w:tcPr>
            <w:tcW w:w="21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6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Adjusted SG&amp;A (Non-GAAP)</w:t>
            </w:r>
          </w:p>
        </w:tc>
        <w:tc>
          <w:tcPr>
            <w:tcW w:w="60"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bookmarkStart w:id="373" w:name=".amt.2117"/>
            <w:bookmarkStart w:id="374" w:name=".amt.2118"/>
            <w:bookmarkEnd w:id="373"/>
            <w:bookmarkEnd w:id="374"/>
          </w:p>
        </w:tc>
        <w:tc>
          <w:tcPr>
            <w:tcW w:w="91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29.6</w:t>
            </w:r>
            <w:bookmarkStart w:id="375" w:name=".trail.227"/>
            <w:bookmarkStart w:id="376" w:name=".trail.228"/>
            <w:bookmarkEnd w:id="375"/>
            <w:bookmarkEnd w:id="376"/>
          </w:p>
        </w:tc>
        <w:tc>
          <w:tcPr>
            <w:tcW w:w="33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3" w:type="dxa"/>
            <w:tcBorders/>
            <w:shd w:fill="FFFFFF" w:val="clear"/>
            <w:vAlign w:val="center"/>
          </w:tcPr>
          <w:p>
            <w:pPr>
              <w:pStyle w:val="TableContents"/>
              <w:bidi w:val="0"/>
              <w:spacing w:before="0" w:after="0"/>
              <w:ind w:left="0" w:right="0" w:hanging="0"/>
              <w:jc w:val="left"/>
              <w:rPr/>
            </w:pPr>
            <w:r>
              <w:rPr/>
              <w:t> </w:t>
            </w:r>
          </w:p>
        </w:tc>
        <w:tc>
          <w:tcPr>
            <w:tcW w:w="193" w:type="dxa"/>
            <w:tcBorders/>
            <w:shd w:fill="FFFFFF" w:val="clear"/>
            <w:vAlign w:val="center"/>
          </w:tcPr>
          <w:p>
            <w:pPr>
              <w:pStyle w:val="TableContents"/>
              <w:bidi w:val="0"/>
              <w:spacing w:before="0" w:after="0"/>
              <w:ind w:left="0" w:right="0" w:hanging="0"/>
              <w:jc w:val="left"/>
              <w:rPr/>
            </w:pPr>
            <w:r>
              <w:rPr/>
              <w:t> </w:t>
            </w:r>
            <w:bookmarkStart w:id="377" w:name=".amt.3117"/>
            <w:bookmarkStart w:id="378" w:name=".amt.3118"/>
            <w:bookmarkEnd w:id="377"/>
            <w:bookmarkEnd w:id="378"/>
          </w:p>
        </w:tc>
        <w:tc>
          <w:tcPr>
            <w:tcW w:w="91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27.1</w:t>
            </w:r>
            <w:bookmarkStart w:id="379" w:name=".trail.325"/>
            <w:bookmarkStart w:id="380" w:name=".trail.326"/>
            <w:bookmarkEnd w:id="379"/>
            <w:bookmarkEnd w:id="380"/>
          </w:p>
        </w:tc>
        <w:tc>
          <w:tcPr>
            <w:tcW w:w="21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99.1</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381" w:name="led-table-16540751-5626-4471-b8a5-5b57e6"/>
      <w:bookmarkStart w:id="382" w:name="led-table-16540751-5626-4471-b8a5-5b57e6"/>
      <w:bookmarkEnd w:id="382"/>
    </w:p>
    <w:tbl>
      <w:tblPr>
        <w:tblW w:w="6568" w:type="dxa"/>
        <w:jc w:val="left"/>
        <w:tblInd w:w="0" w:type="dxa"/>
        <w:tblLayout w:type="fixed"/>
        <w:tblCellMar>
          <w:top w:w="0" w:type="dxa"/>
          <w:left w:w="0" w:type="dxa"/>
          <w:bottom w:w="0" w:type="dxa"/>
          <w:right w:w="0" w:type="dxa"/>
        </w:tblCellMar>
      </w:tblPr>
      <w:tblGrid>
        <w:gridCol w:w="3590"/>
        <w:gridCol w:w="60"/>
        <w:gridCol w:w="175"/>
        <w:gridCol w:w="912"/>
        <w:gridCol w:w="385"/>
        <w:gridCol w:w="84"/>
        <w:gridCol w:w="175"/>
        <w:gridCol w:w="912"/>
        <w:gridCol w:w="275"/>
      </w:tblGrid>
      <w:tr>
        <w:trPr/>
        <w:tc>
          <w:tcPr>
            <w:tcW w:w="3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3" w:name=".amt.D313"/>
            <w:bookmarkStart w:id="384" w:name=".amt.D314"/>
            <w:bookmarkEnd w:id="383"/>
            <w:bookmarkEnd w:id="384"/>
          </w:p>
        </w:tc>
        <w:tc>
          <w:tcPr>
            <w:tcW w:w="26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385" w:name=".amt.D27"/>
            <w:bookmarkStart w:id="386" w:name=".amt.D28"/>
            <w:bookmarkEnd w:id="385"/>
            <w:bookmarkEnd w:id="386"/>
          </w:p>
        </w:tc>
        <w:tc>
          <w:tcPr>
            <w:tcW w:w="10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3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bookmarkStart w:id="387" w:name=".amt.D315"/>
            <w:bookmarkStart w:id="388" w:name=".amt.D316"/>
            <w:bookmarkEnd w:id="387"/>
            <w:bookmarkEnd w:id="388"/>
          </w:p>
        </w:tc>
        <w:tc>
          <w:tcPr>
            <w:tcW w:w="10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Adjusted EBITDA:</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loss (GAAP)</w:t>
            </w:r>
          </w:p>
        </w:tc>
        <w:tc>
          <w:tcPr>
            <w:tcW w:w="60" w:type="dxa"/>
            <w:tcBorders/>
            <w:shd w:fill="FFFFFF" w:val="clear"/>
            <w:vAlign w:val="center"/>
          </w:tcPr>
          <w:p>
            <w:pPr>
              <w:pStyle w:val="TableContents"/>
              <w:bidi w:val="0"/>
              <w:spacing w:before="0" w:after="0"/>
              <w:ind w:left="0" w:right="0" w:hanging="0"/>
              <w:jc w:val="left"/>
              <w:rPr/>
            </w:pPr>
            <w:r>
              <w:rPr/>
              <w:t> </w:t>
            </w:r>
            <w:bookmarkStart w:id="389" w:name=".symb.223"/>
            <w:bookmarkStart w:id="390" w:name=".symb.224"/>
            <w:bookmarkEnd w:id="389"/>
            <w:bookmarkEnd w:id="390"/>
          </w:p>
        </w:tc>
        <w:tc>
          <w:tcPr>
            <w:tcW w:w="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91" w:name=".amt.2119"/>
            <w:bookmarkStart w:id="392" w:name=".amt.2120"/>
            <w:bookmarkEnd w:id="391"/>
            <w:bookmarkEnd w:id="392"/>
          </w:p>
        </w:tc>
        <w:tc>
          <w:tcPr>
            <w:tcW w:w="91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bookmarkStart w:id="393" w:name=".trail.229"/>
            <w:bookmarkStart w:id="394" w:name=".trail.230"/>
            <w:bookmarkEnd w:id="393"/>
            <w:bookmarkEnd w:id="394"/>
          </w:p>
        </w:tc>
        <w:tc>
          <w:tcPr>
            <w:tcW w:w="38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4" w:type="dxa"/>
            <w:tcBorders/>
            <w:shd w:fill="FFFFFF" w:val="clear"/>
            <w:vAlign w:val="center"/>
          </w:tcPr>
          <w:p>
            <w:pPr>
              <w:pStyle w:val="TableContents"/>
              <w:bidi w:val="0"/>
              <w:spacing w:before="0" w:after="0"/>
              <w:ind w:left="0" w:right="0" w:hanging="0"/>
              <w:jc w:val="left"/>
              <w:rPr/>
            </w:pPr>
            <w:r>
              <w:rPr/>
              <w:t> </w:t>
            </w:r>
            <w:bookmarkStart w:id="395" w:name=".symb.323"/>
            <w:bookmarkStart w:id="396" w:name=".symb.324"/>
            <w:bookmarkEnd w:id="395"/>
            <w:bookmarkEnd w:id="396"/>
          </w:p>
        </w:tc>
        <w:tc>
          <w:tcPr>
            <w:tcW w:w="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97" w:name=".amt.3119"/>
            <w:bookmarkStart w:id="398" w:name=".amt.3120"/>
            <w:bookmarkEnd w:id="397"/>
            <w:bookmarkEnd w:id="398"/>
          </w:p>
        </w:tc>
        <w:tc>
          <w:tcPr>
            <w:tcW w:w="91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(14,385</w:t>
            </w:r>
            <w:bookmarkStart w:id="399" w:name=".trail.327"/>
            <w:bookmarkStart w:id="400" w:name=".trail.328"/>
            <w:bookmarkEnd w:id="399"/>
            <w:bookmarkEnd w:id="400"/>
          </w:p>
        </w:tc>
        <w:tc>
          <w:tcPr>
            <w:tcW w:w="27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01" w:name=".amt.2121"/>
            <w:bookmarkStart w:id="402" w:name=".amt.2122"/>
            <w:bookmarkEnd w:id="401"/>
            <w:bookmarkEnd w:id="402"/>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5,866</w:t>
            </w:r>
          </w:p>
        </w:tc>
        <w:tc>
          <w:tcPr>
            <w:tcW w:w="385"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03" w:name=".amt.3121"/>
            <w:bookmarkStart w:id="404" w:name=".amt.3122"/>
            <w:bookmarkEnd w:id="403"/>
            <w:bookmarkEnd w:id="404"/>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3,377</w:t>
            </w:r>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05" w:name=".amt.2123"/>
            <w:bookmarkStart w:id="406" w:name=".amt.2124"/>
            <w:bookmarkEnd w:id="405"/>
            <w:bookmarkEnd w:id="406"/>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w:t>
            </w:r>
          </w:p>
        </w:tc>
        <w:tc>
          <w:tcPr>
            <w:tcW w:w="3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07" w:name=".amt.3123"/>
            <w:bookmarkStart w:id="408" w:name=".amt.3124"/>
            <w:bookmarkEnd w:id="407"/>
            <w:bookmarkEnd w:id="408"/>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p>
        </w:tc>
        <w:tc>
          <w:tcPr>
            <w:tcW w:w="275" w:type="dxa"/>
            <w:tcBorders/>
            <w:shd w:fill="FFFFFF" w:val="cle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depletion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09" w:name=".amt.2125"/>
            <w:bookmarkStart w:id="410" w:name=".amt.2126"/>
            <w:bookmarkEnd w:id="409"/>
            <w:bookmarkEnd w:id="410"/>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1,031</w:t>
            </w:r>
          </w:p>
        </w:tc>
        <w:tc>
          <w:tcPr>
            <w:tcW w:w="385"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11" w:name=".amt.3125"/>
            <w:bookmarkStart w:id="412" w:name=".amt.3126"/>
            <w:bookmarkEnd w:id="411"/>
            <w:bookmarkEnd w:id="412"/>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7,309</w:t>
            </w:r>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 expenses</w:t>
            </w:r>
            <w:r>
              <w:rPr>
                <w:rFonts w:ascii="Times New Roman" w:hAnsi="Times New Roman"/>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13" w:name=".amt.2127"/>
            <w:bookmarkStart w:id="414" w:name=".amt.2128"/>
            <w:bookmarkEnd w:id="413"/>
            <w:bookmarkEnd w:id="414"/>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2,497</w:t>
            </w:r>
          </w:p>
        </w:tc>
        <w:tc>
          <w:tcPr>
            <w:tcW w:w="385"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15" w:name=".amt.3127"/>
            <w:bookmarkStart w:id="416" w:name=".amt.3128"/>
            <w:bookmarkEnd w:id="415"/>
            <w:bookmarkEnd w:id="416"/>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w:t>
            </w:r>
          </w:p>
        </w:tc>
        <w:tc>
          <w:tcPr>
            <w:tcW w:w="275" w:type="dxa"/>
            <w:tcBorders/>
            <w:shd w:fill="FFFFFF" w:val="cle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17" w:name=".amt.2129"/>
            <w:bookmarkStart w:id="418" w:name=".amt.2130"/>
            <w:bookmarkEnd w:id="417"/>
            <w:bookmarkEnd w:id="418"/>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385"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19" w:name=".amt.3129"/>
            <w:bookmarkStart w:id="420" w:name=".amt.3130"/>
            <w:bookmarkEnd w:id="419"/>
            <w:bookmarkEnd w:id="420"/>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w:t>
            </w:r>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r>
              <w:rPr>
                <w:rFonts w:ascii="Times New Roman" w:hAnsi="Times New Roman"/>
                <w:caps w:val="false"/>
                <w:smallCaps w:val="false"/>
                <w:position w:val="7"/>
                <w:sz w:val="16"/>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21" w:name=".amt.2131"/>
            <w:bookmarkStart w:id="422" w:name=".amt.2132"/>
            <w:bookmarkEnd w:id="421"/>
            <w:bookmarkEnd w:id="422"/>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w:t>
            </w:r>
          </w:p>
        </w:tc>
        <w:tc>
          <w:tcPr>
            <w:tcW w:w="385"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23" w:name=".amt.3131"/>
            <w:bookmarkStart w:id="424" w:name=".amt.3132"/>
            <w:bookmarkEnd w:id="423"/>
            <w:bookmarkEnd w:id="424"/>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475</w:t>
            </w:r>
          </w:p>
        </w:tc>
        <w:tc>
          <w:tcPr>
            <w:tcW w:w="275" w:type="dxa"/>
            <w:tcBorders/>
            <w:shd w:fill="FFFFFF" w:val="cle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Debt transactions and strategic alternatives</w:t>
            </w:r>
            <w:r>
              <w:rPr>
                <w:rFonts w:ascii="Times New Roman" w:hAnsi="Times New Roman"/>
                <w:caps w:val="false"/>
                <w:smallCaps w:val="false"/>
                <w:position w:val="7"/>
                <w:sz w:val="16"/>
                <w:sz w:val="20"/>
              </w:rPr>
              <w:t>4</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25" w:name=".amt.2133"/>
            <w:bookmarkStart w:id="426" w:name=".amt.2134"/>
            <w:bookmarkEnd w:id="425"/>
            <w:bookmarkEnd w:id="426"/>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1,060</w:t>
            </w:r>
          </w:p>
        </w:tc>
        <w:tc>
          <w:tcPr>
            <w:tcW w:w="385"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27" w:name=".amt.3133"/>
            <w:bookmarkStart w:id="428" w:name=".amt.3134"/>
            <w:bookmarkEnd w:id="427"/>
            <w:bookmarkEnd w:id="428"/>
          </w:p>
        </w:tc>
        <w:tc>
          <w:tcPr>
            <w:tcW w:w="9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208</w:t>
            </w:r>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 net</w:t>
            </w:r>
            <w:r>
              <w:rPr>
                <w:rFonts w:ascii="Times New Roman" w:hAnsi="Times New Roman"/>
                <w:caps w:val="false"/>
                <w:smallCaps w:val="false"/>
                <w:position w:val="7"/>
                <w:sz w:val="16"/>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29" w:name=".amt.2135"/>
            <w:bookmarkStart w:id="430" w:name=".amt.2136"/>
            <w:bookmarkEnd w:id="429"/>
            <w:bookmarkEnd w:id="430"/>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w:t>
            </w:r>
          </w:p>
        </w:tc>
        <w:tc>
          <w:tcPr>
            <w:tcW w:w="385"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31" w:name=".amt.3135"/>
            <w:bookmarkStart w:id="432" w:name=".amt.3136"/>
            <w:bookmarkEnd w:id="431"/>
            <w:bookmarkEnd w:id="432"/>
          </w:p>
        </w:tc>
        <w:tc>
          <w:tcPr>
            <w:tcW w:w="9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w:t>
            </w:r>
            <w:bookmarkStart w:id="433" w:name=".trail.329"/>
            <w:bookmarkStart w:id="434" w:name=".trail.330"/>
            <w:bookmarkEnd w:id="433"/>
            <w:bookmarkEnd w:id="434"/>
          </w:p>
        </w:tc>
        <w:tc>
          <w:tcPr>
            <w:tcW w:w="2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Adjusted EBITDA (Non-GAAP)</w:t>
            </w:r>
          </w:p>
        </w:tc>
        <w:tc>
          <w:tcPr>
            <w:tcW w:w="60" w:type="dxa"/>
            <w:tcBorders/>
            <w:shd w:fill="CCEEFF" w:val="clear"/>
            <w:vAlign w:val="center"/>
          </w:tcPr>
          <w:p>
            <w:pPr>
              <w:pStyle w:val="TableContents"/>
              <w:bidi w:val="0"/>
              <w:spacing w:before="0" w:after="0"/>
              <w:ind w:left="0" w:right="0" w:hanging="0"/>
              <w:jc w:val="left"/>
              <w:rPr/>
            </w:pPr>
            <w:r>
              <w:rPr/>
              <w:t> </w:t>
            </w:r>
            <w:bookmarkStart w:id="435" w:name=".symb.225"/>
            <w:bookmarkStart w:id="436" w:name=".symb.226"/>
            <w:bookmarkEnd w:id="435"/>
            <w:bookmarkEnd w:id="436"/>
          </w:p>
        </w:tc>
        <w:tc>
          <w:tcPr>
            <w:tcW w:w="17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37" w:name=".amt.2137"/>
            <w:bookmarkStart w:id="438" w:name=".amt.2138"/>
            <w:bookmarkEnd w:id="437"/>
            <w:bookmarkEnd w:id="438"/>
          </w:p>
        </w:tc>
        <w:tc>
          <w:tcPr>
            <w:tcW w:w="9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(3,932</w:t>
            </w:r>
            <w:bookmarkStart w:id="439" w:name=".trail.231"/>
            <w:bookmarkStart w:id="440" w:name=".trail.232"/>
            <w:bookmarkEnd w:id="439"/>
            <w:bookmarkEnd w:id="440"/>
          </w:p>
        </w:tc>
        <w:tc>
          <w:tcPr>
            <w:tcW w:w="3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4" w:type="dxa"/>
            <w:tcBorders/>
            <w:shd w:fill="CCEEFF" w:val="clear"/>
            <w:vAlign w:val="center"/>
          </w:tcPr>
          <w:p>
            <w:pPr>
              <w:pStyle w:val="TableContents"/>
              <w:bidi w:val="0"/>
              <w:spacing w:before="0" w:after="0"/>
              <w:ind w:left="0" w:right="0" w:hanging="0"/>
              <w:jc w:val="left"/>
              <w:rPr/>
            </w:pPr>
            <w:r>
              <w:rPr/>
              <w:t> </w:t>
            </w:r>
            <w:bookmarkStart w:id="441" w:name=".symb.325"/>
            <w:bookmarkStart w:id="442" w:name=".symb.326"/>
            <w:bookmarkEnd w:id="441"/>
            <w:bookmarkEnd w:id="442"/>
          </w:p>
        </w:tc>
        <w:tc>
          <w:tcPr>
            <w:tcW w:w="17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43" w:name=".amt.3137"/>
            <w:bookmarkStart w:id="444" w:name=".amt.3138"/>
            <w:bookmarkEnd w:id="443"/>
            <w:bookmarkEnd w:id="444"/>
          </w:p>
        </w:tc>
        <w:tc>
          <w:tcPr>
            <w:tcW w:w="9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(2,448</w:t>
            </w:r>
            <w:bookmarkStart w:id="445" w:name=".trail.331"/>
            <w:bookmarkStart w:id="446" w:name=".trail.332"/>
            <w:bookmarkEnd w:id="445"/>
            <w:bookmarkEnd w:id="446"/>
          </w:p>
        </w:tc>
        <w:tc>
          <w:tcPr>
            <w:tcW w:w="27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912" w:type="dxa"/>
            <w:tcBorders/>
            <w:shd w:fill="FFFFFF" w:val="clear"/>
            <w:vAlign w:val="center"/>
          </w:tcPr>
          <w:p>
            <w:pPr>
              <w:pStyle w:val="TableContents"/>
              <w:bidi w:val="0"/>
              <w:spacing w:before="0" w:after="0"/>
              <w:ind w:left="0" w:right="0" w:hanging="0"/>
              <w:jc w:val="left"/>
              <w:rPr/>
            </w:pPr>
            <w:r>
              <w:rPr/>
              <w:t> </w:t>
            </w:r>
          </w:p>
        </w:tc>
        <w:tc>
          <w:tcPr>
            <w:tcW w:w="385"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p>
        </w:tc>
        <w:tc>
          <w:tcPr>
            <w:tcW w:w="912" w:type="dxa"/>
            <w:tcBorders/>
            <w:shd w:fill="FFFFFF" w:val="clear"/>
            <w:vAlign w:val="center"/>
          </w:tcPr>
          <w:p>
            <w:pPr>
              <w:pStyle w:val="TableContents"/>
              <w:bidi w:val="0"/>
              <w:spacing w:before="0" w:after="0"/>
              <w:ind w:left="0" w:right="0" w:hanging="0"/>
              <w:jc w:val="left"/>
              <w:rPr/>
            </w:pPr>
            <w:r>
              <w:rPr/>
              <w:t> </w:t>
            </w:r>
          </w:p>
        </w:tc>
        <w:tc>
          <w:tcPr>
            <w:tcW w:w="275" w:type="dxa"/>
            <w:tcBorders/>
            <w:shd w:fill="FFFFFF" w:val="cle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As a percent of net sales:</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p>
        </w:tc>
        <w:tc>
          <w:tcPr>
            <w:tcW w:w="912" w:type="dxa"/>
            <w:tcBorders/>
            <w:shd w:fill="CCEEFF" w:val="clear"/>
            <w:vAlign w:val="center"/>
          </w:tcPr>
          <w:p>
            <w:pPr>
              <w:pStyle w:val="TableContents"/>
              <w:bidi w:val="0"/>
              <w:spacing w:before="0" w:after="0"/>
              <w:ind w:left="0" w:right="0" w:hanging="0"/>
              <w:jc w:val="left"/>
              <w:rPr/>
            </w:pPr>
            <w:r>
              <w:rPr/>
              <w:t> </w:t>
            </w:r>
          </w:p>
        </w:tc>
        <w:tc>
          <w:tcPr>
            <w:tcW w:w="27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 (GAAP)</w:t>
            </w:r>
          </w:p>
        </w:tc>
        <w:tc>
          <w:tcPr>
            <w:tcW w:w="60"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47" w:name=".amt.2139"/>
            <w:bookmarkStart w:id="448" w:name=".amt.2140"/>
            <w:bookmarkEnd w:id="447"/>
            <w:bookmarkEnd w:id="448"/>
          </w:p>
        </w:tc>
        <w:tc>
          <w:tcPr>
            <w:tcW w:w="91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(51.2</w:t>
            </w:r>
            <w:bookmarkStart w:id="449" w:name=".trail.233"/>
            <w:bookmarkStart w:id="450" w:name=".trail.234"/>
            <w:bookmarkEnd w:id="449"/>
            <w:bookmarkEnd w:id="450"/>
          </w:p>
        </w:tc>
        <w:tc>
          <w:tcPr>
            <w:tcW w:w="38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4" w:type="dxa"/>
            <w:tcBorders/>
            <w:shd w:fill="FFFFFF" w:val="clear"/>
            <w:vAlign w:val="center"/>
          </w:tcPr>
          <w:p>
            <w:pPr>
              <w:pStyle w:val="TableContents"/>
              <w:bidi w:val="0"/>
              <w:spacing w:before="0" w:after="0"/>
              <w:ind w:left="0" w:right="0" w:hanging="0"/>
              <w:jc w:val="left"/>
              <w:rPr/>
            </w:pPr>
            <w:r>
              <w:rPr/>
              <w:t> </w:t>
            </w:r>
          </w:p>
        </w:tc>
        <w:tc>
          <w:tcPr>
            <w:tcW w:w="175" w:type="dxa"/>
            <w:tcBorders/>
            <w:shd w:fill="FFFFFF" w:val="clear"/>
            <w:vAlign w:val="center"/>
          </w:tcPr>
          <w:p>
            <w:pPr>
              <w:pStyle w:val="TableContents"/>
              <w:bidi w:val="0"/>
              <w:spacing w:before="0" w:after="0"/>
              <w:ind w:left="0" w:right="0" w:hanging="0"/>
              <w:jc w:val="left"/>
              <w:rPr/>
            </w:pPr>
            <w:r>
              <w:rPr/>
              <w:t> </w:t>
            </w:r>
            <w:bookmarkStart w:id="451" w:name=".amt.3139"/>
            <w:bookmarkStart w:id="452" w:name=".amt.3140"/>
            <w:bookmarkEnd w:id="451"/>
            <w:bookmarkEnd w:id="452"/>
          </w:p>
        </w:tc>
        <w:tc>
          <w:tcPr>
            <w:tcW w:w="91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(35.5</w:t>
            </w:r>
            <w:bookmarkStart w:id="453" w:name=".trail.333"/>
            <w:bookmarkStart w:id="454" w:name=".trail.334"/>
            <w:bookmarkEnd w:id="453"/>
            <w:bookmarkEnd w:id="454"/>
          </w:p>
        </w:tc>
        <w:tc>
          <w:tcPr>
            <w:tcW w:w="27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5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Adjusted EBITDA (Non-GAAP)</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55" w:name=".amt.2141"/>
            <w:bookmarkStart w:id="456" w:name=".amt.2142"/>
            <w:bookmarkEnd w:id="455"/>
            <w:bookmarkEnd w:id="456"/>
          </w:p>
        </w:tc>
        <w:tc>
          <w:tcPr>
            <w:tcW w:w="91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(13.8</w:t>
            </w:r>
            <w:bookmarkStart w:id="457" w:name=".trail.235"/>
            <w:bookmarkStart w:id="458" w:name=".trail.236"/>
            <w:bookmarkEnd w:id="457"/>
            <w:bookmarkEnd w:id="458"/>
          </w:p>
        </w:tc>
        <w:tc>
          <w:tcPr>
            <w:tcW w:w="38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4"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0"/>
              <w:ind w:left="0" w:right="0" w:hanging="0"/>
              <w:jc w:val="left"/>
              <w:rPr/>
            </w:pPr>
            <w:r>
              <w:rPr/>
              <w:t> </w:t>
            </w:r>
            <w:bookmarkStart w:id="459" w:name=".amt.3141"/>
            <w:bookmarkStart w:id="460" w:name=".amt.3142"/>
            <w:bookmarkEnd w:id="459"/>
            <w:bookmarkEnd w:id="460"/>
          </w:p>
        </w:tc>
        <w:tc>
          <w:tcPr>
            <w:tcW w:w="91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(6.0</w:t>
            </w:r>
            <w:bookmarkStart w:id="461" w:name=".trail.335"/>
            <w:bookmarkStart w:id="462" w:name=".trail.336"/>
            <w:bookmarkEnd w:id="461"/>
            <w:bookmarkEnd w:id="462"/>
          </w:p>
        </w:tc>
        <w:tc>
          <w:tcPr>
            <w:tcW w:w="27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463" w:name="led-table-808b9aec-c5e6-4734-8100-ab3b39"/>
      <w:bookmarkStart w:id="464" w:name="led-table-808b9aec-c5e6-4734-8100-ab3b39"/>
      <w:bookmarkEnd w:id="464"/>
    </w:p>
    <w:tbl>
      <w:tblPr>
        <w:tblW w:w="7888" w:type="dxa"/>
        <w:jc w:val="left"/>
        <w:tblInd w:w="0" w:type="dxa"/>
        <w:tblLayout w:type="fixed"/>
        <w:tblCellMar>
          <w:top w:w="0" w:type="dxa"/>
          <w:left w:w="0" w:type="dxa"/>
          <w:bottom w:w="0" w:type="dxa"/>
          <w:right w:w="0" w:type="dxa"/>
        </w:tblCellMar>
      </w:tblPr>
      <w:tblGrid>
        <w:gridCol w:w="5105"/>
        <w:gridCol w:w="60"/>
        <w:gridCol w:w="230"/>
        <w:gridCol w:w="728"/>
        <w:gridCol w:w="147"/>
        <w:gridCol w:w="110"/>
        <w:gridCol w:w="230"/>
        <w:gridCol w:w="1198"/>
        <w:gridCol w:w="80"/>
      </w:tblGrid>
      <w:tr>
        <w:trPr/>
        <w:tc>
          <w:tcPr>
            <w:tcW w:w="51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5" w:name=".amt.D317"/>
            <w:bookmarkStart w:id="466" w:name=".amt.D318"/>
            <w:bookmarkEnd w:id="465"/>
            <w:bookmarkEnd w:id="466"/>
          </w:p>
        </w:tc>
        <w:tc>
          <w:tcPr>
            <w:tcW w:w="26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1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7" w:name=".amt.D29"/>
            <w:bookmarkStart w:id="468" w:name=".amt.D210"/>
            <w:bookmarkEnd w:id="467"/>
            <w:bookmarkEnd w:id="468"/>
          </w:p>
        </w:tc>
        <w:tc>
          <w:tcPr>
            <w:tcW w:w="9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469" w:name=".amt.D319"/>
            <w:bookmarkStart w:id="470" w:name=".amt.D320"/>
            <w:bookmarkEnd w:id="469"/>
            <w:bookmarkEnd w:id="470"/>
          </w:p>
        </w:tc>
        <w:tc>
          <w:tcPr>
            <w:tcW w:w="14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10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Free Cash Flow:</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728"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19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0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cash used in operating activities (GAAP):</w:t>
            </w:r>
          </w:p>
        </w:tc>
        <w:tc>
          <w:tcPr>
            <w:tcW w:w="60" w:type="dxa"/>
            <w:tcBorders/>
            <w:shd w:fill="FFFFFF" w:val="clear"/>
            <w:vAlign w:val="center"/>
          </w:tcPr>
          <w:p>
            <w:pPr>
              <w:pStyle w:val="TableContents"/>
              <w:bidi w:val="0"/>
              <w:spacing w:before="0" w:after="0"/>
              <w:ind w:left="0" w:right="0" w:hanging="0"/>
              <w:jc w:val="left"/>
              <w:rPr/>
            </w:pPr>
            <w:r>
              <w:rPr/>
              <w:t> </w:t>
            </w:r>
            <w:bookmarkStart w:id="471" w:name=".symb.227"/>
            <w:bookmarkStart w:id="472" w:name=".symb.228"/>
            <w:bookmarkEnd w:id="471"/>
            <w:bookmarkEnd w:id="472"/>
          </w:p>
        </w:tc>
        <w:tc>
          <w:tcPr>
            <w:tcW w:w="2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73" w:name=".amt.2143"/>
            <w:bookmarkStart w:id="474" w:name=".amt.2144"/>
            <w:bookmarkEnd w:id="473"/>
            <w:bookmarkEnd w:id="474"/>
          </w:p>
        </w:tc>
        <w:tc>
          <w:tcPr>
            <w:tcW w:w="72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(759</w:t>
            </w:r>
            <w:bookmarkStart w:id="475" w:name=".trail.237"/>
            <w:bookmarkStart w:id="476" w:name=".trail.238"/>
            <w:bookmarkEnd w:id="475"/>
            <w:bookmarkEnd w:id="476"/>
          </w:p>
        </w:tc>
        <w:tc>
          <w:tcPr>
            <w:tcW w:w="147"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10" w:type="dxa"/>
            <w:tcBorders/>
            <w:shd w:fill="FFFFFF" w:val="clear"/>
            <w:vAlign w:val="center"/>
          </w:tcPr>
          <w:p>
            <w:pPr>
              <w:pStyle w:val="TableContents"/>
              <w:bidi w:val="0"/>
              <w:spacing w:before="0" w:after="0"/>
              <w:ind w:left="0" w:right="0" w:hanging="0"/>
              <w:jc w:val="left"/>
              <w:rPr/>
            </w:pPr>
            <w:r>
              <w:rPr/>
              <w:t> </w:t>
            </w:r>
            <w:bookmarkStart w:id="477" w:name=".symb.327"/>
            <w:bookmarkStart w:id="478" w:name=".symb.328"/>
            <w:bookmarkEnd w:id="477"/>
            <w:bookmarkEnd w:id="478"/>
          </w:p>
        </w:tc>
        <w:tc>
          <w:tcPr>
            <w:tcW w:w="2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79" w:name=".amt.3143"/>
            <w:bookmarkStart w:id="480" w:name=".amt.3144"/>
            <w:bookmarkEnd w:id="479"/>
            <w:bookmarkEnd w:id="480"/>
          </w:p>
        </w:tc>
        <w:tc>
          <w:tcPr>
            <w:tcW w:w="119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(11,763</w:t>
            </w:r>
            <w:bookmarkStart w:id="481" w:name=".trail.337"/>
            <w:bookmarkStart w:id="482" w:name=".trail.338"/>
            <w:bookmarkEnd w:id="481"/>
            <w:bookmarkEnd w:id="482"/>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51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Capital expenditures of Property, plant and equipment (GAAP)</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3" w:name=".amt.2145"/>
            <w:bookmarkStart w:id="484" w:name=".amt.2146"/>
            <w:bookmarkEnd w:id="483"/>
            <w:bookmarkEnd w:id="484"/>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5" w:name=".amt.3145"/>
            <w:bookmarkStart w:id="486" w:name=".amt.3146"/>
            <w:bookmarkEnd w:id="485"/>
            <w:bookmarkEnd w:id="486"/>
          </w:p>
        </w:tc>
        <w:tc>
          <w:tcPr>
            <w:tcW w:w="11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w:t>
            </w:r>
            <w:bookmarkStart w:id="487" w:name=".trail.339"/>
            <w:bookmarkStart w:id="488" w:name=".trail.340"/>
            <w:bookmarkEnd w:id="487"/>
            <w:bookmarkEnd w:id="488"/>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0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Free Cash Flow (Non-GAAP):</w:t>
            </w:r>
          </w:p>
        </w:tc>
        <w:tc>
          <w:tcPr>
            <w:tcW w:w="60" w:type="dxa"/>
            <w:tcBorders/>
            <w:shd w:fill="FFFFFF" w:val="clear"/>
            <w:vAlign w:val="center"/>
          </w:tcPr>
          <w:p>
            <w:pPr>
              <w:pStyle w:val="TableContents"/>
              <w:bidi w:val="0"/>
              <w:spacing w:before="0" w:after="0"/>
              <w:ind w:left="0" w:right="0" w:hanging="0"/>
              <w:jc w:val="left"/>
              <w:rPr/>
            </w:pPr>
            <w:r>
              <w:rPr/>
              <w:t> </w:t>
            </w:r>
            <w:bookmarkStart w:id="489" w:name=".symb.229"/>
            <w:bookmarkStart w:id="490" w:name=".symb.230"/>
            <w:bookmarkEnd w:id="489"/>
            <w:bookmarkEnd w:id="490"/>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91" w:name=".amt.2147"/>
            <w:bookmarkStart w:id="492" w:name=".amt.2148"/>
            <w:bookmarkEnd w:id="491"/>
            <w:bookmarkEnd w:id="492"/>
          </w:p>
        </w:tc>
        <w:tc>
          <w:tcPr>
            <w:tcW w:w="72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(778</w:t>
            </w:r>
            <w:bookmarkStart w:id="493" w:name=".trail.239"/>
            <w:bookmarkStart w:id="494" w:name=".trail.240"/>
            <w:bookmarkEnd w:id="493"/>
            <w:bookmarkEnd w:id="494"/>
          </w:p>
        </w:tc>
        <w:tc>
          <w:tcPr>
            <w:tcW w:w="1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10" w:type="dxa"/>
            <w:tcBorders/>
            <w:shd w:fill="FFFFFF" w:val="clear"/>
            <w:vAlign w:val="center"/>
          </w:tcPr>
          <w:p>
            <w:pPr>
              <w:pStyle w:val="TableContents"/>
              <w:bidi w:val="0"/>
              <w:spacing w:before="0" w:after="0"/>
              <w:ind w:left="0" w:right="0" w:hanging="0"/>
              <w:jc w:val="left"/>
              <w:rPr/>
            </w:pPr>
            <w:r>
              <w:rPr/>
              <w:t> </w:t>
            </w:r>
            <w:bookmarkStart w:id="495" w:name=".symb.329"/>
            <w:bookmarkStart w:id="496" w:name=".symb.330"/>
            <w:bookmarkEnd w:id="495"/>
            <w:bookmarkEnd w:id="496"/>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97" w:name=".amt.3147"/>
            <w:bookmarkStart w:id="498" w:name=".amt.3148"/>
            <w:bookmarkEnd w:id="497"/>
            <w:bookmarkEnd w:id="498"/>
          </w:p>
        </w:tc>
        <w:tc>
          <w:tcPr>
            <w:tcW w:w="11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(12,007</w:t>
            </w:r>
            <w:bookmarkStart w:id="499" w:name=".trail.341"/>
            <w:bookmarkStart w:id="500" w:name=".trail.342"/>
            <w:bookmarkEnd w:id="499"/>
            <w:bookmarkEnd w:id="500"/>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Notes to GAAP to Non-GAAP reconciliations presented above (Adjusted Gross Profit, Adjusted SG&amp;A, Adjusted EBITDA, and Free Cash Flow):</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0"/>
              <w:ind w:left="0" w:right="0" w:hanging="0"/>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8"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For the </w:t>
            </w:r>
            <w:bookmarkStart w:id="501" w:name="led810056F202602131771014193182"/>
            <w:bookmarkEnd w:id="501"/>
            <w:r>
              <w:rPr>
                <w:rFonts w:ascii="Calibri" w:hAnsi="Calibri"/>
                <w:caps w:val="false"/>
                <w:smallCaps w:val="false"/>
                <w:sz w:val="20"/>
              </w:rPr>
              <w:t>three months ended March 31, 2026, restructuring expenses primarily related to non-cash inventory markdowns, and cash charges incurred to relocate and terminate certain facilities. For the </w:t>
            </w:r>
            <w:bookmarkStart w:id="502" w:name="led810056F202602131771014204760"/>
            <w:bookmarkEnd w:id="502"/>
            <w:r>
              <w:rPr>
                <w:rFonts w:ascii="Calibri" w:hAnsi="Calibri"/>
                <w:caps w:val="false"/>
                <w:smallCaps w:val="false"/>
                <w:sz w:val="20"/>
              </w:rPr>
              <w:t>three months ended March 31, 2025, restructuring charges primarily related to charges incurred to relocate and terminate certain facilities, and non-cash inventory markdowns associated with manufacturing facility consolidations.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0"/>
              <w:ind w:left="0" w:right="0" w:hanging="0"/>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For the </w:t>
            </w:r>
            <w:bookmarkStart w:id="503" w:name="led810056F202602131771014347552"/>
            <w:bookmarkEnd w:id="503"/>
            <w:r>
              <w:rPr>
                <w:rFonts w:ascii="Calibri" w:hAnsi="Calibri"/>
                <w:caps w:val="false"/>
                <w:smallCaps w:val="false"/>
                <w:sz w:val="20"/>
              </w:rPr>
              <w:t>three months ended March 31, 2026, other charges was primarily comprised of certain legal charges. For the </w:t>
            </w:r>
            <w:bookmarkStart w:id="504" w:name="led810056F202602131771014364843"/>
            <w:bookmarkEnd w:id="504"/>
            <w:r>
              <w:rPr>
                <w:rFonts w:ascii="Calibri" w:hAnsi="Calibri"/>
                <w:caps w:val="false"/>
                <w:smallCaps w:val="false"/>
                <w:sz w:val="20"/>
              </w:rPr>
              <w:t>three months ended March 31, 2025, other charges primarily related to legal costs related to the 1-for-10 reverse stock split effected on February 12, 2025, as well as severance charges.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9"/>
        <w:gridCol w:w="9976"/>
      </w:tblGrid>
      <w:tr>
        <w:trPr/>
        <w:tc>
          <w:tcPr>
            <w:tcW w:w="60"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76"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Includes stock-based compensation and related employer payroll taxes on stock-based compensation for the periods presented.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11"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For the </w:t>
            </w:r>
            <w:bookmarkStart w:id="505" w:name="led810056F202602131771014422039"/>
            <w:bookmarkEnd w:id="505"/>
            <w:r>
              <w:rPr>
                <w:rFonts w:ascii="Calibri" w:hAnsi="Calibri"/>
                <w:caps w:val="false"/>
                <w:smallCaps w:val="false"/>
                <w:sz w:val="20"/>
              </w:rPr>
              <w:t>three months ended March 31, 2026, debt transactions and strategic alternatives charges include legal and advisory services associated with debt transactions, including the forbearance agreement. For the three months ended March 31, 2025, debt transactions and strategic alternatives charges include consulting, transaction services and legal fees for potential acquisitions, divestitures, or strategic combinations. Such amounts were previously presented in the line item titled “Acquisition and integration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0"/>
              <w:ind w:left="0" w:right="0" w:hanging="0"/>
              <w:jc w:val="left"/>
              <w:rPr/>
            </w:pPr>
            <w:r>
              <w:rPr/>
              <w:t> </w:t>
            </w:r>
          </w:p>
        </w:tc>
        <w:tc>
          <w:tcPr>
            <w:tcW w:w="1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7" w:type="dxa"/>
            <w:tcBorders/>
            <w:vAlign w:val="center"/>
          </w:tcPr>
          <w:p>
            <w:pPr>
              <w:pStyle w:val="TableContents"/>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For the </w:t>
            </w:r>
            <w:bookmarkStart w:id="506" w:name="led810056F202602131771014465707"/>
            <w:bookmarkEnd w:id="506"/>
            <w:r>
              <w:rPr>
                <w:rFonts w:ascii="Calibri" w:hAnsi="Calibri"/>
                <w:caps w:val="false"/>
                <w:smallCaps w:val="false"/>
                <w:sz w:val="20"/>
              </w:rPr>
              <w:t>three months ended March 31, 2026, other expense, net related primarily to a loss on debt extinguishment recorded in conjunction with the termination of the Company's Revolving Credit Facility. For the </w:t>
            </w:r>
            <w:bookmarkStart w:id="507" w:name="led810056F2026021317710143648431"/>
            <w:bookmarkEnd w:id="507"/>
            <w:r>
              <w:rPr>
                <w:rFonts w:ascii="Calibri" w:hAnsi="Calibri"/>
                <w:caps w:val="false"/>
                <w:smallCaps w:val="false"/>
                <w:sz w:val="20"/>
              </w:rPr>
              <w:t>three months ended March 31, 2025, other income, net related primarily to foreign currency exchange rate gains and losses and other non-operating income and expenses.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99.1</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Calibri" w:hAnsi="Calibri"/>
          <w:caps w:val="false"/>
          <w:smallCaps w:val="false"/>
          <w:sz w:val="20"/>
        </w:rPr>
      </w:pPr>
      <w:r>
        <w:rPr>
          <w:rFonts w:ascii="Calibri" w:hAnsi="Calibri"/>
          <w:b/>
          <w:caps w:val="false"/>
          <w:smallCaps w:val="false"/>
          <w:sz w:val="20"/>
        </w:rPr>
        <w:t>Non-GAAP Financial Measures</w:t>
      </w:r>
      <w:r>
        <w:rPr>
          <w:rFonts w:ascii="Calibri" w:hAnsi="Calibr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We report our financial results in accordance with generally accepted accounting principles in the U.S. (“GAAP”).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To supplement our condensed consolidated financial statements which are prepared in accordance with GAAP, we use "Adjusted EBITDA", "Adjusted Gross Profit", "Adjusted SG&amp;A", "Free Cash Flow", "Net Debt", and "Liquidity" which are non-GAAP financial measures. We also present certain of these non-GAAP metrics as a percentage of net sales.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Adjusted EBITDA</w:t>
      </w:r>
      <w:r>
        <w:rPr>
          <w:rFonts w:ascii="Calibri" w:hAnsi="Calibri"/>
          <w:caps w:val="false"/>
          <w:smallCaps w:val="false"/>
          <w:sz w:val="20"/>
        </w:rPr>
        <w:t xml:space="preserve"> (non-GAAP) as net loss (GAAP) excluding interest expense, income taxes, depreciation, depletion and amortization, stock-based compensation including employer payroll taxes on stock-based compensation, restructuring expenses, impairments, severance, loss on asset disposition, other income/expense, net, and other non-cash, unusual and/or infrequent costs (i.e., acquisition and integration expenses), which we do not consider in our evaluation of ongoing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 xml:space="preserve">Adjusted EBITDA </w:t>
      </w:r>
      <w:r>
        <w:rPr>
          <w:rFonts w:ascii="Calibri" w:hAnsi="Calibri"/>
          <w:caps w:val="false"/>
          <w:smallCaps w:val="false"/>
          <w:sz w:val="20"/>
        </w:rPr>
        <w:t xml:space="preserve">(non-GAAP) </w:t>
      </w:r>
      <w:r>
        <w:rPr>
          <w:rFonts w:ascii="Calibri" w:hAnsi="Calibri"/>
          <w:b/>
          <w:caps w:val="false"/>
          <w:smallCaps w:val="false"/>
          <w:sz w:val="20"/>
        </w:rPr>
        <w:t>as a percent of net sales</w:t>
      </w:r>
      <w:r>
        <w:rPr>
          <w:rFonts w:ascii="Calibri" w:hAnsi="Calibri"/>
          <w:caps w:val="false"/>
          <w:smallCaps w:val="false"/>
          <w:sz w:val="20"/>
        </w:rPr>
        <w:t xml:space="preserve"> as Adjusted EBITDA (as defined above) divided by net sales in the respective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Adjusted Gross Profit</w:t>
      </w:r>
      <w:r>
        <w:rPr>
          <w:rFonts w:ascii="Calibri" w:hAnsi="Calibri"/>
          <w:caps w:val="false"/>
          <w:smallCaps w:val="false"/>
          <w:sz w:val="20"/>
        </w:rPr>
        <w:t xml:space="preserve"> (non-GAAP) as Gross Profit (GAAP) excluding depreciation, depletion, and amortization, restructuring expenses, severance and other expenses, and other non-cash, unusual and/or infrequent costs, which we do not consider in our evaluation of ongoing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 xml:space="preserve">Adjusted Gross Profit Margin </w:t>
      </w:r>
      <w:r>
        <w:rPr>
          <w:rFonts w:ascii="Calibri" w:hAnsi="Calibri"/>
          <w:caps w:val="false"/>
          <w:smallCaps w:val="false"/>
          <w:sz w:val="20"/>
        </w:rPr>
        <w:t xml:space="preserve">(non-GAAP) </w:t>
      </w:r>
      <w:r>
        <w:rPr>
          <w:rFonts w:ascii="Calibri" w:hAnsi="Calibri"/>
          <w:b/>
          <w:caps w:val="false"/>
          <w:smallCaps w:val="false"/>
          <w:sz w:val="20"/>
        </w:rPr>
        <w:t>as a percent of net sales</w:t>
      </w:r>
      <w:r>
        <w:rPr>
          <w:rFonts w:ascii="Calibri" w:hAnsi="Calibri"/>
          <w:caps w:val="false"/>
          <w:smallCaps w:val="false"/>
          <w:sz w:val="20"/>
        </w:rPr>
        <w:t xml:space="preserve"> as Adjusted Gross Profit (as defined above) divided by net sales in the respective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Adjusted SG&amp;A</w:t>
      </w:r>
      <w:r>
        <w:rPr>
          <w:rFonts w:ascii="Calibri" w:hAnsi="Calibri"/>
          <w:caps w:val="false"/>
          <w:smallCaps w:val="false"/>
          <w:sz w:val="20"/>
        </w:rPr>
        <w:t xml:space="preserve"> (non-GAAP) as SG&amp;A (GAAP) excluding depreciation, depletion, and amortization, stock-based compensation including employer payroll taxes on stock-based compensation, restructuring expenses, severance and other expenses, and other non-cash, unusual and/or infrequent costs (i.e., acquisition and integration expenses), which we do not consider in our evaluation of ongoing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 xml:space="preserve">Adjusted SG&amp;A </w:t>
      </w:r>
      <w:r>
        <w:rPr>
          <w:rFonts w:ascii="Calibri" w:hAnsi="Calibri"/>
          <w:caps w:val="false"/>
          <w:smallCaps w:val="false"/>
          <w:sz w:val="20"/>
        </w:rPr>
        <w:t xml:space="preserve">(non-GAAP) </w:t>
      </w:r>
      <w:r>
        <w:rPr>
          <w:rFonts w:ascii="Calibri" w:hAnsi="Calibri"/>
          <w:b/>
          <w:caps w:val="false"/>
          <w:smallCaps w:val="false"/>
          <w:sz w:val="20"/>
        </w:rPr>
        <w:t>as a percent of net sales</w:t>
      </w:r>
      <w:r>
        <w:rPr>
          <w:rFonts w:ascii="Calibri" w:hAnsi="Calibri"/>
          <w:caps w:val="false"/>
          <w:smallCaps w:val="false"/>
          <w:sz w:val="20"/>
        </w:rPr>
        <w:t xml:space="preserve"> as Adjusted SG&amp;A (as defined above) divided by net sales in the respective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Free Cash Flow</w:t>
      </w:r>
      <w:r>
        <w:rPr>
          <w:rFonts w:ascii="Calibri" w:hAnsi="Calibri"/>
          <w:caps w:val="false"/>
          <w:smallCaps w:val="false"/>
          <w:sz w:val="20"/>
        </w:rPr>
        <w:t xml:space="preserve"> (non-GAAP) as Net cash from (used in) operating activities less capital expenditures for property, plant and equipment. We believe this provides additional insight into the Company's ability to generate cash and maintain liquidity. However, Free Cash Flow does not represent funds available for investment or other discretionary uses since it does not deduct cash used to service our debt or other cash flows from financing activities or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Liquidity</w:t>
      </w:r>
      <w:r>
        <w:rPr>
          <w:rFonts w:ascii="Calibri" w:hAnsi="Calibri"/>
          <w:caps w:val="false"/>
          <w:smallCaps w:val="false"/>
          <w:sz w:val="20"/>
        </w:rPr>
        <w:t xml:space="preserve"> as total cash, cash equivalents and restricted cash,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Calibri" w:hAnsi="Calibri"/>
          <w:caps w:val="false"/>
          <w:smallCaps w:val="false"/>
          <w:sz w:val="20"/>
        </w:rPr>
      </w:pPr>
      <w:r>
        <w:rPr>
          <w:rFonts w:ascii="Calibri" w:hAnsi="Calibri"/>
          <w:caps w:val="false"/>
          <w:smallCaps w:val="false"/>
          <w:sz w:val="20"/>
        </w:rPr>
        <w:t xml:space="preserve">We define </w:t>
      </w:r>
      <w:r>
        <w:rPr>
          <w:rFonts w:ascii="Calibri" w:hAnsi="Calibri"/>
          <w:b/>
          <w:caps w:val="false"/>
          <w:smallCaps w:val="false"/>
          <w:sz w:val="20"/>
        </w:rPr>
        <w:t>Net Debt</w:t>
      </w:r>
      <w:r>
        <w:rPr>
          <w:rFonts w:ascii="Calibri" w:hAnsi="Calibri"/>
          <w:caps w:val="false"/>
          <w:smallCaps w:val="false"/>
          <w:sz w:val="20"/>
        </w:rPr>
        <w:t xml:space="preserve"> as total debt principal outstanding plus finance lease liabilities and other debt, less cash, cash equivalents and restricted cash, if applicable.</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3797</Words>
  <Characters>21897</Characters>
  <CharactersWithSpaces>26058</CharactersWithSpaces>
  <Paragraphs>1199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