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333-291444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1 dated November 5,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October 27,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December 10, 2025)</w:t>
      </w:r>
    </w:p>
    <w:p>
      <w:pPr>
        <w:spacing w:after="0" w:line="20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1,599,400 Shares</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848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848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Amendment No. 1 to Prospectus Supplement, or this Amendment, amends the prospectus supplement of Hydrofarm Holdings Group, Inc. dated October 27, 2026 and filed with the Securities and Exchange Commission, or the Commission, on October 29, 2026, pursuant to Rule 424(b)(5) under the Securities Act of 1933, as amended, or the Prospectus Supplement, relating to the offer of 1,599,400 shares of our common stock, par value $0.0001 per share, which we refer to as our Common Stock, in a registered direct offering to certain institutional investors in a privately negotiated transaction pursuant to the Prospectus Supplement and the accompanying prospectus dated December 10, 2025, or the Base Prospectus. In a concurrent private placement, we are also selling to such investors 6,971,575 additional shares of Common Stock, or the Unregistered Shares, common stock warrants, or the Common Warrants, to purchase up to 9,210,975 shares of our Common Stock, or the Common Warrant Shares. We are also offering to purchasers whose purchase of shares of Common Stock in the concurrent private placement would otherwise result in the investor, together with its affiliates and certain related parties, beneficially owning more than 4.99% or 9.99%, at the election of the holder, of our outstanding Common Stock immediately following the consummation of the registered direct offering and the concurrent private placement, pre-funded warrants to purchase up to 640,000 shares of Common Stock, which we refer to as the Pre-Funded Warrants, in lieu of shares of Common Stock in the concurrent private placement.</w:t>
      </w:r>
    </w:p>
    <w:p>
      <w:pPr>
        <w:spacing w:after="0" w:line="192"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Amendment should be read in conjunction with the Prospectus Supplement and the Base Prospectus, and is qualified by reference thereto, except to the extent that the information herein amends or supersedes the information contained in the Prospectus Supplement. This Amendment is not complete without, and may only be delivered or utilized in connection with, the Prospectus Supplement and the Base Prospectus, including any amendments or supplements thereto.</w:t>
      </w:r>
    </w:p>
    <w:p>
      <w:pPr>
        <w:spacing w:after="0" w:line="180"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Amendment is being filed solely to correct certain aggregate dollar amounts, per share amounts and related narrative disclosure in the section entitled "Dilution," including (i) our pro forma net tangible book value per share as of June 30, 2026, (ii) the decrease in pro forma net tangible book value per share attributable to new investors, (iii) our pro forma as adjusted net tangible book value per share as of June 30, 2026, after giving effect to this offering and the concurrent private placement, and (iv) the accretion per share to new investors purchasing shares in this offering and the concurrent private placement. For ease of reference, the section of the Prospectus Supplement under the heading “Dilution” is amended and restated in its entirety in this Amendment to reflect these corrections, and the restated section set forth below supersedes and replaces that section of the Prospectus Supplement in its entirety.</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set forth herein, this Amendment does not amend, update or otherwise modify the Prospectus Supplement or the Base Prospectus.</w:t>
      </w:r>
    </w:p>
    <w:p>
      <w:pPr>
        <w:spacing w:after="0" w:line="221" w:lineRule="exact"/>
        <w:rPr>
          <w:sz w:val="24"/>
          <w:szCs w:val="24"/>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S-8 of the prospectus supplement and in the documents incorporated by reference into the prospectus supplement before making your investment decision.</w:t>
      </w:r>
    </w:p>
    <w:p>
      <w:pPr>
        <w:spacing w:after="0" w:line="200" w:lineRule="exact"/>
        <w:rPr>
          <w:sz w:val="24"/>
          <w:szCs w:val="24"/>
          <w:color w:val="auto"/>
        </w:rPr>
      </w:pPr>
    </w:p>
    <w:p>
      <w:pPr>
        <w:spacing w:after="0" w:line="387" w:lineRule="exact"/>
        <w:rPr>
          <w:sz w:val="24"/>
          <w:szCs w:val="24"/>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43"/>
          <w:szCs w:val="43"/>
          <w:b w:val="1"/>
          <w:bCs w:val="1"/>
          <w:color w:val="auto"/>
        </w:rPr>
        <w:t>ThinkEquity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Amendment No.1 is November 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may be diluted or benefitted immediately to the extent of the difference between the price per share you pay in this offering and the as adjusted net tangible book value per share of our Common Stock immediately after giving effect to this offering.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historical net tangible book deficit as of June 30, 2026 was $(91.8) million, or $(19.07) per share of our Common Stock. Net tangible book value is total assets minus the sum of total liabilities and intangible assets. Net tangible book value per share is net tangible book value divided by the total number of shares of our Common Stock outstanding as of June 30, 2026. After giving effect to the satisfaction of our obligations under the senior secured term loan pursuant to the payoff letter and the resolution of all claims pursuant to the Agreement in consideration of the issuance of an aggregate of 27.8 million shares of our Series 1 Non-Voting Convertible Preferred Stock having a stated value of $27.8 million, our pro forma net tangible book value as of June 30, 2026 would have been $10.2 million, or $2.12 per share. Then after giving effect to (x) the sale by us of (i) shares of our Common Stock in the aggregate amount of $1.4 million at a public offering price of $0.905 per share, and (ii) shares of our Common Stock, Pre-Funded Warrants and Common Warrants in the concurrent private placement in the aggregate amount of $6.9 million, in each instance, less the estimated commissions and estimated offering expenses payable by us, our pro forma as adjusted net tangible book value as of June 30, 2026 would have been $16.4 million, or $1.22 per share. This represents an immediate decrease in pro forma net tangible book value compared to pro forma net tangible book value, as adjusted, of $0.90 per share to existing stockholders and an increase of $0.32 per share to investors in this offering. The following table illustrates this per share accretion.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0.905</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pro forma net tangible book value per share attributable to new investors</w:t>
            </w: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(0.90)</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June 30, 2026 after giving effect to this</w:t>
            </w: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offering and in the concurrent private placement</w:t>
            </w:r>
          </w:p>
        </w:tc>
        <w:tc>
          <w:tcPr>
            <w:tcW w:w="6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Accretion per share to new investors purchasing shares in this offering and in the concurrent private</w:t>
            </w:r>
          </w:p>
        </w:tc>
        <w:tc>
          <w:tcPr>
            <w:tcW w:w="600" w:type="dxa"/>
            <w:vAlign w:val="bottom"/>
            <w:shd w:val="clear" w:color="auto" w:fill="CCEEFF"/>
          </w:tcPr>
          <w:p>
            <w:pPr>
              <w:spacing w:after="0"/>
              <w:rPr>
                <w:sz w:val="15"/>
                <w:szCs w:val="15"/>
                <w:color w:val="auto"/>
              </w:rPr>
            </w:pPr>
          </w:p>
        </w:tc>
        <w:tc>
          <w:tcPr>
            <w:tcW w:w="1660" w:type="dxa"/>
            <w:vAlign w:val="bottom"/>
            <w:gridSpan w:val="3"/>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w:t>
            </w:r>
          </w:p>
        </w:tc>
        <w:tc>
          <w:tcPr>
            <w:tcW w:w="600" w:type="dxa"/>
            <w:vAlign w:val="bottom"/>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securities convertible into our Common Stock, the issuance of these securities could result in further dilution to our stockholders.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4,814,612 shares of our Common Stock outstanding as of June 30, 2026. This number excludes the following:</w:t>
      </w:r>
    </w:p>
    <w:p>
      <w:pPr>
        <w:spacing w:after="0" w:line="162"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25,875 shares of Common Stock issuable upon exercise of outstanding stock options with a weighted average exercise price of $97.25 per share;</w:t>
      </w: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209,168 shares of Common Stock issuable upon vesting of outstanding restricted stock units, or RSUs;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137,460 shares of Common Stock issuable upon vested RSUs having a delivery deferred to a future time;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138,871 shares of Common Stock available for future grant under our 2020 Employee, Director and Consultant Equity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27,800,000 shares of Common Stock issuable upon conversion of the Series 1 Non-Voting Convertible Preferred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27,500,000 shares of Common Stock issuable upon exercise of the Lender Warrants at an exercise price of $0.78 per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2" w:name="page3"/>
    <w:bookmarkEnd w:id="2"/>
    <w:p>
      <w:pPr>
        <w:ind w:left="98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9,210,975 Common Warrant Shares issuable upon exercise of Common Warrants issued in the concurrent private placement at an exercise price of $0.78 per share;</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736,878 Common Warrant Shares issuable upon exercise of the Placement Agent Warrants at an exercise price of $0.78 per share;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Pre-Funded Warrant Shares issuable upon exercise of Pre-Funded Warrants issued in the concurrent private placement at an exercise price of $0.0001 per share.</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options, RSUs and warrants are exercised or settle, as applicable, or other shares are issued, including shares issuable upon conversion of the Series 1 Non- Voting Convertible Preferred Stock, investors purchasing our securities in this offering may experience further dilution. In addition, we will need to raise additional capital, and, to the extent that additional capital is raised through the sale of equity or convertible debt securities, the issuance of these securities could result in further dilution to investors in this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2026-11-05T05:12:53Z</dcterms:created>
  <dcterms:modified xsi:type="dcterms:W3CDTF">2026-11-05T05:12:53Z</dcterms:modified>
</cp:coreProperties>
</file>