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5078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7873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Yetter Richard Christopher</w:t>
              </w:r>
            </w:hyperlink>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11"/>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HYDROFARM HOLDINGS GROUP, INC.</w:t>
              </w:r>
            </w:hyperlink>
          </w:p>
        </w:tc>
        <w:tc>
          <w:tcPr>
            <w:tcW w:w="148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6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tcBorders>
              <w:bottom w:val="single" w:sz="8" w:color="0000EE"/>
            </w:tcBorders>
            <w:gridSpan w:val="3"/>
            <w:vMerge w:val="continue"/>
          </w:tcPr>
          <w:p>
            <w:pPr>
              <w:spacing w:after="0"/>
              <w:rPr>
                <w:sz w:val="5"/>
                <w:szCs w:val="5"/>
                <w:color w:val="auto"/>
              </w:rPr>
            </w:pPr>
          </w:p>
        </w:tc>
        <w:tc>
          <w:tcPr>
            <w:tcW w:w="220" w:type="dxa"/>
            <w:vAlign w:val="bottom"/>
            <w:vMerge w:val="restart"/>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6"/>
                <w:szCs w:val="16"/>
                <w:color w:val="0000FF"/>
              </w:rPr>
              <w:t>HYFM</w:t>
            </w:r>
            <w:r>
              <w:rPr>
                <w:rFonts w:ascii="Times New Roman" w:cs="Times New Roman" w:eastAsia="Times New Roman" w:hAnsi="Times New Roman"/>
                <w:sz w:val="20"/>
                <w:szCs w:val="20"/>
                <w:color w:val="auto"/>
              </w:rPr>
              <w:t xml:space="preserve"> ]</w:t>
            </w: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0" w:type="dxa"/>
            <w:vAlign w:val="bottom"/>
            <w:gridSpan w:val="3"/>
          </w:tcPr>
          <w:p>
            <w:pPr>
              <w:spacing w:after="0"/>
              <w:rPr>
                <w:sz w:val="6"/>
                <w:szCs w:val="6"/>
                <w:color w:val="auto"/>
              </w:rPr>
            </w:pPr>
          </w:p>
        </w:tc>
        <w:tc>
          <w:tcPr>
            <w:tcW w:w="2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8"/>
                <w:szCs w:val="8"/>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5"/>
          </w:tcPr>
          <w:p>
            <w:pPr>
              <w:ind w:left="80"/>
              <w:spacing w:after="0" w:line="102" w:lineRule="exact"/>
              <w:rPr>
                <w:sz w:val="20"/>
                <w:szCs w:val="20"/>
                <w:color w:val="auto"/>
              </w:rPr>
            </w:pPr>
            <w:r>
              <w:rPr>
                <w:rFonts w:ascii="Arial" w:cs="Arial" w:eastAsia="Arial" w:hAnsi="Arial"/>
                <w:sz w:val="11"/>
                <w:szCs w:val="11"/>
                <w:color w:val="auto"/>
              </w:rPr>
              <w:t>Foreign Trading Symbol</w:t>
            </w: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3"/>
                <w:szCs w:val="13"/>
                <w:color w:val="auto"/>
              </w:rPr>
              <w:t>(Last)</w:t>
            </w:r>
          </w:p>
        </w:tc>
        <w:tc>
          <w:tcPr>
            <w:tcW w:w="1840" w:type="dxa"/>
            <w:vAlign w:val="bottom"/>
            <w:gridSpan w:val="3"/>
          </w:tcPr>
          <w:p>
            <w:pPr>
              <w:ind w:left="640"/>
              <w:spacing w:after="0" w:line="133" w:lineRule="exact"/>
              <w:rPr>
                <w:sz w:val="20"/>
                <w:szCs w:val="20"/>
                <w:color w:val="auto"/>
              </w:rPr>
            </w:pPr>
            <w:r>
              <w:rPr>
                <w:rFonts w:ascii="Arial" w:cs="Arial" w:eastAsia="Arial" w:hAnsi="Arial"/>
                <w:sz w:val="13"/>
                <w:szCs w:val="13"/>
                <w:color w:val="auto"/>
              </w:rPr>
              <w:t>(First)</w:t>
            </w:r>
          </w:p>
        </w:tc>
        <w:tc>
          <w:tcPr>
            <w:tcW w:w="660" w:type="dxa"/>
            <w:vAlign w:val="bottom"/>
          </w:tcPr>
          <w:p>
            <w:pPr>
              <w:ind w:left="20"/>
              <w:spacing w:after="0" w:line="133" w:lineRule="exact"/>
              <w:rPr>
                <w:sz w:val="20"/>
                <w:szCs w:val="20"/>
                <w:color w:val="auto"/>
              </w:rPr>
            </w:pPr>
            <w:r>
              <w:rPr>
                <w:rFonts w:ascii="Arial" w:cs="Arial" w:eastAsia="Arial" w:hAnsi="Arial"/>
                <w:sz w:val="13"/>
                <w:szCs w:val="13"/>
                <w:color w:val="auto"/>
              </w:rPr>
              <w:t>(Middle)</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220"/>
              <w:spacing w:after="0" w:line="128" w:lineRule="exact"/>
              <w:rPr>
                <w:sz w:val="20"/>
                <w:szCs w:val="20"/>
                <w:color w:val="auto"/>
              </w:rPr>
            </w:pPr>
            <w:r>
              <w:rPr>
                <w:rFonts w:ascii="Arial" w:cs="Arial" w:eastAsia="Arial" w:hAnsi="Arial"/>
                <w:sz w:val="13"/>
                <w:szCs w:val="13"/>
                <w:color w:val="auto"/>
              </w:rPr>
              <w:t>below)</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280"/>
              <w:spacing w:after="0" w:line="128"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1510 MAIN STREET</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20" w:type="dxa"/>
            <w:vAlign w:val="bottom"/>
            <w:gridSpan w:val="4"/>
            <w:vMerge w:val="continue"/>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gridSpan w:val="6"/>
            <w:vMerge w:val="restart"/>
          </w:tcPr>
          <w:p>
            <w:pPr>
              <w:ind w:left="320"/>
              <w:spacing w:after="0"/>
              <w:rPr>
                <w:sz w:val="20"/>
                <w:szCs w:val="20"/>
                <w:color w:val="auto"/>
              </w:rPr>
            </w:pPr>
            <w:r>
              <w:rPr>
                <w:rFonts w:ascii="Times New Roman" w:cs="Times New Roman" w:eastAsia="Times New Roman" w:hAnsi="Times New Roman"/>
                <w:sz w:val="17"/>
                <w:szCs w:val="17"/>
                <w:color w:val="0000FF"/>
              </w:rPr>
              <w:t>10/27/2026</w:t>
            </w: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20" w:type="dxa"/>
            <w:vAlign w:val="bottom"/>
            <w:gridSpan w:val="6"/>
            <w:vMerge w:val="continue"/>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8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gridSpan w:val="7"/>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86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40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8"/>
            <w:vMerge w:val="restart"/>
          </w:tcPr>
          <w:p>
            <w:pPr>
              <w:ind w:left="80"/>
              <w:spacing w:after="0" w:line="139" w:lineRule="exact"/>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gridSpan w:val="10"/>
            <w:vMerge w:val="restart"/>
          </w:tcPr>
          <w:p>
            <w:pPr>
              <w:spacing w:after="0" w:line="13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8"/>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gridSpan w:val="2"/>
            <w:vMerge w:val="restart"/>
          </w:tcPr>
          <w:p>
            <w:pPr>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SHOEMAKERSVILLE PA</w:t>
            </w:r>
          </w:p>
        </w:tc>
        <w:tc>
          <w:tcPr>
            <w:tcW w:w="6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8"/>
              </w:rPr>
              <w:t>19555</w:t>
            </w: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gridSpan w:val="5"/>
          </w:tcPr>
          <w:p>
            <w:pPr>
              <w:ind w:left="24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0" w:type="dxa"/>
            <w:vAlign w:val="bottom"/>
            <w:tcBorders>
              <w:bottom w:val="single" w:sz="8" w:color="2C2C2C"/>
            </w:tcBorders>
            <w:gridSpan w:val="8"/>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64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020" w:type="dxa"/>
            <w:vAlign w:val="bottom"/>
            <w:gridSpan w:val="5"/>
          </w:tcPr>
          <w:p>
            <w:pPr>
              <w:ind w:left="2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70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7"/>
          </w:tcPr>
          <w:p>
            <w:pPr>
              <w:jc w:val="center"/>
              <w:ind w:right="40"/>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100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5"/>
          </w:tcPr>
          <w:p>
            <w:pPr>
              <w:ind w:left="2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00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00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3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w w:val="96"/>
              </w:rPr>
              <w:t>Price</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3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gridSpan w:val="4"/>
            <w:vMerge w:val="restart"/>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0.905</w:t>
            </w: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Dumont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$0.0001 par value per share</w:t>
            </w:r>
          </w:p>
        </w:tc>
        <w:tc>
          <w:tcPr>
            <w:tcW w:w="1020" w:type="dxa"/>
            <w:vAlign w:val="bottom"/>
            <w:gridSpan w:val="5"/>
          </w:tcPr>
          <w:p>
            <w:pPr>
              <w:jc w:val="right"/>
              <w:ind w:right="140"/>
              <w:spacing w:after="0"/>
              <w:rPr>
                <w:sz w:val="20"/>
                <w:szCs w:val="20"/>
                <w:color w:val="auto"/>
              </w:rPr>
            </w:pPr>
            <w:r>
              <w:rPr>
                <w:rFonts w:ascii="Times New Roman" w:cs="Times New Roman" w:eastAsia="Times New Roman" w:hAnsi="Times New Roman"/>
                <w:sz w:val="17"/>
                <w:szCs w:val="17"/>
                <w:color w:val="0000FF"/>
              </w:rPr>
              <w:t>10/27/2026</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7"/>
              </w:rPr>
              <w:t>138,121</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jc w:val="right"/>
              <w:ind w:right="282"/>
              <w:spacing w:after="0"/>
              <w:rPr>
                <w:sz w:val="20"/>
                <w:szCs w:val="20"/>
                <w:color w:val="auto"/>
              </w:rPr>
            </w:pPr>
            <w:r>
              <w:rPr>
                <w:rFonts w:ascii="Times New Roman" w:cs="Times New Roman" w:eastAsia="Times New Roman" w:hAnsi="Times New Roman"/>
                <w:sz w:val="17"/>
                <w:szCs w:val="17"/>
                <w:color w:val="0000FF"/>
              </w:rPr>
              <w:t>443,121</w:t>
            </w:r>
          </w:p>
        </w:tc>
        <w:tc>
          <w:tcPr>
            <w:tcW w:w="34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180" w:type="dxa"/>
            <w:vAlign w:val="bottom"/>
            <w:tcBorders>
              <w:top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$0.0001 par value per share</w:t>
            </w:r>
          </w:p>
        </w:tc>
        <w:tc>
          <w:tcPr>
            <w:tcW w:w="4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tcPr>
          <w:p>
            <w:pPr>
              <w:jc w:val="right"/>
              <w:ind w:right="322"/>
              <w:spacing w:after="0"/>
              <w:rPr>
                <w:sz w:val="20"/>
                <w:szCs w:val="20"/>
                <w:color w:val="auto"/>
              </w:rPr>
            </w:pPr>
            <w:r>
              <w:rPr>
                <w:rFonts w:ascii="Times New Roman" w:cs="Times New Roman" w:eastAsia="Times New Roman" w:hAnsi="Times New Roman"/>
                <w:sz w:val="17"/>
                <w:szCs w:val="17"/>
                <w:color w:val="0000FF"/>
              </w:rPr>
              <w:t>50,000</w:t>
            </w: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5"/>
          </w:tcPr>
          <w:p>
            <w:pPr>
              <w:spacing w:after="0"/>
              <w:rPr>
                <w:sz w:val="8"/>
                <w:szCs w:val="8"/>
                <w:color w:val="auto"/>
              </w:rPr>
            </w:pPr>
          </w:p>
        </w:tc>
        <w:tc>
          <w:tcPr>
            <w:tcW w:w="3600" w:type="dxa"/>
            <w:vAlign w:val="bottom"/>
            <w:tcBorders>
              <w:bottom w:val="single" w:sz="8" w:color="2C2C2C"/>
            </w:tcBorders>
            <w:gridSpan w:val="8"/>
          </w:tcPr>
          <w:p>
            <w:pPr>
              <w:spacing w:after="0"/>
              <w:rPr>
                <w:sz w:val="8"/>
                <w:szCs w:val="8"/>
                <w:color w:val="auto"/>
              </w:rPr>
            </w:pPr>
          </w:p>
        </w:tc>
        <w:tc>
          <w:tcPr>
            <w:tcW w:w="50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8"/>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40" w:type="dxa"/>
            <w:vAlign w:val="bottom"/>
            <w:gridSpan w:val="16"/>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6"/>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9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80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1"/>
                <w:szCs w:val="11"/>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6"/>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gridSpan w:val="5"/>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40" w:type="dxa"/>
            <w:vAlign w:val="bottom"/>
            <w:gridSpan w:val="5"/>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5"/>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Dumont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4"/>
            <w:vMerge w:val="restart"/>
          </w:tcPr>
          <w:p>
            <w:pPr>
              <w:ind w:left="100"/>
              <w:spacing w:after="0" w:line="268"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jc w:val="center"/>
              <w:ind w:right="39"/>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gridSpan w:val="4"/>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138,121</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0.78</w:t>
            </w:r>
          </w:p>
        </w:tc>
        <w:tc>
          <w:tcPr>
            <w:tcW w:w="860" w:type="dxa"/>
            <w:vAlign w:val="bottom"/>
            <w:vMerge w:val="restart"/>
          </w:tcPr>
          <w:p>
            <w:pPr>
              <w:jc w:val="right"/>
              <w:spacing w:after="0" w:line="140" w:lineRule="exact"/>
              <w:rPr>
                <w:sz w:val="20"/>
                <w:szCs w:val="20"/>
                <w:color w:val="auto"/>
              </w:rPr>
            </w:pPr>
            <w:r>
              <w:rPr>
                <w:rFonts w:ascii="Times New Roman" w:cs="Times New Roman" w:eastAsia="Times New Roman" w:hAnsi="Times New Roman"/>
                <w:sz w:val="13"/>
                <w:szCs w:val="13"/>
                <w:color w:val="0000FF"/>
              </w:rPr>
              <w:t>10/27/2026</w:t>
            </w: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138,121</w:t>
            </w:r>
          </w:p>
        </w:tc>
        <w:tc>
          <w:tcPr>
            <w:tcW w:w="280" w:type="dxa"/>
            <w:vAlign w:val="bottom"/>
          </w:tcPr>
          <w:p>
            <w:pPr>
              <w:spacing w:after="0"/>
              <w:rPr>
                <w:sz w:val="6"/>
                <w:szCs w:val="6"/>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jc w:val="center"/>
              <w:ind w:right="39"/>
              <w:spacing w:after="0" w:line="140" w:lineRule="exact"/>
              <w:rPr>
                <w:sz w:val="20"/>
                <w:szCs w:val="20"/>
                <w:color w:val="auto"/>
              </w:rPr>
            </w:pPr>
            <w:r>
              <w:rPr>
                <w:rFonts w:ascii="Times New Roman" w:cs="Times New Roman" w:eastAsia="Times New Roman" w:hAnsi="Times New Roman"/>
                <w:sz w:val="13"/>
                <w:szCs w:val="13"/>
                <w:color w:val="0000FF"/>
                <w:w w:val="99"/>
              </w:rPr>
              <w:t>$0.0001</w:t>
            </w:r>
          </w:p>
        </w:tc>
        <w:tc>
          <w:tcPr>
            <w:tcW w:w="62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gridSpan w:val="2"/>
            <w:vMerge w:val="restart"/>
          </w:tcPr>
          <w:p>
            <w:pPr>
              <w:ind w:left="200"/>
              <w:spacing w:after="0" w:line="140" w:lineRule="exact"/>
              <w:rPr>
                <w:sz w:val="20"/>
                <w:szCs w:val="20"/>
                <w:color w:val="auto"/>
              </w:rPr>
            </w:pPr>
            <w:r>
              <w:rPr>
                <w:rFonts w:ascii="Times New Roman" w:cs="Times New Roman" w:eastAsia="Times New Roman" w:hAnsi="Times New Roman"/>
                <w:sz w:val="13"/>
                <w:szCs w:val="13"/>
                <w:color w:val="0000FF"/>
              </w:rPr>
              <w:t>138,121</w:t>
            </w:r>
          </w:p>
        </w:tc>
        <w:tc>
          <w:tcPr>
            <w:tcW w:w="520" w:type="dxa"/>
            <w:vAlign w:val="bottom"/>
            <w:vMerge w:val="restart"/>
          </w:tcPr>
          <w:p>
            <w:pPr>
              <w:ind w:left="40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280" w:type="dxa"/>
            <w:vAlign w:val="bottom"/>
          </w:tcPr>
          <w:p>
            <w:pPr>
              <w:spacing w:after="0"/>
              <w:rPr>
                <w:sz w:val="6"/>
                <w:szCs w:val="6"/>
                <w:color w:val="auto"/>
              </w:rPr>
            </w:pPr>
          </w:p>
        </w:tc>
        <w:tc>
          <w:tcPr>
            <w:tcW w:w="720" w:type="dxa"/>
            <w:vAlign w:val="bottom"/>
            <w:gridSpan w:val="3"/>
            <w:vMerge w:val="restart"/>
          </w:tcPr>
          <w:p>
            <w:pPr>
              <w:ind w:left="40"/>
              <w:spacing w:after="0" w:line="140" w:lineRule="exact"/>
              <w:rPr>
                <w:sz w:val="20"/>
                <w:szCs w:val="20"/>
                <w:color w:val="auto"/>
              </w:rPr>
            </w:pPr>
            <w:r>
              <w:rPr>
                <w:rFonts w:ascii="Times New Roman" w:cs="Times New Roman" w:eastAsia="Times New Roman" w:hAnsi="Times New Roman"/>
                <w:sz w:val="13"/>
                <w:szCs w:val="13"/>
                <w:color w:val="0000FF"/>
              </w:rPr>
              <w:t>Investment</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par value</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gridSpan w:val="3"/>
            <w:vMerge w:val="restart"/>
          </w:tcPr>
          <w:p>
            <w:pPr>
              <w:ind w:left="40"/>
              <w:spacing w:after="0" w:line="167" w:lineRule="exact"/>
              <w:rPr>
                <w:sz w:val="20"/>
                <w:szCs w:val="20"/>
                <w:color w:val="auto"/>
              </w:rPr>
            </w:pPr>
            <w:r>
              <w:rPr>
                <w:rFonts w:ascii="Times New Roman" w:cs="Times New Roman" w:eastAsia="Times New Roman" w:hAnsi="Times New Roman"/>
                <w:sz w:val="12"/>
                <w:szCs w:val="12"/>
                <w:color w:val="0000FF"/>
              </w:rPr>
              <w:t>Fund LP</w:t>
            </w:r>
            <w:r>
              <w:rPr>
                <w:rFonts w:ascii="Times New Roman" w:cs="Times New Roman" w:eastAsia="Times New Roman" w:hAnsi="Times New Roman"/>
                <w:sz w:val="19"/>
                <w:szCs w:val="19"/>
                <w:color w:val="008000"/>
                <w:vertAlign w:val="superscript"/>
              </w:rPr>
              <w:t>(2)</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Times New Roman" w:cs="Times New Roman" w:eastAsia="Times New Roman" w:hAnsi="Times New Roman"/>
          <w:sz w:val="13"/>
          <w:szCs w:val="13"/>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160"/>
        <w:spacing w:after="0" w:line="23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27, 2026, Issuer entered into a Securities Purchase Agreement (the "Purchase Agreement") with the purchasers signatory thereto and consummated the transactions contemplated thereunder. Pursuant to the Purchase Agreement, Issuer agreed to issue and sell to Reporting Person (i) in a registered direct offering 23,983 shares of Common Stock, $0.0001 par value per share ("Common Stock") and (ii) in a concurrent private placement 114,138 shares of Common Stock and 138,121 accompanying common stock purchase warrants to purchase shares of Common Stock (the "Common Warrants"). The transaction was approved by the Issuer's board of directors in accordance with Rule 16b-3.</w:t>
      </w:r>
    </w:p>
    <w:p>
      <w:pPr>
        <w:spacing w:after="0" w:line="25" w:lineRule="exact"/>
        <w:rPr>
          <w:rFonts w:ascii="Times New Roman" w:cs="Times New Roman" w:eastAsia="Times New Roman" w:hAnsi="Times New Roman"/>
          <w:sz w:val="13"/>
          <w:szCs w:val="13"/>
          <w:color w:val="008000"/>
        </w:rPr>
      </w:pPr>
    </w:p>
    <w:p>
      <w:pPr>
        <w:ind w:left="40" w:right="2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Dumont Investment Fund LP was previously named Dumont Master Fund LP and adopted its current name in 2026.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40" w:right="32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Warrants may be exercised on a one-for-one basis for shares of Common Stock at an exercise price of $0.78 per share of Common Stock, to the extent that after giving effect to such exercise the Reporting Person would beneficially own, for purposes of Section 13(d) of the Securities Exchange Act of 1934, as amended, no more than 9.99% of the outstanding shares of Common Stock. The Common Warrants will expire five and a half years following the date of issuance</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Richard Christopher Yetter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10/29/2026</w:t>
            </w:r>
          </w:p>
        </w:tc>
      </w:tr>
      <w:tr>
        <w:trPr>
          <w:trHeight w:val="224"/>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59900" TargetMode="External"/><Relationship Id="rId14" Type="http://schemas.openxmlformats.org/officeDocument/2006/relationships/hyperlink" Target="http://www.sec.gov/cgi-bin/browse-edgar?action=getcompany&amp;CIK=00016952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2026-10-29T16:59:29Z</dcterms:created>
  <dcterms:modified xsi:type="dcterms:W3CDTF">2026-10-29T16:59:29Z</dcterms:modified>
</cp:coreProperties>
</file>