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115570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14A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ind w:left="3820"/>
        <w:spacing w:after="0"/>
        <w:tabs>
          <w:tab w:leader="none" w:pos="58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107315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4" w:lineRule="exact"/>
        <w:rPr>
          <w:sz w:val="24"/>
          <w:szCs w:val="24"/>
          <w:color w:val="auto"/>
        </w:rPr>
      </w:pPr>
    </w:p>
    <w:p>
      <w:pPr>
        <w:spacing w:after="0" w:line="207" w:lineRule="exact"/>
        <w:tabs>
          <w:tab w:leader="none" w:pos="28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Hydrofarm Holdings Group, Inc.</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33"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33"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33"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right="40" w:hanging="385"/>
        <w:spacing w:after="0" w:line="277" w:lineRule="auto"/>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91"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563245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220345</wp:posOffset>
            </wp:positionV>
            <wp:extent cx="5674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-164465</wp:posOffset>
            </wp:positionV>
            <wp:extent cx="5674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-550545</wp:posOffset>
            </wp:positionV>
            <wp:extent cx="5674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-935990</wp:posOffset>
            </wp:positionV>
            <wp:extent cx="5674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-2453640</wp:posOffset>
            </wp:positionV>
            <wp:extent cx="5674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-2839085</wp:posOffset>
            </wp:positionV>
            <wp:extent cx="5674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-3225165</wp:posOffset>
            </wp:positionV>
            <wp:extent cx="5674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-3747770</wp:posOffset>
            </wp:positionV>
            <wp:extent cx="5674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-4133850</wp:posOffset>
            </wp:positionV>
            <wp:extent cx="5674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374650</wp:posOffset>
            </wp:positionV>
            <wp:extent cx="6172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426085</wp:posOffset>
            </wp:positionV>
            <wp:extent cx="617220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660"/>
          </w:cols>
          <w:pgMar w:left="1080" w:top="225" w:right="1159" w:bottom="875"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92075</wp:posOffset>
            </wp:positionV>
            <wp:extent cx="177419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41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Hydrofarm Holding Groups,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290 Canal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Fairless Hills, Pennsylvania 19030</w:t>
      </w:r>
    </w:p>
    <w:p>
      <w:pPr>
        <w:spacing w:after="0" w:line="130"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April 26, 2021</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You are cordially invited to attend the 2021 annual meeting of stockholders of Hydrofarm Holdings Group, Inc. to be held at 11:00 a.m. ET on Tuesday, June 8, 2021. As a result of public health and travel guidance due to COVID-19, this year’s annual meeting will be a virtual meeting via live webcast on the internet. You will be able to attend the annual meeting, vote and submit your questions during the annual meeting by visiting </w:t>
      </w:r>
      <w:r>
        <w:rPr>
          <w:rFonts w:ascii="Arial" w:cs="Arial" w:eastAsia="Arial" w:hAnsi="Arial"/>
          <w:sz w:val="17"/>
          <w:szCs w:val="17"/>
          <w:i w:val="1"/>
          <w:iCs w:val="1"/>
          <w:color w:val="auto"/>
        </w:rPr>
        <w:t>www.virtualshareholdermeeting.com/HYFM2021</w:t>
      </w:r>
      <w:r>
        <w:rPr>
          <w:rFonts w:ascii="Arial" w:cs="Arial" w:eastAsia="Arial" w:hAnsi="Arial"/>
          <w:sz w:val="17"/>
          <w:szCs w:val="17"/>
          <w:color w:val="auto"/>
        </w:rPr>
        <w:t>. You will not be able to attend the annual meeting in person.</w:t>
      </w:r>
    </w:p>
    <w:p>
      <w:pPr>
        <w:spacing w:after="0" w:line="6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Details regarding the meeting, the business to be conducted at the meeting, and information about Hydrofarm Holdings Group, Inc. that you should consider when you vote your shares are described in the accompanying proxy statement.</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At the annual meeting, two (2) persons will be elected to our board of directors as class I directors. In addition, we will ask stockholders to ratify the appointment of Deloitte &amp; Touche LLP as our independent registered public accounting firm for our fiscal year ending December 31, 2021. Our board of directors recommends the approval of each of the proposals. Such other business will be transacted as may properly come before the annual meeting.</w:t>
      </w:r>
    </w:p>
    <w:p>
      <w:pPr>
        <w:spacing w:after="0" w:line="45"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b w:val="1"/>
          <w:bCs w:val="1"/>
          <w:color w:val="auto"/>
        </w:rPr>
        <w:t>Under Securities and Exchange Commission rules that allow companies to furnish proxy materials to stockholders over the Internet, we have elected to deliver our proxy materials to certain of our stockholders over the Internet. This delivery process allows us to provide stockholders with the information they need, while at the same time conserving natural resources and lowering the cost of delivery. On or about April 26, 2021 we intend to begin sending to our stockholders a Notice of Internet Availability of Proxy Materials (the “Notice”) containing instructions on how to access our proxy statement for our 2021 annual meeting of stockholders and our 2020 annual report to stockholders. The Notice also provides instructions on how to vote online or by telephone, how to access the virtual annual meeting and how to receive a paper copy of the proxy materials by mail.</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hope you will be able to attend the annual meeting. Whether or not you plan to attend the annual meeting, we hope you will vote promptly. Information about voting methods is set forth in the accompanying proxy statement.</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Thank you for your continued support of Hydrofarm Holdings Group, Inc. We look forward to seeing you at the annual meeting.</w:t>
      </w:r>
    </w:p>
    <w:p>
      <w:pPr>
        <w:spacing w:after="0" w:line="13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288925</wp:posOffset>
            </wp:positionV>
            <wp:extent cx="145732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Toler</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Chairman of the Board of Directors and</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160020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7500" w:type="dxa"/>
            <w:vAlign w:val="bottom"/>
            <w:gridSpan w:val="3"/>
          </w:tcPr>
          <w:p>
            <w:pPr>
              <w:jc w:val="center"/>
              <w:ind w:right="850"/>
              <w:spacing w:after="0"/>
              <w:rPr>
                <w:sz w:val="20"/>
                <w:szCs w:val="20"/>
                <w:color w:val="auto"/>
              </w:rPr>
            </w:pPr>
            <w:r>
              <w:rPr>
                <w:rFonts w:ascii="Arial" w:cs="Arial" w:eastAsia="Arial" w:hAnsi="Arial"/>
                <w:sz w:val="18"/>
                <w:szCs w:val="18"/>
                <w:b w:val="1"/>
                <w:bCs w:val="1"/>
                <w:color w:val="auto"/>
              </w:rPr>
              <w:t>HYDROFARM HOLDINGS GROUP, INC.</w:t>
            </w: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20" w:type="dxa"/>
            <w:vAlign w:val="bottom"/>
            <w:gridSpan w:val="2"/>
          </w:tcPr>
          <w:p>
            <w:pPr>
              <w:jc w:val="center"/>
              <w:ind w:right="3470"/>
              <w:spacing w:after="0"/>
              <w:rPr>
                <w:sz w:val="20"/>
                <w:szCs w:val="20"/>
                <w:color w:val="auto"/>
              </w:rPr>
            </w:pPr>
            <w:r>
              <w:rPr>
                <w:rFonts w:ascii="Arial" w:cs="Arial" w:eastAsia="Arial" w:hAnsi="Arial"/>
                <w:sz w:val="18"/>
                <w:szCs w:val="18"/>
                <w:b w:val="1"/>
                <w:bCs w:val="1"/>
                <w:color w:val="auto"/>
                <w:w w:val="92"/>
              </w:rPr>
              <w:t>290 Canal Road</w:t>
            </w:r>
          </w:p>
        </w:tc>
      </w:tr>
      <w:tr>
        <w:trPr>
          <w:trHeight w:val="234"/>
        </w:trPr>
        <w:tc>
          <w:tcPr>
            <w:tcW w:w="920" w:type="dxa"/>
            <w:vAlign w:val="bottom"/>
          </w:tcPr>
          <w:p>
            <w:pPr>
              <w:spacing w:after="0"/>
              <w:rPr>
                <w:sz w:val="20"/>
                <w:szCs w:val="20"/>
                <w:color w:val="auto"/>
              </w:rPr>
            </w:pPr>
          </w:p>
        </w:tc>
        <w:tc>
          <w:tcPr>
            <w:tcW w:w="7500" w:type="dxa"/>
            <w:vAlign w:val="bottom"/>
            <w:gridSpan w:val="3"/>
          </w:tcPr>
          <w:p>
            <w:pPr>
              <w:jc w:val="center"/>
              <w:ind w:right="850"/>
              <w:spacing w:after="0"/>
              <w:rPr>
                <w:sz w:val="20"/>
                <w:szCs w:val="20"/>
                <w:color w:val="auto"/>
              </w:rPr>
            </w:pPr>
            <w:r>
              <w:rPr>
                <w:rFonts w:ascii="Arial" w:cs="Arial" w:eastAsia="Arial" w:hAnsi="Arial"/>
                <w:sz w:val="18"/>
                <w:szCs w:val="18"/>
                <w:b w:val="1"/>
                <w:bCs w:val="1"/>
                <w:color w:val="auto"/>
                <w:w w:val="89"/>
              </w:rPr>
              <w:t>Fairless Hills, Pennsylvania 19030</w:t>
            </w:r>
          </w:p>
        </w:tc>
      </w:tr>
      <w:tr>
        <w:trPr>
          <w:trHeight w:val="351"/>
        </w:trPr>
        <w:tc>
          <w:tcPr>
            <w:tcW w:w="9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tcPr>
          <w:p>
            <w:pPr>
              <w:ind w:left="3780"/>
              <w:spacing w:after="0"/>
              <w:rPr>
                <w:sz w:val="20"/>
                <w:szCs w:val="20"/>
                <w:color w:val="auto"/>
              </w:rPr>
            </w:pPr>
            <w:r>
              <w:rPr>
                <w:rFonts w:ascii="Arial" w:cs="Arial" w:eastAsia="Arial" w:hAnsi="Arial"/>
                <w:sz w:val="18"/>
                <w:szCs w:val="18"/>
                <w:color w:val="auto"/>
                <w:w w:val="93"/>
              </w:rPr>
              <w:t>April 26, 2021</w:t>
            </w:r>
          </w:p>
        </w:tc>
      </w:tr>
      <w:tr>
        <w:trPr>
          <w:trHeight w:val="594"/>
        </w:trPr>
        <w:tc>
          <w:tcPr>
            <w:tcW w:w="920" w:type="dxa"/>
            <w:vAlign w:val="bottom"/>
          </w:tcPr>
          <w:p>
            <w:pPr>
              <w:spacing w:after="0"/>
              <w:rPr>
                <w:sz w:val="24"/>
                <w:szCs w:val="24"/>
                <w:color w:val="auto"/>
              </w:rPr>
            </w:pPr>
          </w:p>
        </w:tc>
        <w:tc>
          <w:tcPr>
            <w:tcW w:w="750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rPr>
              <w:t>NOTICE OF 2021 ANNUAL MEETING OF STOCKHOLDERS</w:t>
            </w:r>
          </w:p>
        </w:tc>
      </w:tr>
      <w:tr>
        <w:trPr>
          <w:trHeight w:val="324"/>
        </w:trPr>
        <w:tc>
          <w:tcPr>
            <w:tcW w:w="9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7500" w:type="dxa"/>
            <w:vAlign w:val="bottom"/>
            <w:gridSpan w:val="3"/>
          </w:tcPr>
          <w:p>
            <w:pPr>
              <w:ind w:left="160"/>
              <w:spacing w:after="0"/>
              <w:rPr>
                <w:sz w:val="20"/>
                <w:szCs w:val="20"/>
                <w:color w:val="auto"/>
              </w:rPr>
            </w:pPr>
            <w:r>
              <w:rPr>
                <w:rFonts w:ascii="Arial" w:cs="Arial" w:eastAsia="Arial" w:hAnsi="Arial"/>
                <w:sz w:val="18"/>
                <w:szCs w:val="18"/>
                <w:color w:val="auto"/>
              </w:rPr>
              <w:t>11:00 a.m. ET</w:t>
            </w:r>
          </w:p>
        </w:tc>
      </w:tr>
      <w:tr>
        <w:trPr>
          <w:trHeight w:val="324"/>
        </w:trPr>
        <w:tc>
          <w:tcPr>
            <w:tcW w:w="9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7500" w:type="dxa"/>
            <w:vAlign w:val="bottom"/>
            <w:gridSpan w:val="3"/>
          </w:tcPr>
          <w:p>
            <w:pPr>
              <w:ind w:left="160"/>
              <w:spacing w:after="0"/>
              <w:rPr>
                <w:sz w:val="20"/>
                <w:szCs w:val="20"/>
                <w:color w:val="auto"/>
              </w:rPr>
            </w:pPr>
            <w:r>
              <w:rPr>
                <w:rFonts w:ascii="Arial" w:cs="Arial" w:eastAsia="Arial" w:hAnsi="Arial"/>
                <w:sz w:val="18"/>
                <w:szCs w:val="18"/>
                <w:color w:val="auto"/>
              </w:rPr>
              <w:t>June 8, 2021</w:t>
            </w:r>
          </w:p>
        </w:tc>
      </w:tr>
      <w:tr>
        <w:trPr>
          <w:trHeight w:val="310"/>
        </w:trPr>
        <w:tc>
          <w:tcPr>
            <w:tcW w:w="920" w:type="dxa"/>
            <w:vAlign w:val="bottom"/>
          </w:tcPr>
          <w:p>
            <w:pPr>
              <w:spacing w:after="0"/>
              <w:rPr>
                <w:sz w:val="20"/>
                <w:szCs w:val="20"/>
                <w:color w:val="auto"/>
              </w:rPr>
            </w:pPr>
            <w:r>
              <w:rPr>
                <w:rFonts w:ascii="Arial" w:cs="Arial" w:eastAsia="Arial" w:hAnsi="Arial"/>
                <w:sz w:val="18"/>
                <w:szCs w:val="18"/>
                <w:b w:val="1"/>
                <w:bCs w:val="1"/>
                <w:color w:val="auto"/>
              </w:rPr>
              <w:t>ACCESS:</w:t>
            </w:r>
          </w:p>
        </w:tc>
        <w:tc>
          <w:tcPr>
            <w:tcW w:w="7500" w:type="dxa"/>
            <w:vAlign w:val="bottom"/>
            <w:gridSpan w:val="3"/>
          </w:tcPr>
          <w:p>
            <w:pPr>
              <w:ind w:left="160"/>
              <w:spacing w:after="0"/>
              <w:rPr>
                <w:sz w:val="20"/>
                <w:szCs w:val="20"/>
                <w:color w:val="auto"/>
              </w:rPr>
            </w:pPr>
            <w:r>
              <w:rPr>
                <w:rFonts w:ascii="Arial" w:cs="Arial" w:eastAsia="Arial" w:hAnsi="Arial"/>
                <w:sz w:val="18"/>
                <w:szCs w:val="18"/>
                <w:color w:val="auto"/>
                <w:w w:val="92"/>
              </w:rPr>
              <w:t>This year’s annual meeting will be a virtual meeting via live webcast on the Internet. You will be able</w:t>
            </w:r>
          </w:p>
        </w:tc>
      </w:tr>
      <w:tr>
        <w:trPr>
          <w:trHeight w:val="216"/>
        </w:trPr>
        <w:tc>
          <w:tcPr>
            <w:tcW w:w="9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Arial" w:cs="Arial" w:eastAsia="Arial" w:hAnsi="Arial"/>
                <w:sz w:val="18"/>
                <w:szCs w:val="18"/>
                <w:color w:val="auto"/>
              </w:rPr>
              <w:t>to attend the annual meeting, vote and submit your questions during the meeting by visiting</w:t>
            </w:r>
          </w:p>
        </w:tc>
      </w:tr>
      <w:tr>
        <w:trPr>
          <w:trHeight w:val="216"/>
        </w:trPr>
        <w:tc>
          <w:tcPr>
            <w:tcW w:w="9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Arial" w:cs="Arial" w:eastAsia="Arial" w:hAnsi="Arial"/>
                <w:sz w:val="18"/>
                <w:szCs w:val="18"/>
                <w:i w:val="1"/>
                <w:iCs w:val="1"/>
                <w:color w:val="auto"/>
                <w:w w:val="93"/>
              </w:rPr>
              <w:t xml:space="preserve">www.virtualshareholdermeeting.com/HYFM2021 </w:t>
            </w:r>
            <w:r>
              <w:rPr>
                <w:rFonts w:ascii="Arial" w:cs="Arial" w:eastAsia="Arial" w:hAnsi="Arial"/>
                <w:sz w:val="18"/>
                <w:szCs w:val="18"/>
                <w:color w:val="auto"/>
                <w:w w:val="93"/>
              </w:rPr>
              <w:t>and entering the 16-digit control number included</w:t>
            </w:r>
          </w:p>
        </w:tc>
      </w:tr>
      <w:tr>
        <w:trPr>
          <w:trHeight w:val="216"/>
        </w:trPr>
        <w:tc>
          <w:tcPr>
            <w:tcW w:w="9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Arial" w:cs="Arial" w:eastAsia="Arial" w:hAnsi="Arial"/>
                <w:sz w:val="18"/>
                <w:szCs w:val="18"/>
                <w:color w:val="auto"/>
                <w:w w:val="93"/>
              </w:rPr>
              <w:t>in the Notice of Internet Availability of Proxy Materials (the “Notice”) or proxy card that you receive.</w:t>
            </w:r>
          </w:p>
        </w:tc>
      </w:tr>
      <w:tr>
        <w:trPr>
          <w:trHeight w:val="216"/>
        </w:trPr>
        <w:tc>
          <w:tcPr>
            <w:tcW w:w="9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Arial" w:cs="Arial" w:eastAsia="Arial" w:hAnsi="Arial"/>
                <w:sz w:val="18"/>
                <w:szCs w:val="18"/>
                <w:color w:val="auto"/>
                <w:w w:val="90"/>
              </w:rPr>
              <w:t>For further information about the virtual annual meeting, please see the Questions and Answers about</w:t>
            </w:r>
          </w:p>
        </w:tc>
      </w:tr>
      <w:tr>
        <w:trPr>
          <w:trHeight w:val="190"/>
        </w:trPr>
        <w:tc>
          <w:tcPr>
            <w:tcW w:w="920" w:type="dxa"/>
            <w:vAlign w:val="bottom"/>
          </w:tcPr>
          <w:p>
            <w:pPr>
              <w:spacing w:after="0"/>
              <w:rPr>
                <w:sz w:val="16"/>
                <w:szCs w:val="16"/>
                <w:color w:val="auto"/>
              </w:rPr>
            </w:pPr>
          </w:p>
        </w:tc>
        <w:tc>
          <w:tcPr>
            <w:tcW w:w="7500" w:type="dxa"/>
            <w:vAlign w:val="bottom"/>
            <w:gridSpan w:val="3"/>
          </w:tcPr>
          <w:p>
            <w:pPr>
              <w:ind w:left="160"/>
              <w:spacing w:after="0" w:line="190" w:lineRule="exact"/>
              <w:rPr>
                <w:rFonts w:ascii="Arial" w:cs="Arial" w:eastAsia="Arial" w:hAnsi="Arial"/>
                <w:sz w:val="18"/>
                <w:szCs w:val="18"/>
                <w:color w:val="auto"/>
                <w:w w:val="95"/>
              </w:rPr>
            </w:pPr>
            <w:r>
              <w:rPr>
                <w:rFonts w:ascii="Arial" w:cs="Arial" w:eastAsia="Arial" w:hAnsi="Arial"/>
                <w:sz w:val="18"/>
                <w:szCs w:val="18"/>
                <w:color w:val="auto"/>
                <w:w w:val="95"/>
              </w:rPr>
              <w:t xml:space="preserve">the Meeting beginning on page </w:t>
            </w:r>
            <w:hyperlink w:anchor="page6">
              <w:r>
                <w:rPr>
                  <w:rFonts w:ascii="Arial" w:cs="Arial" w:eastAsia="Arial" w:hAnsi="Arial"/>
                  <w:sz w:val="18"/>
                  <w:szCs w:val="18"/>
                  <w:color w:val="0000EE"/>
                  <w:w w:val="95"/>
                </w:rPr>
                <w:t>2</w:t>
              </w:r>
            </w:hyperlink>
            <w:r>
              <w:rPr>
                <w:rFonts w:ascii="Arial" w:cs="Arial" w:eastAsia="Arial" w:hAnsi="Arial"/>
                <w:sz w:val="18"/>
                <w:szCs w:val="18"/>
                <w:color w:val="auto"/>
                <w:w w:val="95"/>
              </w:rPr>
              <w:t>. We expect to resume in person stockholder meetings in future</w:t>
            </w:r>
          </w:p>
        </w:tc>
      </w:tr>
      <w:tr>
        <w:trPr>
          <w:trHeight w:val="237"/>
        </w:trPr>
        <w:tc>
          <w:tcPr>
            <w:tcW w:w="92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years.</w:t>
            </w:r>
          </w:p>
        </w:tc>
        <w:tc>
          <w:tcPr>
            <w:tcW w:w="80" w:type="dxa"/>
            <w:vAlign w:val="bottom"/>
            <w:tcBorders>
              <w:top w:val="single" w:sz="8" w:color="0000EE"/>
            </w:tcBorders>
          </w:tcPr>
          <w:p>
            <w:pPr>
              <w:spacing w:after="0"/>
              <w:rPr>
                <w:sz w:val="20"/>
                <w:szCs w:val="20"/>
                <w:color w:val="auto"/>
              </w:rPr>
            </w:pPr>
          </w:p>
        </w:tc>
        <w:tc>
          <w:tcPr>
            <w:tcW w:w="4840" w:type="dxa"/>
            <w:vAlign w:val="bottom"/>
          </w:tcPr>
          <w:p>
            <w:pPr>
              <w:spacing w:after="0"/>
              <w:rPr>
                <w:sz w:val="20"/>
                <w:szCs w:val="20"/>
                <w:color w:val="auto"/>
              </w:rPr>
            </w:pPr>
          </w:p>
        </w:tc>
      </w:tr>
    </w:tbl>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PURPOSES:</w:t>
      </w:r>
    </w:p>
    <w:p>
      <w:pPr>
        <w:spacing w:after="0" w:line="121" w:lineRule="exact"/>
        <w:rPr>
          <w:sz w:val="20"/>
          <w:szCs w:val="20"/>
          <w:color w:val="auto"/>
        </w:rPr>
      </w:pPr>
    </w:p>
    <w:p>
      <w:pPr>
        <w:ind w:left="1360" w:hanging="708"/>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two (2) class I directors to serve three-year terms expiring in 2024;</w:t>
      </w:r>
    </w:p>
    <w:p>
      <w:pPr>
        <w:spacing w:after="0" w:line="117" w:lineRule="exact"/>
        <w:rPr>
          <w:rFonts w:ascii="Arial" w:cs="Arial" w:eastAsia="Arial" w:hAnsi="Arial"/>
          <w:sz w:val="18"/>
          <w:szCs w:val="18"/>
          <w:color w:val="auto"/>
        </w:rPr>
      </w:pPr>
    </w:p>
    <w:p>
      <w:pPr>
        <w:ind w:left="1360" w:right="319" w:hanging="708"/>
        <w:spacing w:after="0" w:line="277"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December 31, 2021; and</w:t>
      </w:r>
    </w:p>
    <w:p>
      <w:pPr>
        <w:spacing w:after="0" w:line="62" w:lineRule="exact"/>
        <w:rPr>
          <w:rFonts w:ascii="Arial" w:cs="Arial" w:eastAsia="Arial" w:hAnsi="Arial"/>
          <w:sz w:val="18"/>
          <w:szCs w:val="18"/>
          <w:color w:val="auto"/>
        </w:rPr>
      </w:pPr>
    </w:p>
    <w:p>
      <w:pPr>
        <w:ind w:left="1360" w:right="319" w:hanging="708"/>
        <w:spacing w:after="0" w:line="277"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annual meeting and any adjournments or postponements thereof.</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MAY VOTE: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You may vote if you were the record owner of Hydrofarm Holdings Group, Inc. common stock at the close of business on April 15, 2021 (the “Record Date”). A list of registered stockholders as of the close of business on the Record Date will be available during the 10 days prior to the annual meeting at our principal executive offices located at 290 Canal Road, Fairless Hills, Pennsylvania 19030. If you wish to view this list, please contact our Secretary at Hydrofarm Holdings Group, Inc., 290 Canal Road, Fairless Hills, Pennsylvania 19030 or (707) 765-9990. Such list will also be available for examination by the stockholders during the annual meeting at </w:t>
      </w:r>
      <w:r>
        <w:rPr>
          <w:rFonts w:ascii="Arial" w:cs="Arial" w:eastAsia="Arial" w:hAnsi="Arial"/>
          <w:sz w:val="18"/>
          <w:szCs w:val="18"/>
          <w:i w:val="1"/>
          <w:iCs w:val="1"/>
          <w:color w:val="auto"/>
        </w:rPr>
        <w:t>www.virtualshareholdermeeting.com/HYFM2021</w:t>
      </w:r>
      <w:r>
        <w:rPr>
          <w:rFonts w:ascii="Arial" w:cs="Arial" w:eastAsia="Arial" w:hAnsi="Arial"/>
          <w:sz w:val="18"/>
          <w:szCs w:val="18"/>
          <w:color w:val="auto"/>
        </w:rPr>
        <w:t>.</w:t>
      </w:r>
    </w:p>
    <w:p>
      <w:pPr>
        <w:spacing w:after="0" w:line="83"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 xml:space="preserve">All stockholders are cordially invited to attend the virtual annual meeting. </w:t>
      </w:r>
      <w:r>
        <w:rPr>
          <w:rFonts w:ascii="Arial" w:cs="Arial" w:eastAsia="Arial" w:hAnsi="Arial"/>
          <w:sz w:val="18"/>
          <w:szCs w:val="18"/>
          <w:b w:val="1"/>
          <w:bCs w:val="1"/>
          <w:color w:val="auto"/>
        </w:rPr>
        <w:t>Whether or not you plan to attend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annual meeting, we urge you to vote by following the instructions in the Notice and submit your proxy by the Internet, telephone or mail in order to ensure the presence of a quorum. </w:t>
      </w:r>
      <w:r>
        <w:rPr>
          <w:rFonts w:ascii="Arial" w:cs="Arial" w:eastAsia="Arial" w:hAnsi="Arial"/>
          <w:sz w:val="18"/>
          <w:szCs w:val="18"/>
          <w:color w:val="auto"/>
        </w:rPr>
        <w:t>You may change or revoke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at any time before it is voted at the meeting.</w:t>
      </w:r>
    </w:p>
    <w:p>
      <w:pPr>
        <w:spacing w:after="0" w:line="1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288925</wp:posOffset>
            </wp:positionV>
            <wp:extent cx="1251585" cy="52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158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Jeffrey Peterson</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gridSpan w:val="4"/>
          </w:tcPr>
          <w:p>
            <w:pPr>
              <w:spacing w:after="0"/>
              <w:rPr>
                <w:sz w:val="20"/>
                <w:szCs w:val="20"/>
                <w:color w:val="auto"/>
              </w:rPr>
            </w:pPr>
            <w:r>
              <w:rPr>
                <w:rFonts w:ascii="Arial" w:cs="Arial" w:eastAsia="Arial" w:hAnsi="Arial"/>
                <w:sz w:val="14"/>
                <w:szCs w:val="14"/>
                <w:b w:val="1"/>
                <w:bCs w:val="1"/>
                <w:color w:val="auto"/>
                <w:w w:val="95"/>
              </w:rPr>
              <w:t>PAGE</w:t>
            </w:r>
          </w:p>
        </w:tc>
      </w:tr>
      <w:tr>
        <w:trPr>
          <w:trHeight w:val="53"/>
        </w:trPr>
        <w:tc>
          <w:tcPr>
            <w:tcW w:w="18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7"/>
        </w:trPr>
        <w:tc>
          <w:tcPr>
            <w:tcW w:w="8020" w:type="dxa"/>
            <w:vAlign w:val="bottom"/>
            <w:gridSpan w:val="16"/>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IMPORTANT INFORMATION ABOUT THE ANNUAL MEETING AND VOTING</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1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1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28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1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r>
      <w:tr>
        <w:trPr>
          <w:trHeight w:val="229"/>
        </w:trPr>
        <w:tc>
          <w:tcPr>
            <w:tcW w:w="8020" w:type="dxa"/>
            <w:vAlign w:val="bottom"/>
            <w:gridSpan w:val="16"/>
            <w:shd w:val="clear" w:color="auto" w:fill="CCEEFF"/>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 AND CORPORATE GOVERNANCE</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1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EXECUTIVE OFFICER AND DIRECTOR COMPENSATION</w:t>
              </w:r>
            </w:hyperlink>
          </w:p>
        </w:tc>
        <w:tc>
          <w:tcPr>
            <w:tcW w:w="28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c>
          <w:tcPr>
            <w:tcW w:w="1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8020" w:type="dxa"/>
            <w:vAlign w:val="bottom"/>
            <w:gridSpan w:val="16"/>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EQUITY COMPENSATION PLAN INFORMATION</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c>
          <w:tcPr>
            <w:tcW w:w="1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REPORT OF AUDIT COMMITTEE</w:t>
              </w:r>
            </w:hyperlink>
          </w:p>
        </w:tc>
        <w:tc>
          <w:tcPr>
            <w:tcW w:w="28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c>
          <w:tcPr>
            <w:tcW w:w="1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r>
      <w:tr>
        <w:trPr>
          <w:trHeight w:val="229"/>
        </w:trPr>
        <w:tc>
          <w:tcPr>
            <w:tcW w:w="8020" w:type="dxa"/>
            <w:vAlign w:val="bottom"/>
            <w:gridSpan w:val="16"/>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DELINQUENT SECTION 16(a) REPORTS</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c>
          <w:tcPr>
            <w:tcW w:w="1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CERTAIN RELATIONSHIPS AND RELATED PERSON TRANSACTIONS</w:t>
              </w:r>
            </w:hyperlink>
          </w:p>
        </w:tc>
        <w:tc>
          <w:tcPr>
            <w:tcW w:w="28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c>
          <w:tcPr>
            <w:tcW w:w="1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8020" w:type="dxa"/>
            <w:vAlign w:val="bottom"/>
            <w:gridSpan w:val="16"/>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PROPOSAL NO. 1 ELECTION OF DIRECTORS</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1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230"/>
        </w:trPr>
        <w:tc>
          <w:tcPr>
            <w:tcW w:w="736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PROPOSAL NO. 2 RATIFICATION OF SELECTION OF INDEPENDENT REGISTERED PUBLIC</w:t>
              </w:r>
            </w:hyperlink>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ACCOUNTING FIRM</w:t>
              </w:r>
            </w:hyperlink>
          </w:p>
        </w:tc>
        <w:tc>
          <w:tcPr>
            <w:tcW w:w="280" w:type="dxa"/>
            <w:vAlign w:val="bottom"/>
            <w:gridSpan w:val="3"/>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1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r>
      <w:tr>
        <w:trPr>
          <w:trHeight w:val="230"/>
        </w:trPr>
        <w:tc>
          <w:tcPr>
            <w:tcW w:w="8020" w:type="dxa"/>
            <w:vAlign w:val="bottom"/>
            <w:gridSpan w:val="16"/>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CODE OF CONDUCT AND ETHICS</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1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MATTERS</w:t>
              </w:r>
            </w:hyperlink>
          </w:p>
        </w:tc>
        <w:tc>
          <w:tcPr>
            <w:tcW w:w="28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1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r>
      <w:tr>
        <w:trPr>
          <w:trHeight w:val="229"/>
        </w:trPr>
        <w:tc>
          <w:tcPr>
            <w:tcW w:w="8020" w:type="dxa"/>
            <w:vAlign w:val="bottom"/>
            <w:gridSpan w:val="16"/>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STOCKHOLDER PROPOSALS AND NOMINATIONS FOR DIRECTOR</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1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-2828290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HYDROFARM HOLDINGS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290 Canal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Fairless Hills, Pennsylvania 19030</w:t>
      </w:r>
    </w:p>
    <w:p>
      <w:pPr>
        <w:spacing w:after="0" w:line="342"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PROXY STATEMENT FOR HYDROFARM HOLDINGS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STOCKHOLDERS TO BE HELD ON JUNE 8, 2021</w:t>
      </w:r>
    </w:p>
    <w:p>
      <w:pPr>
        <w:spacing w:after="0" w:line="103"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This proxy statement, along with the accompanying notice of 2021 annual meeting of stockholders, contains information about the 2021 annual meeting of stockholders of Hydrofarm Holdings Group, Inc., including any adjournments or postponements of the annual meeting. We are holding the annual meeting at 11:00 a.m. ET, on Tuesday, June 8, 2021. As a result of the public health and travel guidance and concerns due to COVID-19, this year’s meeting will be a virtual meeting via live webcast on the Internet. You will be able to attend our annual</w:t>
      </w:r>
    </w:p>
    <w:p>
      <w:pPr>
        <w:spacing w:after="0" w:line="2" w:lineRule="exact"/>
        <w:rPr>
          <w:sz w:val="20"/>
          <w:szCs w:val="20"/>
          <w:color w:val="auto"/>
        </w:rPr>
      </w:pPr>
    </w:p>
    <w:p>
      <w:pPr>
        <w:jc w:val="both"/>
        <w:ind w:left="300" w:right="319"/>
        <w:spacing w:after="0" w:line="290" w:lineRule="auto"/>
        <w:rPr>
          <w:sz w:val="20"/>
          <w:szCs w:val="20"/>
          <w:color w:val="auto"/>
        </w:rPr>
      </w:pPr>
      <w:r>
        <w:rPr>
          <w:rFonts w:ascii="Arial" w:cs="Arial" w:eastAsia="Arial" w:hAnsi="Arial"/>
          <w:sz w:val="17"/>
          <w:szCs w:val="17"/>
          <w:color w:val="auto"/>
        </w:rPr>
        <w:t xml:space="preserve">meeting, vote and submit your questions during the meeting by visiting </w:t>
      </w:r>
      <w:r>
        <w:rPr>
          <w:rFonts w:ascii="Arial" w:cs="Arial" w:eastAsia="Arial" w:hAnsi="Arial"/>
          <w:sz w:val="17"/>
          <w:szCs w:val="17"/>
          <w:i w:val="1"/>
          <w:iCs w:val="1"/>
          <w:color w:val="auto"/>
        </w:rPr>
        <w:t>www.virtualshareholdermeeting.com/HYFM2021</w:t>
      </w:r>
      <w:r>
        <w:rPr>
          <w:rFonts w:ascii="Arial" w:cs="Arial" w:eastAsia="Arial" w:hAnsi="Arial"/>
          <w:sz w:val="17"/>
          <w:szCs w:val="17"/>
          <w:color w:val="auto"/>
        </w:rPr>
        <w:t>. You will not be able to attend the annual meeting in person.</w:t>
      </w:r>
    </w:p>
    <w:p>
      <w:pPr>
        <w:spacing w:after="0" w:line="5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this proxy statement, we refer to Hydrofarm Holdings Group, Inc. as “Hydrofarm,” “the Company,” “we” and “us.”</w:t>
      </w:r>
    </w:p>
    <w:p>
      <w:pPr>
        <w:spacing w:after="0" w:line="11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or about April 26, 2021, we intend to begin sending to our stockholders the Important Notice Regarding the Availability of Proxy Materials containing instructions on how to access our proxy statement for our 2021 annual meeting of stockholders and our 2020 annual report to stockholders.</w:t>
      </w:r>
    </w:p>
    <w:p>
      <w:pPr>
        <w:spacing w:after="0" w:line="328"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JUNE 8, 2021</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 xml:space="preserve">This proxy statement, the notice of 2021 annual meeting of stockholders, our form of proxy card and our 2020 annual report to stockholders are available for viewing, printing and downloading at </w:t>
      </w:r>
      <w:r>
        <w:rPr>
          <w:rFonts w:ascii="Arial" w:cs="Arial" w:eastAsia="Arial" w:hAnsi="Arial"/>
          <w:sz w:val="18"/>
          <w:szCs w:val="18"/>
          <w:b w:val="1"/>
          <w:bCs w:val="1"/>
          <w:i w:val="1"/>
          <w:iCs w:val="1"/>
          <w:color w:val="auto"/>
        </w:rPr>
        <w:t xml:space="preserve">www.virtualshareholdermeeting.com/HYFM2021. </w:t>
      </w:r>
      <w:r>
        <w:rPr>
          <w:rFonts w:ascii="Arial" w:cs="Arial" w:eastAsia="Arial" w:hAnsi="Arial"/>
          <w:sz w:val="18"/>
          <w:szCs w:val="18"/>
          <w:b w:val="1"/>
          <w:bCs w:val="1"/>
          <w:color w:val="auto"/>
        </w:rPr>
        <w:t>In order to view, print or download these materials, please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have your 16-digit control number(s) available that appears on your notice or proxy card. On this website, you can also elect to receive future distributions of our proxy statements and annual reports to stockholders by electronic delivery.</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7"/>
          <w:szCs w:val="17"/>
          <w:b w:val="1"/>
          <w:bCs w:val="1"/>
          <w:color w:val="auto"/>
        </w:rPr>
        <w:t xml:space="preserve">Additionally, you can find a copy of our Annual Report on Form 10-K, which includes our financial statements for the fiscal year ended December 31, 2020, on the website of the Securities and Exchange Commission, or the SEC, at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 xml:space="preserve"> or in the “SEC Filings” section of the “Investors” section of our website at </w:t>
      </w:r>
      <w:r>
        <w:rPr>
          <w:rFonts w:ascii="Arial" w:cs="Arial" w:eastAsia="Arial" w:hAnsi="Arial"/>
          <w:sz w:val="17"/>
          <w:szCs w:val="17"/>
          <w:b w:val="1"/>
          <w:bCs w:val="1"/>
          <w:i w:val="1"/>
          <w:iCs w:val="1"/>
          <w:color w:val="auto"/>
        </w:rPr>
        <w:t>www.hydrofarm.com.</w:t>
      </w:r>
      <w:r>
        <w:rPr>
          <w:rFonts w:ascii="Arial" w:cs="Arial" w:eastAsia="Arial" w:hAnsi="Arial"/>
          <w:sz w:val="17"/>
          <w:szCs w:val="17"/>
          <w:b w:val="1"/>
          <w:bCs w:val="1"/>
          <w:color w:val="auto"/>
        </w:rPr>
        <w:t xml:space="preserve"> You may also obtain a printed copy of our Annual Report on Form 10-K, including our financial statements, free of charge, from us by sending a written request to:</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HYDROFARM HOLDINGS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290 Canal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Fairless Hills, Pennsylvania 19030</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Exhibits will be provided upon written request and payment of an appropriate processing fee.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is soliciting your proxy to vote at the 2021 annual meeting of stockholders to be held virtually via live webcast, on Tuesday, June 8, 2021, at 11:00 a.m. ET and any adjournments or postponements of the meeting, which we refer to as the annual meeting. This proxy statement, along with the accompanying notice of 2021 annual meeting of stockholders, summarizes the purposes of the meeting and the information you need to know to vote at the annual meeting.</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have made available to you on the Internet or have sent you this proxy statement, the notice of 2021 annual meeting of stockholders, the proxy card and a copy of our Annual Report on Form 10-K for the fiscal year ended December 31, 2020, because you owned shares of our common stock on April 15, 2021 (the “Record Date”). We intend to commence distribution of the Important Notice Regarding the Availability of Proxy Materials, which we refer to throughout this proxy statement as the Notice, and, if applicable, proxy materials to stockholders on or about April 26, 2021.</w:t>
      </w:r>
    </w:p>
    <w:p>
      <w:pPr>
        <w:spacing w:after="0" w:line="188" w:lineRule="exact"/>
        <w:rPr>
          <w:sz w:val="20"/>
          <w:szCs w:val="20"/>
          <w:color w:val="auto"/>
        </w:rPr>
      </w:pPr>
    </w:p>
    <w:p>
      <w:pPr>
        <w:ind w:left="300" w:right="559"/>
        <w:spacing w:after="0" w:line="282"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5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permitted by the rules of the U.S. Securities and Exchange Commission, or the SEC, we may furnish our proxy materials to 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is the Company Holding a Virtual Annual Meeting?</w:t>
      </w:r>
    </w:p>
    <w:p>
      <w:pPr>
        <w:spacing w:after="0" w:line="121"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Due to the public health impact of COVID-19 and to support the health and well-being of our stockholders, this year’s annual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as time permits.</w:t>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the phone number displayed on the virtual annual meeting website.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May Vote?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Only stockholders of record at the close of business on April 15, 2021, will be entitled to vote at the annual meeting. On this Record Date, there were 33,971,257 shares of our common stock outstanding and entitled to vote. Our common stock is our only class of voting stock.</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on April 15, 2021, your shares of our common stock were registered directly in your name with our transfer agent, Continental Stock Transfer Company, then you are a stockholder of record.</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on April 15, 2021,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color w:val="auto"/>
        </w:rPr>
        <w:t>your broker or other agent regarding how to vote the shares in your account. You are also invited to attend the annual meeting. However, since you are not the stockholder of record, you may not vote your shares at the annual meeting unless you request and obtain a valid proxy from your broker or other agent.</w:t>
      </w:r>
    </w:p>
    <w:p>
      <w:pPr>
        <w:spacing w:after="0" w:line="5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6"/>
          <w:szCs w:val="16"/>
          <w:i w:val="1"/>
          <w:iCs w:val="1"/>
          <w:color w:val="auto"/>
        </w:rPr>
        <w:t>May I Change or Revoke My Proxy?</w:t>
      </w:r>
      <w:r>
        <w:rPr>
          <w:rFonts w:ascii="Arial" w:cs="Arial" w:eastAsia="Arial" w:hAnsi="Arial"/>
          <w:sz w:val="16"/>
          <w:szCs w:val="16"/>
          <w:color w:val="auto"/>
        </w:rPr>
        <w:t>” below.</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 of our common stock that you own entitles you to one vote.</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5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your shares are registered directly in your name through our stock transfer agent, Continental Stock Transfer Company, or you have stock certificates registered in your name, you may vote:</w:t>
      </w:r>
    </w:p>
    <w:p>
      <w:pPr>
        <w:spacing w:after="0" w:line="58" w:lineRule="exact"/>
        <w:rPr>
          <w:sz w:val="20"/>
          <w:szCs w:val="20"/>
          <w:color w:val="auto"/>
        </w:rPr>
      </w:pPr>
    </w:p>
    <w:p>
      <w:pPr>
        <w:ind w:left="1000" w:right="319" w:hanging="348"/>
        <w:spacing w:after="0" w:line="282"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By Internet or by telephone. </w:t>
      </w:r>
      <w:r>
        <w:rPr>
          <w:rFonts w:ascii="Arial" w:cs="Arial" w:eastAsia="Arial" w:hAnsi="Arial"/>
          <w:sz w:val="18"/>
          <w:szCs w:val="18"/>
          <w:color w:val="auto"/>
        </w:rPr>
        <w:t>Follow the instructions included in the Notice or, if you received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in the proxy card to vote over the Internet or by telephone.</w:t>
      </w:r>
    </w:p>
    <w:p>
      <w:pPr>
        <w:spacing w:after="0" w:line="53" w:lineRule="exact"/>
        <w:rPr>
          <w:rFonts w:ascii="Arial" w:cs="Arial" w:eastAsia="Arial" w:hAnsi="Arial"/>
          <w:sz w:val="18"/>
          <w:szCs w:val="18"/>
          <w:color w:val="auto"/>
        </w:rPr>
      </w:pPr>
    </w:p>
    <w:p>
      <w:pPr>
        <w:jc w:val="both"/>
        <w:ind w:left="1000" w:right="319" w:hanging="348"/>
        <w:spacing w:after="0" w:line="261"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returning the proxy card as instructed on the card. If you sign the proxy card but do not specify how you want your shares voted, they will be voted in accordance with our board of directors’ recommendations as noted below.</w:t>
      </w:r>
    </w:p>
    <w:p>
      <w:pPr>
        <w:spacing w:after="0" w:line="71" w:lineRule="exact"/>
        <w:rPr>
          <w:rFonts w:ascii="Arial" w:cs="Arial" w:eastAsia="Arial" w:hAnsi="Arial"/>
          <w:sz w:val="18"/>
          <w:szCs w:val="18"/>
          <w:color w:val="auto"/>
        </w:rPr>
      </w:pPr>
    </w:p>
    <w:p>
      <w:pPr>
        <w:ind w:left="1000" w:right="319" w:hanging="348"/>
        <w:spacing w:after="0" w:line="282"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At the time of the virtual annual meeting. </w:t>
      </w:r>
      <w:r>
        <w:rPr>
          <w:rFonts w:ascii="Arial" w:cs="Arial" w:eastAsia="Arial" w:hAnsi="Arial"/>
          <w:sz w:val="18"/>
          <w:szCs w:val="18"/>
          <w:color w:val="auto"/>
        </w:rPr>
        <w:t>If you attend the virtual annual meeting, you may vote your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online at the time of the meeting.</w:t>
      </w:r>
    </w:p>
    <w:p>
      <w:pPr>
        <w:spacing w:after="0" w:line="5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ET on June 7, 2021.</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at the time of the virtual annual meeting, you should contact your broker or agent to obtain a legal proxy or broker’s proxy card and vote your shares online at the time of the annual meeting.</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 as follows:</w:t>
      </w:r>
    </w:p>
    <w:p>
      <w:pPr>
        <w:spacing w:after="0" w:line="113" w:lineRule="exact"/>
        <w:rPr>
          <w:sz w:val="20"/>
          <w:szCs w:val="20"/>
          <w:color w:val="auto"/>
        </w:rPr>
      </w:pPr>
    </w:p>
    <w:p>
      <w:pPr>
        <w:ind w:left="1000" w:hanging="345"/>
        <w:spacing w:after="0"/>
        <w:tabs>
          <w:tab w:leader="none" w:pos="10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 and</w:t>
      </w:r>
    </w:p>
    <w:p>
      <w:pPr>
        <w:spacing w:after="0" w:line="117" w:lineRule="exact"/>
        <w:rPr>
          <w:rFonts w:ascii="MS PGothic" w:cs="MS PGothic" w:eastAsia="MS PGothic" w:hAnsi="MS PGothic"/>
          <w:sz w:val="18"/>
          <w:szCs w:val="18"/>
          <w:color w:val="auto"/>
        </w:rPr>
      </w:pPr>
    </w:p>
    <w:p>
      <w:pPr>
        <w:ind w:left="1000" w:right="319" w:hanging="345"/>
        <w:spacing w:after="0" w:line="282" w:lineRule="auto"/>
        <w:tabs>
          <w:tab w:leader="none" w:pos="10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Deloitte &amp; Touche LLP as our independent registered public accounting firm for our fiscal year ending December 31, 2021;</w:t>
      </w:r>
    </w:p>
    <w:p>
      <w:pPr>
        <w:spacing w:after="0" w:line="5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May I Change or Revoke My Proxy?</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62" w:lineRule="exact"/>
        <w:rPr>
          <w:sz w:val="20"/>
          <w:szCs w:val="20"/>
          <w:color w:val="auto"/>
        </w:rPr>
      </w:pPr>
    </w:p>
    <w:p>
      <w:pPr>
        <w:ind w:left="1000" w:right="319" w:hanging="345"/>
        <w:spacing w:after="0" w:line="277" w:lineRule="auto"/>
        <w:tabs>
          <w:tab w:leader="none" w:pos="10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62" w:lineRule="exact"/>
        <w:rPr>
          <w:rFonts w:ascii="MS PGothic" w:cs="MS PGothic" w:eastAsia="MS PGothic" w:hAnsi="MS PGothic"/>
          <w:sz w:val="18"/>
          <w:szCs w:val="18"/>
          <w:color w:val="auto"/>
        </w:rPr>
      </w:pPr>
    </w:p>
    <w:p>
      <w:pPr>
        <w:ind w:left="1000" w:hanging="345"/>
        <w:spacing w:after="0"/>
        <w:tabs>
          <w:tab w:leader="none" w:pos="10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by re-voting by Internet or by telephone as instructed above;</w:t>
      </w:r>
    </w:p>
    <w:p>
      <w:pPr>
        <w:spacing w:after="0" w:line="117" w:lineRule="exact"/>
        <w:rPr>
          <w:rFonts w:ascii="MS PGothic" w:cs="MS PGothic" w:eastAsia="MS PGothic" w:hAnsi="MS PGothic"/>
          <w:sz w:val="18"/>
          <w:szCs w:val="18"/>
          <w:color w:val="auto"/>
        </w:rPr>
      </w:pPr>
    </w:p>
    <w:p>
      <w:pPr>
        <w:ind w:left="1000" w:right="319" w:hanging="345"/>
        <w:spacing w:after="0" w:line="277" w:lineRule="auto"/>
        <w:tabs>
          <w:tab w:leader="none" w:pos="10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by notifying Hydrofarm’s Secretary in writing before the annual meeting that you have revoked your proxy; or</w:t>
      </w:r>
    </w:p>
    <w:p>
      <w:pPr>
        <w:spacing w:after="0" w:line="62" w:lineRule="exact"/>
        <w:rPr>
          <w:rFonts w:ascii="MS PGothic" w:cs="MS PGothic" w:eastAsia="MS PGothic" w:hAnsi="MS PGothic"/>
          <w:sz w:val="18"/>
          <w:szCs w:val="18"/>
          <w:color w:val="auto"/>
        </w:rPr>
      </w:pPr>
    </w:p>
    <w:p>
      <w:pPr>
        <w:jc w:val="both"/>
        <w:ind w:left="1000" w:right="319" w:hanging="345"/>
        <w:spacing w:after="0" w:line="263" w:lineRule="auto"/>
        <w:tabs>
          <w:tab w:leader="none" w:pos="10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by attending the annual meeting and voting at the meeting. Attending the annual meeting will not in and of itself revoke a previously submitted proxy. You must specifically request at the annual meeting that it be revoked.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most current vote, whether by telephone, Internet or proxy card is the one that will be counted.</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You may receive more than one Notice or proxy card if you hold shares of our common stock in more than one account, which may be in registered form or held in street name. Please vote in the manner described above under “How Do I Vote?” for each account to ensure that all of your shares are voted.</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our independent registered public accounting firm (Proposal 2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198" w:lineRule="exact"/>
        <w:rPr>
          <w:sz w:val="20"/>
          <w:szCs w:val="20"/>
          <w:color w:val="auto"/>
        </w:rPr>
      </w:pPr>
    </w:p>
    <w:p>
      <w:pPr>
        <w:jc w:val="both"/>
        <w:ind w:left="2940" w:right="299" w:hanging="2645"/>
        <w:spacing w:after="0" w:line="270" w:lineRule="auto"/>
        <w:tabs>
          <w:tab w:leader="none" w:pos="2920" w:val="left"/>
        </w:tabs>
        <w:rPr>
          <w:sz w:val="20"/>
          <w:szCs w:val="20"/>
          <w:color w:val="auto"/>
        </w:rPr>
      </w:pPr>
      <w:r>
        <w:rPr>
          <w:rFonts w:ascii="Arial" w:cs="Arial" w:eastAsia="Arial" w:hAnsi="Arial"/>
          <w:sz w:val="18"/>
          <w:szCs w:val="18"/>
          <w:b w:val="1"/>
          <w:bCs w:val="1"/>
          <w:color w:val="auto"/>
        </w:rPr>
        <w:t>Proposal 1: Elect Directors</w:t>
      </w:r>
      <w:r>
        <w:rPr>
          <w:sz w:val="20"/>
          <w:szCs w:val="20"/>
          <w:color w:val="auto"/>
        </w:rPr>
        <w:tab/>
      </w:r>
      <w:r>
        <w:rPr>
          <w:rFonts w:ascii="Arial" w:cs="Arial" w:eastAsia="Arial" w:hAnsi="Arial"/>
          <w:sz w:val="17"/>
          <w:szCs w:val="17"/>
          <w:color w:val="auto"/>
        </w:rPr>
        <w:t>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289" w:lineRule="exact"/>
        <w:rPr>
          <w:sz w:val="20"/>
          <w:szCs w:val="20"/>
          <w:color w:val="auto"/>
        </w:rPr>
      </w:pPr>
    </w:p>
    <w:p>
      <w:pPr>
        <w:ind w:left="300"/>
        <w:spacing w:after="0"/>
        <w:tabs>
          <w:tab w:leader="none" w:pos="2920" w:val="left"/>
        </w:tabs>
        <w:rPr>
          <w:sz w:val="20"/>
          <w:szCs w:val="20"/>
          <w:color w:val="auto"/>
        </w:rPr>
      </w:pPr>
      <w:r>
        <w:rPr>
          <w:rFonts w:ascii="Arial" w:cs="Arial" w:eastAsia="Arial" w:hAnsi="Arial"/>
          <w:sz w:val="18"/>
          <w:szCs w:val="18"/>
          <w:b w:val="1"/>
          <w:bCs w:val="1"/>
          <w:color w:val="auto"/>
        </w:rPr>
        <w:t>Proposal 2: Ratify</w:t>
      </w:r>
      <w:r>
        <w:rPr>
          <w:sz w:val="20"/>
          <w:szCs w:val="20"/>
          <w:color w:val="auto"/>
        </w:rPr>
        <w:tab/>
      </w:r>
      <w:r>
        <w:rPr>
          <w:rFonts w:ascii="Arial" w:cs="Arial" w:eastAsia="Arial" w:hAnsi="Arial"/>
          <w:sz w:val="16"/>
          <w:szCs w:val="16"/>
          <w:color w:val="auto"/>
        </w:rPr>
        <w:t>The affirmative vote of a majority of the shares cast for this proposal is required</w:t>
      </w:r>
    </w:p>
    <w:p>
      <w:pPr>
        <w:spacing w:after="0" w:line="27" w:lineRule="exact"/>
        <w:rPr>
          <w:sz w:val="20"/>
          <w:szCs w:val="20"/>
          <w:color w:val="auto"/>
        </w:rPr>
      </w:pPr>
    </w:p>
    <w:p>
      <w:pPr>
        <w:ind w:left="480"/>
        <w:spacing w:after="0"/>
        <w:tabs>
          <w:tab w:leader="none" w:pos="2920" w:val="left"/>
        </w:tabs>
        <w:rPr>
          <w:sz w:val="20"/>
          <w:szCs w:val="20"/>
          <w:color w:val="auto"/>
        </w:rPr>
      </w:pPr>
      <w:r>
        <w:rPr>
          <w:rFonts w:ascii="Arial" w:cs="Arial" w:eastAsia="Arial" w:hAnsi="Arial"/>
          <w:sz w:val="18"/>
          <w:szCs w:val="18"/>
          <w:b w:val="1"/>
          <w:bCs w:val="1"/>
          <w:color w:val="auto"/>
        </w:rPr>
        <w:t>Appointment of Independent</w:t>
      </w:r>
      <w:r>
        <w:rPr>
          <w:sz w:val="20"/>
          <w:szCs w:val="20"/>
          <w:color w:val="auto"/>
        </w:rPr>
        <w:tab/>
      </w:r>
      <w:r>
        <w:rPr>
          <w:rFonts w:ascii="Arial" w:cs="Arial" w:eastAsia="Arial" w:hAnsi="Arial"/>
          <w:sz w:val="17"/>
          <w:szCs w:val="17"/>
          <w:color w:val="auto"/>
        </w:rPr>
        <w:t>to ratify the selection of our independent registered public accounting firm.</w:t>
      </w:r>
    </w:p>
    <w:p>
      <w:pPr>
        <w:spacing w:after="0" w:line="9" w:lineRule="exact"/>
        <w:rPr>
          <w:sz w:val="20"/>
          <w:szCs w:val="20"/>
          <w:color w:val="auto"/>
        </w:rPr>
      </w:pPr>
    </w:p>
    <w:p>
      <w:pPr>
        <w:ind w:left="480"/>
        <w:spacing w:after="0"/>
        <w:tabs>
          <w:tab w:leader="none" w:pos="2920" w:val="left"/>
        </w:tabs>
        <w:rPr>
          <w:sz w:val="20"/>
          <w:szCs w:val="20"/>
          <w:color w:val="auto"/>
        </w:rPr>
      </w:pPr>
      <w:r>
        <w:rPr>
          <w:rFonts w:ascii="Arial" w:cs="Arial" w:eastAsia="Arial" w:hAnsi="Arial"/>
          <w:sz w:val="18"/>
          <w:szCs w:val="18"/>
          <w:b w:val="1"/>
          <w:bCs w:val="1"/>
          <w:color w:val="auto"/>
        </w:rPr>
        <w:t>Registered Public Accounting</w:t>
      </w:r>
      <w:r>
        <w:rPr>
          <w:sz w:val="20"/>
          <w:szCs w:val="20"/>
          <w:color w:val="auto"/>
        </w:rPr>
        <w:tab/>
      </w:r>
      <w:r>
        <w:rPr>
          <w:rFonts w:ascii="Arial" w:cs="Arial" w:eastAsia="Arial" w:hAnsi="Arial"/>
          <w:sz w:val="16"/>
          <w:szCs w:val="16"/>
          <w:color w:val="auto"/>
        </w:rPr>
        <w:t>Abstentions will have no effect on the results of this vote. Brokerage firms have</w:t>
      </w:r>
    </w:p>
    <w:p>
      <w:pPr>
        <w:spacing w:after="0" w:line="9" w:lineRule="exact"/>
        <w:rPr>
          <w:sz w:val="20"/>
          <w:szCs w:val="20"/>
          <w:color w:val="auto"/>
        </w:rPr>
      </w:pPr>
    </w:p>
    <w:p>
      <w:pPr>
        <w:ind w:left="480"/>
        <w:spacing w:after="0"/>
        <w:tabs>
          <w:tab w:leader="none" w:pos="2920" w:val="left"/>
        </w:tabs>
        <w:rPr>
          <w:sz w:val="20"/>
          <w:szCs w:val="20"/>
          <w:color w:val="auto"/>
        </w:rPr>
      </w:pPr>
      <w:r>
        <w:rPr>
          <w:rFonts w:ascii="Arial" w:cs="Arial" w:eastAsia="Arial" w:hAnsi="Arial"/>
          <w:sz w:val="16"/>
          <w:szCs w:val="16"/>
          <w:b w:val="1"/>
          <w:bCs w:val="1"/>
          <w:color w:val="auto"/>
        </w:rPr>
        <w:t>Firm</w:t>
      </w:r>
      <w:r>
        <w:rPr>
          <w:sz w:val="20"/>
          <w:szCs w:val="20"/>
          <w:color w:val="auto"/>
        </w:rPr>
        <w:tab/>
      </w:r>
      <w:r>
        <w:rPr>
          <w:rFonts w:ascii="Arial" w:cs="Arial" w:eastAsia="Arial" w:hAnsi="Arial"/>
          <w:sz w:val="16"/>
          <w:szCs w:val="16"/>
          <w:color w:val="auto"/>
        </w:rPr>
        <w:t>authority to vote customers’ unvoted shares held by the firms in street name on</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this proposal. If a broker does not exercise this authority, such broker non-votes</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will have no effect on the results of this vote. We are not required to obtain the</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approval of our stockholders to select our independent registered public</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accounting firm. However, if our stockholders do not ratify the appointment of</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Deloitte &amp; Touche LLP as our independent registered public accounting firm</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for 2021, our audit committee (the “Audit Committee”) of our board of</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directors will reconsider its selection.</w:t>
      </w:r>
    </w:p>
    <w:p>
      <w:pPr>
        <w:sectPr>
          <w:pgSz w:w="11900" w:h="16838" w:orient="portrait"/>
          <w:cols w:equalWidth="0" w:num="1">
            <w:col w:w="9019"/>
          </w:cols>
          <w:pgMar w:left="1440" w:top="265" w:right="1440"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Is Voting Confidential?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keep all the proxies, ballots and voting tabulations private. We only let our Inspectors of Election, Continental Stock Transfer Company, examine these documents. Management will not know how you voted on a specific proposal unless it is necessary to meet legal requirements. We will, however, forward to management any written comments you make on the proxy card or that you otherwise provide.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presence, in person or by proxy, of the holders of a majority of the voting power of all outstanding shares of our common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Attending the Annual Meeting</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This year, our annual meeting will be held in a virtual meeting format only, at 11:00 a.m. ET on Tuesday, June 8, 2021. To attend the virtual annual meeting, go to </w:t>
      </w:r>
      <w:r>
        <w:rPr>
          <w:rFonts w:ascii="Arial" w:cs="Arial" w:eastAsia="Arial" w:hAnsi="Arial"/>
          <w:sz w:val="17"/>
          <w:szCs w:val="17"/>
          <w:i w:val="1"/>
          <w:iCs w:val="1"/>
          <w:color w:val="auto"/>
        </w:rPr>
        <w:t>www.virtualshareholdermeeting.com/HYFM2021</w:t>
      </w:r>
      <w:r>
        <w:rPr>
          <w:rFonts w:ascii="Arial" w:cs="Arial" w:eastAsia="Arial" w:hAnsi="Arial"/>
          <w:sz w:val="17"/>
          <w:szCs w:val="17"/>
          <w:color w:val="auto"/>
        </w:rPr>
        <w:t xml:space="preserve"> shortly before the meeting time, and follow the instructions for downloading the webcast. If you miss the annual meeting, you can view a replay of the webcast at </w:t>
      </w:r>
      <w:r>
        <w:rPr>
          <w:rFonts w:ascii="Arial" w:cs="Arial" w:eastAsia="Arial" w:hAnsi="Arial"/>
          <w:sz w:val="17"/>
          <w:szCs w:val="17"/>
          <w:i w:val="1"/>
          <w:iCs w:val="1"/>
          <w:color w:val="auto"/>
        </w:rPr>
        <w:t>www.virtualshareholdermeeting.com</w:t>
      </w:r>
      <w:r>
        <w:rPr>
          <w:rFonts w:ascii="Arial" w:cs="Arial" w:eastAsia="Arial" w:hAnsi="Arial"/>
          <w:sz w:val="17"/>
          <w:szCs w:val="17"/>
          <w:color w:val="auto"/>
        </w:rPr>
        <w:t xml:space="preserve"> until June 8, 2022. You need not attend the annual meeting in order to vote.</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Some brokers or other nominee record holders may be sending you, a single set of our proxy materials if multiple Hydrofarm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spacing w:after="0" w:line="7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will promptly deliver a separate copy of our Notice or if applicable, our proxy materials to you if you write or call our Secretary at: Hydrofarm Holdings Group, Inc., 290 Canal Road, Fairless Hills, Pennsylvania 19030 or</w:t>
      </w:r>
    </w:p>
    <w:p>
      <w:pPr>
        <w:jc w:val="both"/>
        <w:ind w:left="300" w:right="299" w:hanging="8"/>
        <w:spacing w:after="0" w:line="253" w:lineRule="auto"/>
        <w:tabs>
          <w:tab w:leader="none" w:pos="741" w:val="left"/>
        </w:tabs>
        <w:numPr>
          <w:ilvl w:val="0"/>
          <w:numId w:val="7"/>
        </w:numPr>
        <w:rPr>
          <w:rFonts w:ascii="Arial" w:cs="Arial" w:eastAsia="Arial" w:hAnsi="Arial"/>
          <w:sz w:val="18"/>
          <w:szCs w:val="18"/>
          <w:color w:val="auto"/>
        </w:rPr>
      </w:pPr>
      <w:r>
        <w:rPr>
          <w:rFonts w:ascii="Arial" w:cs="Arial" w:eastAsia="Arial" w:hAnsi="Arial"/>
          <w:sz w:val="18"/>
          <w:szCs w:val="18"/>
          <w:color w:val="auto"/>
        </w:rPr>
        <w:t>765-9990.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 at the above address and phone number.</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Most stockholders can elect to view or receive copies of future proxy materials over the Internet instead of receiving paper copies in the mail.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77"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www.virtualshareholdermeeting.com/HYFM2021</w:t>
      </w:r>
      <w:r>
        <w:rPr>
          <w:rFonts w:ascii="Arial" w:cs="Arial" w:eastAsia="Arial" w:hAnsi="Arial"/>
          <w:sz w:val="18"/>
          <w:szCs w:val="18"/>
          <w:color w:val="auto"/>
        </w:rPr>
        <w:t xml:space="preserve"> and follow the instructions provided.</w:t>
      </w:r>
    </w:p>
    <w:p>
      <w:pPr>
        <w:sectPr>
          <w:pgSz w:w="11900" w:h="16838" w:orient="portrait"/>
          <w:cols w:equalWidth="0" w:num="1">
            <w:col w:w="9019"/>
          </w:cols>
          <w:pgMar w:left="1440" w:top="265"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left="300" w:right="299" w:firstLine="36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The following table sets forth certain information with respect to the beneficial ownership of our common stock as of April 15, 2021 for (a) the executive officers named in the Summary Compensation Table on page </w:t>
      </w:r>
      <w:hyperlink w:anchor="page18">
        <w:r>
          <w:rPr>
            <w:rFonts w:ascii="Arial" w:cs="Arial" w:eastAsia="Arial" w:hAnsi="Arial"/>
            <w:sz w:val="16"/>
            <w:szCs w:val="16"/>
            <w:u w:val="single" w:color="auto"/>
            <w:color w:val="0000EE"/>
          </w:rPr>
          <w:t>14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 (b) each of our directors and director nominees, (c) all of our current directors and executive officers as a group and (d) each stockholder known by us to own beneficially more than 5% of our common stock. Beneficial ownership is determined in accordance with the rules of the SEC and includes voting or investment power with respect to the securities. We deem shares of common stock that may be acquired by an individual or group within 60 days of April 15, 2021 pursuant to the exercise of options or warrants or the vesting of restricted stock units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33,971,257 shares of common stock outstanding on April 15, 2021.</w:t>
      </w:r>
    </w:p>
    <w:p>
      <w:pPr>
        <w:spacing w:after="0" w:line="113"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w w:val="95"/>
              </w:rPr>
              <w:t>Shares Beneficially Owned</w:t>
            </w:r>
            <w:r>
              <w:rPr>
                <w:rFonts w:ascii="Arial" w:cs="Arial" w:eastAsia="Arial" w:hAnsi="Arial"/>
                <w:sz w:val="23"/>
                <w:szCs w:val="23"/>
                <w:b w:val="1"/>
                <w:bCs w:val="1"/>
                <w:color w:val="auto"/>
                <w:w w:val="95"/>
                <w:vertAlign w:val="superscript"/>
              </w:rPr>
              <w:t>(1)</w:t>
            </w:r>
          </w:p>
        </w:tc>
      </w:tr>
      <w:tr>
        <w:trPr>
          <w:trHeight w:val="224"/>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51"/>
              <w:spacing w:after="0"/>
              <w:rPr>
                <w:sz w:val="20"/>
                <w:szCs w:val="20"/>
                <w:color w:val="auto"/>
              </w:rPr>
            </w:pPr>
            <w:r>
              <w:rPr>
                <w:rFonts w:ascii="Arial" w:cs="Arial" w:eastAsia="Arial" w:hAnsi="Arial"/>
                <w:sz w:val="14"/>
                <w:szCs w:val="14"/>
                <w:b w:val="1"/>
                <w:bCs w:val="1"/>
                <w:color w:val="auto"/>
              </w:rPr>
              <w:t>Percent</w:t>
            </w:r>
          </w:p>
        </w:tc>
      </w:tr>
      <w:tr>
        <w:trPr>
          <w:trHeight w:val="53"/>
        </w:trPr>
        <w:tc>
          <w:tcPr>
            <w:tcW w:w="60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11"/>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9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r>
      <w:tr>
        <w:trPr>
          <w:trHeight w:val="324"/>
        </w:trPr>
        <w:tc>
          <w:tcPr>
            <w:tcW w:w="6400" w:type="dxa"/>
            <w:vAlign w:val="bottom"/>
            <w:gridSpan w:val="2"/>
          </w:tcPr>
          <w:p>
            <w:pPr>
              <w:spacing w:after="0" w:line="324" w:lineRule="exact"/>
              <w:rPr>
                <w:sz w:val="20"/>
                <w:szCs w:val="20"/>
                <w:color w:val="auto"/>
              </w:rPr>
            </w:pPr>
            <w:r>
              <w:rPr>
                <w:rFonts w:ascii="Arial" w:cs="Arial" w:eastAsia="Arial" w:hAnsi="Arial"/>
                <w:sz w:val="18"/>
                <w:szCs w:val="18"/>
                <w:color w:val="auto"/>
              </w:rPr>
              <w:t>Chris Payne</w:t>
            </w:r>
            <w:r>
              <w:rPr>
                <w:rFonts w:ascii="Arial" w:cs="Arial" w:eastAsia="Arial" w:hAnsi="Arial"/>
                <w:sz w:val="29"/>
                <w:szCs w:val="29"/>
                <w:color w:val="auto"/>
                <w:vertAlign w:val="superscript"/>
              </w:rPr>
              <w:t>(1)</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2,299,331</w:t>
            </w:r>
          </w:p>
        </w:tc>
        <w:tc>
          <w:tcPr>
            <w:tcW w:w="34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6.7%</w:t>
            </w:r>
          </w:p>
        </w:tc>
      </w:tr>
      <w:tr>
        <w:trPr>
          <w:trHeight w:val="324"/>
        </w:trPr>
        <w:tc>
          <w:tcPr>
            <w:tcW w:w="64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John Tomes</w:t>
            </w:r>
            <w:r>
              <w:rPr>
                <w:rFonts w:ascii="Arial" w:cs="Arial" w:eastAsia="Arial" w:hAnsi="Arial"/>
                <w:sz w:val="29"/>
                <w:szCs w:val="29"/>
                <w:color w:val="auto"/>
                <w:vertAlign w:val="superscript"/>
              </w:rPr>
              <w:t>(2)</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2,239,784</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r>
      <w:tr>
        <w:trPr>
          <w:trHeight w:val="324"/>
        </w:trPr>
        <w:tc>
          <w:tcPr>
            <w:tcW w:w="6400" w:type="dxa"/>
            <w:vAlign w:val="bottom"/>
            <w:gridSpan w:val="2"/>
          </w:tcPr>
          <w:p>
            <w:pPr>
              <w:spacing w:after="0" w:line="324" w:lineRule="exact"/>
              <w:rPr>
                <w:sz w:val="20"/>
                <w:szCs w:val="20"/>
                <w:color w:val="auto"/>
              </w:rPr>
            </w:pPr>
            <w:r>
              <w:rPr>
                <w:rFonts w:ascii="Arial" w:cs="Arial" w:eastAsia="Arial" w:hAnsi="Arial"/>
                <w:sz w:val="18"/>
                <w:szCs w:val="18"/>
                <w:color w:val="auto"/>
              </w:rPr>
              <w:t>Peter Wardenburg</w:t>
            </w:r>
            <w:r>
              <w:rPr>
                <w:rFonts w:ascii="Arial" w:cs="Arial" w:eastAsia="Arial" w:hAnsi="Arial"/>
                <w:sz w:val="29"/>
                <w:szCs w:val="29"/>
                <w:color w:val="auto"/>
                <w:vertAlign w:val="superscript"/>
              </w:rPr>
              <w:t>(3)</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2,320,118</w:t>
            </w:r>
          </w:p>
        </w:tc>
        <w:tc>
          <w:tcPr>
            <w:tcW w:w="34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6.8%</w:t>
            </w:r>
          </w:p>
        </w:tc>
      </w:tr>
      <w:tr>
        <w:trPr>
          <w:trHeight w:val="304"/>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9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r>
      <w:tr>
        <w:trPr>
          <w:trHeight w:val="324"/>
        </w:trPr>
        <w:tc>
          <w:tcPr>
            <w:tcW w:w="6400" w:type="dxa"/>
            <w:vAlign w:val="bottom"/>
            <w:gridSpan w:val="2"/>
          </w:tcPr>
          <w:p>
            <w:pPr>
              <w:spacing w:after="0" w:line="324" w:lineRule="exact"/>
              <w:rPr>
                <w:sz w:val="20"/>
                <w:szCs w:val="20"/>
                <w:color w:val="auto"/>
              </w:rPr>
            </w:pPr>
            <w:r>
              <w:rPr>
                <w:rFonts w:ascii="Arial" w:cs="Arial" w:eastAsia="Arial" w:hAnsi="Arial"/>
                <w:sz w:val="18"/>
                <w:szCs w:val="18"/>
                <w:color w:val="auto"/>
              </w:rPr>
              <w:t>William Toler</w:t>
            </w:r>
            <w:r>
              <w:rPr>
                <w:rFonts w:ascii="Arial" w:cs="Arial" w:eastAsia="Arial" w:hAnsi="Arial"/>
                <w:sz w:val="29"/>
                <w:szCs w:val="29"/>
                <w:color w:val="auto"/>
                <w:vertAlign w:val="superscript"/>
              </w:rPr>
              <w:t>(4)</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890,606</w:t>
            </w:r>
          </w:p>
        </w:tc>
        <w:tc>
          <w:tcPr>
            <w:tcW w:w="34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2.6%</w:t>
            </w:r>
          </w:p>
        </w:tc>
      </w:tr>
      <w:tr>
        <w:trPr>
          <w:trHeight w:val="324"/>
        </w:trPr>
        <w:tc>
          <w:tcPr>
            <w:tcW w:w="64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Terence Fitch</w:t>
            </w:r>
            <w:r>
              <w:rPr>
                <w:rFonts w:ascii="Arial" w:cs="Arial" w:eastAsia="Arial" w:hAnsi="Arial"/>
                <w:sz w:val="29"/>
                <w:szCs w:val="29"/>
                <w:color w:val="auto"/>
                <w:vertAlign w:val="superscript"/>
              </w:rPr>
              <w:t>(5)</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142,350</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324"/>
        </w:trPr>
        <w:tc>
          <w:tcPr>
            <w:tcW w:w="6400" w:type="dxa"/>
            <w:vAlign w:val="bottom"/>
            <w:gridSpan w:val="2"/>
          </w:tcPr>
          <w:p>
            <w:pPr>
              <w:spacing w:after="0" w:line="324" w:lineRule="exact"/>
              <w:rPr>
                <w:sz w:val="20"/>
                <w:szCs w:val="20"/>
                <w:color w:val="auto"/>
              </w:rPr>
            </w:pPr>
            <w:r>
              <w:rPr>
                <w:rFonts w:ascii="Arial" w:cs="Arial" w:eastAsia="Arial" w:hAnsi="Arial"/>
                <w:sz w:val="18"/>
                <w:szCs w:val="18"/>
                <w:color w:val="auto"/>
              </w:rPr>
              <w:t>B. John Lindeman</w:t>
            </w:r>
            <w:r>
              <w:rPr>
                <w:rFonts w:ascii="Arial" w:cs="Arial" w:eastAsia="Arial" w:hAnsi="Arial"/>
                <w:sz w:val="29"/>
                <w:szCs w:val="29"/>
                <w:color w:val="auto"/>
                <w:vertAlign w:val="superscript"/>
              </w:rPr>
              <w:t>(6)</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69,699</w:t>
            </w:r>
          </w:p>
        </w:tc>
        <w:tc>
          <w:tcPr>
            <w:tcW w:w="340" w:type="dxa"/>
            <w:vAlign w:val="bottom"/>
          </w:tcPr>
          <w:p>
            <w:pPr>
              <w:spacing w:after="0"/>
              <w:rPr>
                <w:sz w:val="24"/>
                <w:szCs w:val="24"/>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304"/>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Susan P. Peters</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w:t>
            </w: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gridSpan w:val="2"/>
          </w:tcPr>
          <w:p>
            <w:pPr>
              <w:spacing w:after="0"/>
              <w:rPr>
                <w:sz w:val="20"/>
                <w:szCs w:val="20"/>
                <w:color w:val="auto"/>
              </w:rPr>
            </w:pPr>
            <w:r>
              <w:rPr>
                <w:rFonts w:ascii="Arial" w:cs="Arial" w:eastAsia="Arial" w:hAnsi="Arial"/>
                <w:sz w:val="18"/>
                <w:szCs w:val="18"/>
                <w:color w:val="auto"/>
              </w:rPr>
              <w:t>Patrick Chung</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23"/>
                <w:szCs w:val="23"/>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54"/>
        </w:trPr>
        <w:tc>
          <w:tcPr>
            <w:tcW w:w="6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Renah Persofsky</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w:t>
            </w: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23"/>
                <w:szCs w:val="23"/>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54"/>
        </w:trPr>
        <w:tc>
          <w:tcPr>
            <w:tcW w:w="6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Melisa Denis</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3,700</w:t>
            </w: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gridSpan w:val="2"/>
          </w:tcPr>
          <w:p>
            <w:pPr>
              <w:spacing w:after="0"/>
              <w:rPr>
                <w:sz w:val="20"/>
                <w:szCs w:val="20"/>
                <w:color w:val="auto"/>
              </w:rPr>
            </w:pPr>
            <w:r>
              <w:rPr>
                <w:rFonts w:ascii="Arial" w:cs="Arial" w:eastAsia="Arial" w:hAnsi="Arial"/>
                <w:sz w:val="18"/>
                <w:szCs w:val="18"/>
                <w:color w:val="auto"/>
              </w:rPr>
              <w:t>All directors and current executive officers as a group eight (8) persons</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1,121,355</w:t>
            </w:r>
          </w:p>
        </w:tc>
        <w:tc>
          <w:tcPr>
            <w:tcW w:w="34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-2862580</wp:posOffset>
            </wp:positionV>
            <wp:extent cx="205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-2862580</wp:posOffset>
            </wp:positionV>
            <wp:extent cx="2057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the outstanding shares of our common stock.</w:t>
      </w:r>
    </w:p>
    <w:p>
      <w:pPr>
        <w:spacing w:after="0" w:line="42" w:lineRule="exact"/>
        <w:rPr>
          <w:sz w:val="20"/>
          <w:szCs w:val="20"/>
          <w:color w:val="auto"/>
        </w:rPr>
      </w:pPr>
    </w:p>
    <w:p>
      <w:pPr>
        <w:jc w:val="both"/>
        <w:ind w:left="640" w:right="299" w:hanging="348"/>
        <w:spacing w:after="0" w:line="243" w:lineRule="auto"/>
        <w:tabs>
          <w:tab w:leader="none" w:pos="6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(i) 1,378,775 shares of our common stock and 74,293 shares of common stock underlying warrants to purchase shares of our common stock held of record in Hawthorn Limited Partnership, (ii) 628,448 shares of our common stock and 30,697 shares of common stock underlying warrants to purchase shares of our common stock held of record by Hydrofarm Co-Investment Fund, LP, (iii) 68,694 shares of our common stock and 3,593 shares of common stock underlying warrants to purchase shares of our common stock held of record in Payne Capital Corp. Hydrofarm Co-Investment Fund, LP is an affiliate of Hawthorn, LP, (iv) 14,831 shares of our common stock held of record by Mr. Payne, and (v) 100,000 shares of our common stock held of record in Hydrofarm Co-Investment Fund II. Mr. Chris Payne is an affiliate of Hawthorn LP, Hydrofarm Co-Investment Fund LP, Payne Capital Corp and Hydrofarm Co-Investment Fund II. Messrs. Payne and Tomes may be deemed to beneficially own the shares and each share voting and investment power over the shares held by Hawthorn Limited Partnership, Hydrofarm Co-Investment Fund, LP, and Hydrofarm Co-Investment Fund II. Mr. Chris Payne is the natural person with voting and investment power over the shares held by Payne Capital Corp and by Mr. Payne. The stockholder’s address is 240 Richmond Street West, Toronto, ON, Canada M5V 1V6.</w:t>
      </w:r>
    </w:p>
    <w:p>
      <w:pPr>
        <w:spacing w:after="0" w:line="22" w:lineRule="exact"/>
        <w:rPr>
          <w:rFonts w:ascii="Arial" w:cs="Arial" w:eastAsia="Arial" w:hAnsi="Arial"/>
          <w:sz w:val="13"/>
          <w:szCs w:val="13"/>
          <w:color w:val="auto"/>
        </w:rPr>
      </w:pPr>
    </w:p>
    <w:p>
      <w:pPr>
        <w:jc w:val="both"/>
        <w:ind w:left="640" w:right="299" w:hanging="348"/>
        <w:spacing w:after="0" w:line="226"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(i) 1,378,775 shares of our common stock and 74,296 shares of common stock underlying warrants to purchase shares of our common stock held of record in Hawthorn Limited Partnership, (ii) 628,448 shares of our common stock and 30,697 shares of common stock underlying warrants to purchase shares of our common stock held of record by Hydrofarm Co-Investment Fund, LP, (iii) 27,571 shares of our common stock held of record by Mr. Tomes and (v) 100,000 shares of our common stock held of record in Hydrofarm Co-Investment Fund II. Hydrofarm Co-Investment Fund, LP is an affiliate of Hawthorn Limited Partnership. Mr. John Tomes is an affiliate of Hawthorn LP, Hydrofarm Co-Investment Fund LP and Hydrofarm Co-Investment Fund II. Messrs. Tomes and Payne may be deemed to beneficially own the shares and each share voting and investment power over the shares held by Hawthorn Limited Partnership, Hydrofarm Co-Investment Fund, LP, and Hydrofarm Co-Investment Fund II. The stockholder’s address is 240 Richmond Street West, Toronto, ON, Canada M5V 1V6.</w:t>
      </w:r>
    </w:p>
    <w:p>
      <w:pPr>
        <w:spacing w:after="0" w:line="26" w:lineRule="exact"/>
        <w:rPr>
          <w:rFonts w:ascii="Arial" w:cs="Arial" w:eastAsia="Arial" w:hAnsi="Arial"/>
          <w:sz w:val="14"/>
          <w:szCs w:val="14"/>
          <w:color w:val="auto"/>
        </w:rPr>
      </w:pPr>
    </w:p>
    <w:p>
      <w:pPr>
        <w:jc w:val="both"/>
        <w:ind w:left="640" w:right="319" w:hanging="348"/>
        <w:spacing w:after="0" w:line="264" w:lineRule="auto"/>
        <w:tabs>
          <w:tab w:leader="none" w:pos="6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2,077,777 shares of our common stock and 242,341 shares of common stock underlying warrants to purchase shares of our common stock held of record by Wardenburg 2009 Family Trust. Mr. Peter Wardenburg is the natural person with voting and investment power over the shares held by Wardenburg 2009 Family Trust. The stockholder’s address is 2249 S. McDowell Ext., Petaluma, CA 94954.</w:t>
      </w:r>
    </w:p>
    <w:p>
      <w:pPr>
        <w:spacing w:after="0" w:line="6" w:lineRule="exact"/>
        <w:rPr>
          <w:rFonts w:ascii="Arial" w:cs="Arial" w:eastAsia="Arial" w:hAnsi="Arial"/>
          <w:sz w:val="13"/>
          <w:szCs w:val="13"/>
          <w:color w:val="auto"/>
        </w:rPr>
      </w:pPr>
    </w:p>
    <w:p>
      <w:pPr>
        <w:ind w:left="640" w:hanging="348"/>
        <w:spacing w:after="0"/>
        <w:tabs>
          <w:tab w:leader="none" w:pos="6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851,395 shares of our common stock and 39,211 shares of common stock that will vest within 60 days of April 15, 2021.</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142,350 shares of our common stock.</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52,942 shares of our common stock and 16,757 shares of common stock that will vest within 60 days of April 15, 2021.</w:t>
      </w:r>
    </w:p>
    <w:p>
      <w:pPr>
        <w:sectPr>
          <w:pgSz w:w="11900" w:h="16838" w:orient="portrait"/>
          <w:cols w:equalWidth="0" w:num="1">
            <w:col w:w="9019"/>
          </w:cols>
          <w:pgMar w:left="1440" w:top="265" w:right="1440"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CORPORATE GOVERNANCE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amended and restated bylaws (the “Bylaws”) and our certificate of incorporation (the “Charter”), provide that our business is to be managed by or under the direction of our board of directors. Our board of directors is divided into three classes for purposes of election. One class is elected at each annual meeting of stockholders to serve for a three-year term. Our board of directors currently consists of six (6) members, classified into three (3) classes as follows: (1) Mr. William Toler and Mr. Patrick Chung constitute Class I, with a term ending at the 2021 annual meeting; (2) Ms. Renah Persofsky and Ms. Melisa Denis constitute Class II, with a term ending at the 2022 annual meeting; and (3) Mr. Richard D. Moss and Ms. Susan P. Peters constitute Class III, with a term ending at the 2023 annual meeting.</w:t>
      </w:r>
    </w:p>
    <w:p>
      <w:pPr>
        <w:spacing w:after="0" w:line="84"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On April 19, 2021, our board of directors accepted the recommendation of our nominating and corporate governance committee (the “Nominating Committee”) and voted to nominate Mr. Toler and Mr. Chung for election at the annual meeting for a term of three (3) years to serve until the 2024 annual meeting of stockholders, and until their respective successors have been elected and qualified.</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Set forth below are the names of the persons nominated for election as directors and those directors whose terms do not expire this year,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4400" w:type="dxa"/>
            <w:vAlign w:val="bottom"/>
            <w:gridSpan w:val="2"/>
          </w:tcPr>
          <w:p>
            <w:pPr>
              <w:ind w:left="80"/>
              <w:spacing w:after="0"/>
              <w:rPr>
                <w:sz w:val="20"/>
                <w:szCs w:val="20"/>
                <w:color w:val="auto"/>
              </w:rPr>
            </w:pPr>
            <w:r>
              <w:rPr>
                <w:rFonts w:ascii="Arial" w:cs="Arial" w:eastAsia="Arial" w:hAnsi="Arial"/>
                <w:sz w:val="14"/>
                <w:szCs w:val="14"/>
                <w:b w:val="1"/>
                <w:bCs w:val="1"/>
                <w:color w:val="auto"/>
              </w:rPr>
              <w:t>Position with the Company</w:t>
            </w:r>
          </w:p>
        </w:tc>
      </w:tr>
      <w:tr>
        <w:trPr>
          <w:trHeight w:val="53"/>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William Toler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Patrick Chung</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Susan P. Peters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Renah Persofsky</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D. Moss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Melisa Denis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-1216660</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-1216660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Ms. Peters, Ms. Persofsky, Mr. Chung, Mr. Moss and Ms. Denis.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William Toler, Chairman of the Board and Chief Executive Officer</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Mr. Toler has served as our Chairman of our board of directors and Chief Executive Officer since January 1, 2019. Prior to joining Hydrofarm in 2019, Mr. Toler was the Chief Executive Officer of Hostess Brands, Inc. (Nasdaq: TWNK) (“Hostess”), a food and beverage company, from May 2014 to March 2018. Under his leadership, Hostess successfully re-established the iconic Hostess brand as a leader within the sweet baked goods category, returned the company to profitability and transitioned Hostess from a private to public company. Mr. Toler has over 35 years of executive leadership experience in supply chain management and consumer packaged goods, including previously having served as Chief Executive Officer of AdvancePierre Foods, from September 2008 to August 2013, and President of Pinnacle Foods. He has also held executive roles at Campbell Soup Company, Nabisco and Procter &amp; Gamble. Mr. Toler served on the board of directors of Collier Creek Holdings from September 2018 to September 2020, Hostess Brands from May 2014 to March 2018, AdvancePierre Foods from 2008 to 2013 and Pinnacle Foods from 2007 to 2008. In addition, Mr. Toler has also served as a senior advisor at Oaktree Capital Management, an investment management firm, from September 2013 to April 2014. Mr. Toler holds a B.A. in Business Management and Economics from North Carolina State University. Mr. Toler was selected to serve as Chairman of our board of directors because of his 35 years of executive leadership experience in supply chain management and consumer packaged goods.</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Susan P. Peters, Director</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Ms. Peters has served as our director since November 10, 2020. Previously, she was the Senior Vice President of Human Resources for General Electric Company (“GE”) from July 2013 until December 2017 after which she</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retired following 38 years of service. In her role as Chief Human Resource Officer (“CHRO”), Ms. Peters was a member of GE’s senior leadership team. From 2001 to 2007 Ms. Peters served as GE’s Vice President of Executive Development and served as Chief Learning Officer since 2007. In her role as the CHRO, Ms. Peters oversaw all aspects of the Human Resource function for GE’s workforce of approximately 325,000 employees in 175 countries. She was responsible for all of GE’s talent acquisition, talent development, learning, compensation and benefits, payroll, union relations, and security. Approximately 5,000 human resource employees worked under her leadership. Ms. Peters was first appointed as an officer at GE in 1997. Ms. Peters was a founding member of the GE Women’s Network and was also a member of the GE Foundation Board and the GE Pension Board. Ms. Peters also served on the National Board of Directors of Girl Scouts of the USA from 2008 until 2017. She is currently a member of the Loews Corporation (NYSE) board of directors. Ms. Peters received her B.A. from St. Mary’s College, Notre Dame and her Masters in Education from the University of Virginia. Ms. Peters was selected to serve on our board of directors because of her expertise in leadership and development and her experience serving as an officer of a global industrial company.</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Patrick Chung, Director</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Mr. Chung has served as our director since November 10, 2020. Mr. Chung currently serves as the Vice President of Finance at Serruya Private Equity Inc., which he joined in March 2018. In his role as Vice President, Mr. Chung oversees financial reporting and asset management for the fund, leads the real estate investments team, and plays a strategic role in the growth of investee companies. Previously, Mr. Chung was the Director of Finance for Inside Edge Properties Ltd. from March 2017 to March 2018. From January 2015 to March 2017, Mr. Chung served as the Assistant Manager of Finance Advisory for Deloitte. Prior to January 2015, Mr. Chung served as an Associate of Risk Assurance Services at PricewaterhouseCoopers Canada. In December 2015, Mr. Chung was designated as a Chartered Professional Accountant (“CPA”) by the Chartered Professional Accountants of Ontario. Mr. Chung received his Bachelor of Accounting and Finance and Minor in Economics from the University of Waterloo in December 2011 and his Masters of Accounting from the University of Waterloo in August 2012. Mr. Chung was selected to serve on our board of directors because of his expertise in financial accounting and investment management.</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Renah Persofsky, Director</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Ms. Persofsky has served as our director since November 10, 2020. Ms. Persofsky has over 40 years of business experience. Ms. Persofsky has served as the Chief Executive Officer of Strajectory Corp. since 2010 and as an executive consultant of Canadian Imperial Bank of Commerce since 2011. Ms. Persofsky has also served as the Chairwoman of BookJane Inc. since October 2016, a director of Aphria Inc. since October 2017 and the Vice Chairwoman and Lead Director since October 2019, the Chairwoman of Green Gruff Inc. since July 2019 and a director of Alkemy since April 2021. Ms. Persofsky has also previously served as an executive consultant to many iconic brands including Tim Hortons, Canadian Tire, Canada Post and Interac, and was an executive officer of the Bank of Montreal. Ms. Persofsky previously co-chaired the Canadian Minister’s Advisory Committee on Electronic Commerce, as well as served as a special advisor to the Minister of Foreign Affairs and Trade. Ms. Persofsky received her degree from the Rotman School of Management at the University of Toronto. Ms. Persofsky was selected to serve on our board of directors because of her global business, e-commerce expertise, and her experience with the cannabis industry.</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Richard D. Moss, Director</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Mr. Moss has served as our director since November 10, 2020. Mr. Moss served as Chief Financial Officer of Hanesbrands Inc., a leading Fortune 500 apparel company, from October 2011 until October 2017, after which he served in an advisory role at Hanesbrands until his retirement on December 31, 2017. Prior to his appointment as Chief Financial Officer, Mr. Moss led several key financial functions, including treasury and tax, at Hanesbrands from 2006 to 2011. From 2002 to 2005, Mr. Moss served as Vice President and Chief Financial Officer of Chattem Inc., a leading marketer and manufacturer of branded over-the-counter health-care products, toiletries and dietary supplements. Since January 2018, Mr. Moss has also served as a senior advisor to Nexo Capital Partners. Mr. Moss has served as a director of Winnebago Industries, Inc., a leading U.S. recreational vehicle manufacturer, since February 2017 and has served as a director of Nature’s Sunshine Products, Inc. since May 2018. Mr. Moss received a B.A. and an M.B.A. from Brigham Young University. Mr. Moss was selected to serve on our board of directors because of his significant financial and corporate governance experience, including experience with public, consumer-oriented companies.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Melisa Denis, Director</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Ms. Denis has served as our director since November 20, 2020. Ms. Denis is currently President of Miracle Pointe Development, a real estate development company. Ms. Denis previously served as a partner at KPMG from 1998 to October 2020, including as National Tax Leader for Consumer Goods and as the leader of the Consumer and Industrial Market for Dallas. Ms. Denis has served as a member of the Board of Regents for the University of North Texas System since January 2020, an advisory board member of Women Corporate Directors since 2011, and a board member of Enactus, a global non-profit, since 2019. Ms. Denis is a Certified Public Accountant and received her degree in accounting and her Masters of accounting and tax from the University of North Texas. Ms. Denis was selected to serve on our board of directors because of her significant financial and tax experience, including experience with companies in the consumer goods industry.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our Board of Directors and Meetings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b w:val="1"/>
          <w:bCs w:val="1"/>
          <w:i w:val="1"/>
          <w:iCs w:val="1"/>
          <w:color w:val="auto"/>
        </w:rPr>
        <w:t xml:space="preserve">Meeting Attendance. </w:t>
      </w:r>
      <w:r>
        <w:rPr>
          <w:rFonts w:ascii="Arial" w:cs="Arial" w:eastAsia="Arial" w:hAnsi="Arial"/>
          <w:sz w:val="18"/>
          <w:szCs w:val="18"/>
          <w:color w:val="auto"/>
        </w:rPr>
        <w:t>During the fiscal year ending December 31, 2020, there were three meetings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the various committees of our board of directors met a total of nine times. No director attended fewer than 75% of the total number of meetings of our board of directors and of committees of our board of directors on which he or she served during the fiscal year ended December 31, 2020. Our board of directors has adopted a policy under which each member of our board of directors makes every effort to but is not required to attend each annual meeting of our stockholders.</w:t>
      </w:r>
    </w:p>
    <w:p>
      <w:pPr>
        <w:spacing w:after="0" w:line="8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Our Audit Committee met six times during the fiscal year ended December 31, 2020.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currently has three (3) members: Mr. Richard D. Moss (Chairperson), Ms. Renah Persofsky and Ms. Melisa Denis. Our Audit Committee’s role and responsibilities are set forth in the Audit Committee’s written charter and include the authority to retain and terminate the services of our independent registered public accounting firm. In addition, the Audit Committee reviews annual financial statements, considers matters relating to accounting policy and internal controls and reviews the scope of annual audits. All members of the Audit Committee satisfy the current independence standards promulgated by the SEC and by the Nasdaq Stock Market, as such standards apply specifically to members of audit committees. Our board of directors has determined that each of Mr. Moss and Ms. Denis is an “audit committee financial expert,” as the SEC has defined that term in Item 407 of Regulation S-K. Please also see the report of the Audit Committee set forth elsewhere in this proxy statement.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 copy of the Audit Committee’s written charter is publicly available on our website at </w:t>
      </w:r>
      <w:r>
        <w:rPr>
          <w:rFonts w:ascii="Arial" w:cs="Arial" w:eastAsia="Arial" w:hAnsi="Arial"/>
          <w:sz w:val="17"/>
          <w:szCs w:val="17"/>
          <w:i w:val="1"/>
          <w:iCs w:val="1"/>
          <w:color w:val="auto"/>
        </w:rPr>
        <w:t>www.hydrofarm.com.</w:t>
      </w:r>
    </w:p>
    <w:p>
      <w:pPr>
        <w:spacing w:after="0" w:line="12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Our compensation committee (the “Compensation Committee”) met three times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fiscal year ending December 31, 2020. This committee currently has two (2) members: Ms. Peters (Chairperson) and Mr. Chung. 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our board of directors are carried out and that such policies, practices and procedures contribute to our success. Our Compensation Committee also administers our 2018 Equity Incentive Plan, 2019 Employee, Director and Consultant Equity Incentive Plan and 2020 Employee, Director and Consultant Equity Incentive Plan. The Compensation Committee is responsible for the determination of the compensation of our chief executive officer, and shall conduct its decision making process with respect to that issue without the chief executive officer present. All members of the Compensation Committee qualify as independent under the definition promulgated by the Nasdaq Stock Market.</w:t>
      </w:r>
    </w:p>
    <w:p>
      <w:pPr>
        <w:spacing w:after="0" w:line="7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Our Compensation Committee has adopted processes and procedures for determining executive and director compensation. Generally, our Compensation Committee evaluates and approves our compensation practices for the current year and determines compensation levels. The Compensation Committee annually evaluates the Chief Executive Officer’s performance in light of relevant corporate goals and objectives, and approves, or recommends to the board of directors for approval, the Chief Executive Officer’s compensation. For executives other than the Chief Executive Officer, our Compensation Committee annually reviews and approves, or recommends to the board of directors for approval, the compensation of such executive officers. Additionally, our Compensation Committee annually reviews and approves, or recommends to the board of directors for approval, the compensation of our directors, including with respect to any equity-based plans. The enumerated processes and procedures of our Compensation Committee are included in our Compensation Committee’s written charter, which is publicly available on our website at: </w:t>
      </w:r>
      <w:r>
        <w:rPr>
          <w:rFonts w:ascii="Arial" w:cs="Arial" w:eastAsia="Arial" w:hAnsi="Arial"/>
          <w:sz w:val="16"/>
          <w:szCs w:val="16"/>
          <w:i w:val="1"/>
          <w:iCs w:val="1"/>
          <w:color w:val="auto"/>
        </w:rPr>
        <w:t>https://investors.hydrofarm.com/governance/documents-charters.</w:t>
      </w:r>
    </w:p>
    <w:p>
      <w:pPr>
        <w:spacing w:after="0" w:line="64"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Compensation Committee’s independent compensation consultant during fiscal year 2020 was Korn Ferry. Korn Ferry assists the Compensation Committee, which has the sole authority to hire or fire compensation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consultants and to approve fee arrangements for work performed. Korn Ferry assists the Compensation Committee in fulfilling its responsibilities under its charter, including advising on proposed compensation packages for executive officers, compensation policies for our directors, practices and compensation levels in comparison to those of our competitors, and market practices generally. The Compensation Committee has authorized Korn Ferry to interact with management on behalf of the Compensation committee, as needed in connection with advising the Compensation Committee, and Korn Ferry is included in discussions with management and, when applicable, the Compensation Committee’s outside legal counsel on matters being brought to the Compensation Committee for consideration.</w:t>
      </w:r>
    </w:p>
    <w:p>
      <w:pPr>
        <w:spacing w:after="0" w:line="8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It is the Compensation Committee’s policy that the chairperson of the Compensation Committee or the full Compensation Committee pre-approve any additional services provided to management by our independent compensation consultant. In fiscal year 2020, Korn Ferry did work for the Compensation Committee as well as management. The Compensation Committee has assessed the independence of Korn Ferry pursuant to SEC rules and concluded that Korn Ferry’s work for the Compensation Committee does not raise any conflict of interest.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also see the report of the Compensation Committee set forth elsewhere in this proxy statement.</w:t>
      </w:r>
    </w:p>
    <w:p>
      <w:pPr>
        <w:spacing w:after="0" w:line="12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A copy of the Compensation Committee’s written charter is publicly available on our website at </w:t>
      </w:r>
      <w:r>
        <w:rPr>
          <w:rFonts w:ascii="Arial" w:cs="Arial" w:eastAsia="Arial" w:hAnsi="Arial"/>
          <w:sz w:val="18"/>
          <w:szCs w:val="18"/>
          <w:i w:val="1"/>
          <w:iCs w:val="1"/>
          <w:color w:val="auto"/>
        </w:rPr>
        <w:t>www.hydrofarm.com.</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Committee did not meet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 ending December 31, 2020 and has two (2) members: Ms. Persofsky (Chairperson) and Mr. Chung. Our board of directors has determined that all members of the Nominating Committee qualify as independent under the definition promulgated by the Nasdaq Stock Market. The Nominating Committee’s responsibilities are set forth in the Nominating Committee’s written charter and include:</w:t>
      </w:r>
    </w:p>
    <w:p>
      <w:pPr>
        <w:spacing w:after="0" w:line="80" w:lineRule="exact"/>
        <w:rPr>
          <w:sz w:val="20"/>
          <w:szCs w:val="20"/>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and making recommendations to the full board of directors as to the composition, organization and governance of our board of directors and its committees,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and making recommendations as to director candidates,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current board members’ performance,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overseeing the process for Chief Executive Officer and other executive officer succession planning, and</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recommending governance guidelines for the Company.</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Generally, our Nominating Committee considers candidates recommended by stockholders as well as from other sources such as other directors or officers, third party search firms or other appropriate sources. Once identified, the Nominating Committee will evaluate a candidate’s qualifications in accordance with our Nominating and Governance Committee Policy Regarding Qualifications of Directors appended to our Nominating Committee’s written charter. Threshold criteria include: personal integrity and sound judgment, business and professional skills and experience, independence, knowledge of our industry, possible conflicts of interest, diversity, the extent to which the candidate would fill a present need on our board of directors, and concern for the long-term interests of our stockholders. Our Nominating Committee has not adopted a formal diversity policy in connection with the consideration of director nominations or the selection of nominees. However, our Nominating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60"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6"/>
          <w:szCs w:val="16"/>
          <w:color w:val="auto"/>
        </w:rPr>
        <w:t>If a stockholder wishes to propose a candidate for consideration as a nominee for election to our board of directors, it must follow the procedures described in our Bylaws and in “</w:t>
      </w:r>
      <w:r>
        <w:rPr>
          <w:rFonts w:ascii="Arial" w:cs="Arial" w:eastAsia="Arial" w:hAnsi="Arial"/>
          <w:sz w:val="16"/>
          <w:szCs w:val="16"/>
          <w:i w:val="1"/>
          <w:iCs w:val="1"/>
          <w:color w:val="auto"/>
        </w:rPr>
        <w:t>Stockholder Proposals and Nominations for</w:t>
      </w:r>
      <w:r>
        <w:rPr>
          <w:rFonts w:ascii="Arial" w:cs="Arial" w:eastAsia="Arial" w:hAnsi="Arial"/>
          <w:sz w:val="16"/>
          <w:szCs w:val="16"/>
          <w:color w:val="auto"/>
        </w:rPr>
        <w:t xml:space="preserve"> </w:t>
      </w:r>
      <w:r>
        <w:rPr>
          <w:rFonts w:ascii="Arial" w:cs="Arial" w:eastAsia="Arial" w:hAnsi="Arial"/>
          <w:sz w:val="16"/>
          <w:szCs w:val="16"/>
          <w:i w:val="1"/>
          <w:iCs w:val="1"/>
          <w:color w:val="auto"/>
        </w:rPr>
        <w:t>Director</w:t>
      </w:r>
      <w:r>
        <w:rPr>
          <w:rFonts w:ascii="Arial" w:cs="Arial" w:eastAsia="Arial" w:hAnsi="Arial"/>
          <w:sz w:val="16"/>
          <w:szCs w:val="16"/>
          <w:color w:val="auto"/>
        </w:rPr>
        <w:t>” at the end of this proxy statement. For any such recommendation to be properly brought before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the stockholder must: (i) have given Timely Notice (as defined below) thereof in writing to the Secretary of Hydrofarm, (ii) have provided any updates or supplements to such notice at the times and in the forms required by the Bylaws and (iii) together with the beneficial owner(s), if any, on whose behalf the nomination or business proposal is made, have acted in accordance with the representations set forth in the solicitation statement of our Bylaws. For notice to be timely, a stockholder’s written notice shall be received by the Secretary at the principal executive offices of the Company not later than the close of business on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day prior to the one-year anniversary of the preceding year’s annual meeting; provided, however, that in the event the annual meeting is first convened more than thirty (30) days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10" w:lineRule="auto"/>
        <w:rPr>
          <w:sz w:val="20"/>
          <w:szCs w:val="20"/>
          <w:color w:val="auto"/>
        </w:rPr>
      </w:pPr>
      <w:r>
        <w:rPr>
          <w:rFonts w:ascii="Arial" w:cs="Arial" w:eastAsia="Arial" w:hAnsi="Arial"/>
          <w:sz w:val="18"/>
          <w:szCs w:val="18"/>
          <w:color w:val="auto"/>
        </w:rPr>
        <w:t>before or more than sixty (60) days after such anniversary date, or if no annual meeting were held in the preceding year, notice by the stockholder to be timely must be received by the Secretary of the Company not later than the close of business on the later of the ninetieth (90</w:t>
      </w:r>
      <w:r>
        <w:rPr>
          <w:rFonts w:ascii="Arial" w:cs="Arial" w:eastAsia="Arial" w:hAnsi="Arial"/>
          <w:sz w:val="29"/>
          <w:szCs w:val="29"/>
          <w:color w:val="auto"/>
          <w:vertAlign w:val="superscript"/>
        </w:rPr>
        <w:t>th</w:t>
      </w:r>
      <w:r>
        <w:rPr>
          <w:rFonts w:ascii="Arial" w:cs="Arial" w:eastAsia="Arial" w:hAnsi="Arial"/>
          <w:sz w:val="18"/>
          <w:szCs w:val="18"/>
          <w:color w:val="auto"/>
        </w:rPr>
        <w:t>) day prior to the scheduled date of such annual meeting or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public announcement of the date of such meeting is first made (such notice within such time periods shall be referred to as “Timely Notice”). Such stockholder’s Timely Notice shall set forth:</w:t>
      </w:r>
    </w:p>
    <w:p>
      <w:pPr>
        <w:spacing w:after="0" w:line="96" w:lineRule="exact"/>
        <w:rPr>
          <w:sz w:val="20"/>
          <w:szCs w:val="20"/>
          <w:color w:val="auto"/>
        </w:rPr>
      </w:pPr>
    </w:p>
    <w:p>
      <w:pPr>
        <w:ind w:left="1000" w:right="319" w:hanging="348"/>
        <w:spacing w:after="0" w:line="30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information relating to such person that would be required to be disclosed in a proxy statement or as otherwise required, in each case, pursuant to Regulation 14A under the Exchange Act;</w:t>
      </w:r>
    </w:p>
    <w:p>
      <w:pPr>
        <w:spacing w:after="0" w:line="3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biographical and share ownership information about the stockholder and any other proponent, including a description of any derivative transactions in the Company’s securities;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description of certain arrangements and understandings between the proposing stockholder and any beneficial owner and any other person in connection with such stockholder nomination;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statement whether or not either such stockholder or beneficial owner intends to deliver a proxy statement and form of proxy to holders of voting shares sufficient to carry the proposal.</w:t>
      </w:r>
    </w:p>
    <w:p>
      <w:pPr>
        <w:spacing w:after="0" w:line="103"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recommendation must also be accompanied by the following information concerning the proposed nominee:</w:t>
      </w:r>
    </w:p>
    <w:p>
      <w:pPr>
        <w:spacing w:after="0" w:line="62"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biographical information concerning the proposed nominee;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information concerning the proposed nominee required to be disclosed in solicitations of proxies for election of directors;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information about any other security holder of the Company who supports the proposed nominee;</w:t>
      </w:r>
    </w:p>
    <w:p>
      <w:pPr>
        <w:spacing w:after="0" w:line="140" w:lineRule="exact"/>
        <w:rPr>
          <w:rFonts w:ascii="Arial" w:cs="Arial" w:eastAsia="Arial" w:hAnsi="Arial"/>
          <w:sz w:val="16"/>
          <w:szCs w:val="16"/>
          <w:color w:val="auto"/>
        </w:rPr>
      </w:pPr>
    </w:p>
    <w:p>
      <w:pPr>
        <w:ind w:left="1000" w:right="319" w:hanging="348"/>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description of all relationships between the proposed nominee and the recommending stockholder or any beneficial owner, including any agreements or understandings regarding the nomination;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disclosures relating to stockholder nominees for directors, including completed questionnaires and disclosures required by our Bylaws.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A copy of the Nominating Committee’s written charter, including its appendices, is publicly available on our website at </w:t>
      </w:r>
      <w:r>
        <w:rPr>
          <w:rFonts w:ascii="Arial" w:cs="Arial" w:eastAsia="Arial" w:hAnsi="Arial"/>
          <w:sz w:val="18"/>
          <w:szCs w:val="18"/>
          <w:i w:val="1"/>
          <w:iCs w:val="1"/>
          <w:color w:val="auto"/>
        </w:rPr>
        <w:t>www.hydrofarm.com.</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Mergers and Acquisitions (M&amp;A) Committee. </w:t>
      </w:r>
      <w:r>
        <w:rPr>
          <w:rFonts w:ascii="Arial" w:cs="Arial" w:eastAsia="Arial" w:hAnsi="Arial"/>
          <w:sz w:val="18"/>
          <w:szCs w:val="18"/>
          <w:color w:val="auto"/>
        </w:rPr>
        <w:t>Our M&amp;A Committee was formed in April 2021.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currently has three (3) members: Mr. Richard D. Moss (Chairperson), Ms. Renah Persofsky and Ms. Melisa Denis. Our M&amp;A Committee’s role and responsibilities include (i) reviewing our strategy regarding mergers, acquisitions, investments and dispositions of material assets with our management, (ii) reviewing, approving or making recommendations to our board of directors to approve, as appropriate, proposed mergers, acquisitions, investments or dispositions of material assets, and (iii) overseeing the post-closing analysis of such transactions.</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Compensation Committee has two (2) members: Ms. Susan P. Peters (Chairperson) and Mr. Patrick Chung. None of the members of our Compensation Committee has at any time during the last fiscal year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For a description of transactions between us and members of our Compensation Committee and affiliates of such members, please see the “</w:t>
      </w:r>
      <w:r>
        <w:rPr>
          <w:rFonts w:ascii="Arial" w:cs="Arial" w:eastAsia="Arial" w:hAnsi="Arial"/>
          <w:sz w:val="17"/>
          <w:szCs w:val="17"/>
          <w:i w:val="1"/>
          <w:iCs w:val="1"/>
          <w:color w:val="auto"/>
        </w:rPr>
        <w:t>Certain Relationships and</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Person Transactions</w:t>
      </w:r>
      <w:r>
        <w:rPr>
          <w:rFonts w:ascii="Arial" w:cs="Arial" w:eastAsia="Arial" w:hAnsi="Arial"/>
          <w:sz w:val="17"/>
          <w:szCs w:val="17"/>
          <w:color w:val="auto"/>
        </w:rPr>
        <w:t>” section of this proxy statement.</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board of directors has responsibility for establishing broad corporate policies and reviewing our overall performance rather than day-to-day operations. The primary responsibility of our board of directors is to oversee our management and, in doing so, serve our best interests and the best interests of our stockholders. Our board of directors selects, evaluates and provides for the succession of executive officers and, subject to stockholder election, directors. It reviews and approves corporate objectives and strategies, and evaluates significant policies and proposed major commitments of corporate resources. Our board of directors also participates in decisions that have a potential major economic impact on us. Management keeps the directors informed of company activity through regular communication, including written reports and presentations at board of directors and committee meetings.</w:t>
      </w:r>
    </w:p>
    <w:p>
      <w:pPr>
        <w:sectPr>
          <w:pgSz w:w="11900" w:h="16838" w:orient="portrait"/>
          <w:cols w:equalWidth="0" w:num="1">
            <w:col w:w="9019"/>
          </w:cols>
          <w:pgMar w:left="1440" w:top="265"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board of directors is currently chaired by Mr. William Toler, who also serves as our Chief Executive Officer. We have not adopted a formal policy on whether the Chairman and Chief Executive Officer positions should be separate or combined. However, we have determined that it is in our best interest and the best interest of our stockholders to appoint Mr. Toler as our Chairman and Chief Executive Officer.</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Effective risk oversight is an important priority of the board of directors. Because risks are considered in virtually every business decision, the board of directors discusses risk throughout the year generally or in connection with specific proposed actions. The board of directors’ approach to risk oversight includes understanding the critical risks in our business and strategy, evaluating our risk management processes, allocating responsibilities for risk oversight among the full board of directors, and fostering an appropriate culture of integrity and compliance with legal responsibilities.</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officers are appointed by our board of directors and hold office until they resign or are removed from office by the board of directors. Ms. Peters, Ms. Persofsky, Mr. Chung, Mr. Moss and Ms. Denis qualify as independent directors.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Communications to our Board of Directors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Generally, stockholders who have questions or concerns should contact our Investor Relations department at</w:t>
      </w:r>
    </w:p>
    <w:p>
      <w:pPr>
        <w:spacing w:after="0" w:line="46" w:lineRule="exact"/>
        <w:rPr>
          <w:sz w:val="20"/>
          <w:szCs w:val="20"/>
          <w:color w:val="auto"/>
        </w:rPr>
      </w:pPr>
    </w:p>
    <w:p>
      <w:pPr>
        <w:jc w:val="both"/>
        <w:ind w:left="300" w:right="299" w:hanging="8"/>
        <w:spacing w:after="0" w:line="270" w:lineRule="auto"/>
        <w:tabs>
          <w:tab w:leader="none" w:pos="741" w:val="left"/>
        </w:tabs>
        <w:numPr>
          <w:ilvl w:val="0"/>
          <w:numId w:val="14"/>
        </w:numPr>
        <w:rPr>
          <w:rFonts w:ascii="Arial" w:cs="Arial" w:eastAsia="Arial" w:hAnsi="Arial"/>
          <w:sz w:val="17"/>
          <w:szCs w:val="17"/>
          <w:color w:val="auto"/>
        </w:rPr>
      </w:pPr>
      <w:r>
        <w:rPr>
          <w:rFonts w:ascii="Arial" w:cs="Arial" w:eastAsia="Arial" w:hAnsi="Arial"/>
          <w:sz w:val="17"/>
          <w:szCs w:val="17"/>
          <w:color w:val="auto"/>
        </w:rPr>
        <w:t>765-9990. However, any stockholders who wish to address questions regarding our business directly with our board of directors, or any individual director, should direct his or her questions in writing to the Chairman of our board of directors at Hydrofarm Holdings Group, Inc., 290 Canal Road, Fairless Hills, Pennsylvania 19030. Communications will be distributed to our board of directors, or to any individual director or directors as appropriate, depending on the facts and circumstances outlined in the communications. Items that are unrelated to the duties and responsibilities of our board of directors may be excluded, such as:</w:t>
      </w:r>
    </w:p>
    <w:p>
      <w:pPr>
        <w:spacing w:after="0" w:line="70" w:lineRule="exact"/>
        <w:rPr>
          <w:rFonts w:ascii="Arial" w:cs="Arial" w:eastAsia="Arial" w:hAnsi="Arial"/>
          <w:sz w:val="17"/>
          <w:szCs w:val="17"/>
          <w:color w:val="auto"/>
        </w:rPr>
      </w:pPr>
    </w:p>
    <w:p>
      <w:pPr>
        <w:ind w:left="1000" w:hanging="348"/>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junk mail and mass mailings;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surveys;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addition, any material that is unduly hostile, threatening, or illegal in nature may be excluded, in which case it will be made available to any outside director upon request.</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sets forth certain information as of April 15, 2021 regarding our executive officers who are not also directors.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4400" w:type="dxa"/>
            <w:vAlign w:val="bottom"/>
            <w:gridSpan w:val="2"/>
          </w:tcPr>
          <w:p>
            <w:pPr>
              <w:ind w:left="8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Terrence Fitch</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President</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B. John Lindeman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-393700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-393700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Terence Fitch, President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Mr. Fitch has served as our President since March 4, 2019. Mr. Fitch has more than 30 years of marketing, sales, finance, manufacturing, supply chain, media and supervisory experience in the beverage industry. Prior to joining Hydrofarm in 2019, Mr. Fitch spent 18 years in Coca Cola’s senior management beginning in 1994, first as Regional Vice President of Sales and Marketing of the Gulf States, then as Division Vice President and General Manager, and finally as Senior Vice President and General Manager of the Western Region, responsible for a team of 13,500 sales, strategy, marketing, operations, manufacturing, supply chain, and analytical professionals, and accountable for annual sales in excess of $4.2 billion. Mr. Fitch also served as Senior Vice President and General Manager of the Western Region of Coca Cola Refreshments from 2010 to 2013. In 2013, Mr. Fitch founded Drink Teck, LLC, a functional beverage company, where he served as its Chief Executive Officer. Mr. Fitch has also served on the board of directors of the Harold Pump Foundation, on the C-5 Youth Foundation, on the USC Food Management Council, and on the Coca Cola Scholars Foundation. Mr. Fitch holds a B.S. in finance and marketing from Arizona State University.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 John Lindeman, Chief Financial Officer</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Mr. Lindeman has served as our Chief Financial Officer since March 2020. From August 2015 until assuming his current role at Hydrofarm Holdings in March 2020, Mr. Lindeman served as Chief Financial Officer and Corporate Secretary at Calavo Growers, Inc. (Nasdaq-GS: CVGW) (“Calavo”), a global avocado-industry leader and expanding provider of valued-added fresh food, where he was responsible for the finance, accounting, IT and human resource functions. Prior to joining Calavo, Mr. Lindeman held various leadership positions within the finance and investment banking industries, including serving as managing director at Sageworth Trust Company, a family office and private trust company, from March 2015 to July 2015, managing director and co-head of the consumer and retail group at Janney Montgomery Scott from August 2009 to March 2015, managing director at Stifel Nicolaus from December 2005 to August 2009 and principal at Legg Mason from October 1999 to December 2005. Prior to joining Legg Mason, he was a Manager at PricewaterhouseCoopers LLP from August 1996 to October 1999. Mr. Lindeman has also served as a director of Utz Brands, Inc. (NYSE: UTZ) since September 2020. Mr. Lindeman is a Chartered Financial Analyst and holds a B.S. in Business Administration from the University of Mary Washington.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 contains information concerning the compensation during each of the two years ended December 31, 2020 and 2019 to persons covered by Item 402(m)(2) of Regulation S-K (the “Named Executive Officers”).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Non-Equity</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w:t>
            </w: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Deferred</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2"/>
                <w:szCs w:val="12"/>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Bonus</w:t>
            </w:r>
          </w:p>
        </w:tc>
        <w:tc>
          <w:tcPr>
            <w:tcW w:w="7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Incentive Plan Compensation</w:t>
            </w:r>
          </w:p>
        </w:tc>
        <w:tc>
          <w:tcPr>
            <w:tcW w:w="940" w:type="dxa"/>
            <w:vAlign w:val="bottom"/>
            <w:gridSpan w:val="2"/>
            <w:vMerge w:val="continue"/>
          </w:tcPr>
          <w:p>
            <w:pPr>
              <w:spacing w:after="0"/>
              <w:rPr>
                <w:sz w:val="12"/>
                <w:szCs w:val="12"/>
                <w:color w:val="auto"/>
              </w:rPr>
            </w:pPr>
          </w:p>
        </w:tc>
        <w:tc>
          <w:tcPr>
            <w:tcW w:w="7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Awards</w:t>
            </w:r>
          </w:p>
        </w:tc>
        <w:tc>
          <w:tcPr>
            <w:tcW w:w="148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w w:val="96"/>
              </w:rPr>
              <w:t>Awards Compensation</w:t>
            </w:r>
          </w:p>
        </w:tc>
        <w:tc>
          <w:tcPr>
            <w:tcW w:w="9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Earnings</w:t>
            </w:r>
          </w:p>
        </w:tc>
        <w:tc>
          <w:tcPr>
            <w:tcW w:w="94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Principal Position</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Toler,</w:t>
            </w: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519,231</w:t>
            </w: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16,881</w:t>
            </w:r>
          </w:p>
        </w:tc>
        <w:tc>
          <w:tcPr>
            <w:tcW w:w="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536,112</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of the</w:t>
            </w:r>
          </w:p>
        </w:tc>
        <w:tc>
          <w:tcPr>
            <w:tcW w:w="4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475,243</w:t>
            </w:r>
          </w:p>
        </w:tc>
        <w:tc>
          <w:tcPr>
            <w:tcW w:w="80" w:type="dxa"/>
            <w:vAlign w:val="bottom"/>
            <w:shd w:val="clear" w:color="auto" w:fill="CCEEFF"/>
          </w:tcPr>
          <w:p>
            <w:pPr>
              <w:spacing w:after="0"/>
              <w:rPr>
                <w:sz w:val="18"/>
                <w:szCs w:val="18"/>
                <w:color w:val="auto"/>
              </w:rPr>
            </w:pPr>
          </w:p>
        </w:tc>
        <w:tc>
          <w:tcPr>
            <w:tcW w:w="142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 7,497,636</w:t>
            </w: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14,308</w:t>
            </w:r>
          </w:p>
        </w:tc>
        <w:tc>
          <w:tcPr>
            <w:tcW w:w="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7,987,187</w:t>
            </w:r>
          </w:p>
        </w:tc>
        <w:tc>
          <w:tcPr>
            <w:tcW w:w="0" w:type="dxa"/>
            <w:vAlign w:val="bottom"/>
          </w:tcPr>
          <w:p>
            <w:pPr>
              <w:spacing w:after="0"/>
              <w:rPr>
                <w:sz w:val="1"/>
                <w:szCs w:val="1"/>
                <w:color w:val="auto"/>
              </w:rPr>
            </w:pPr>
          </w:p>
        </w:tc>
      </w:tr>
      <w:tr>
        <w:trPr>
          <w:trHeight w:val="122"/>
        </w:trPr>
        <w:tc>
          <w:tcPr>
            <w:tcW w:w="17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Board and Chief</w:t>
            </w:r>
          </w:p>
        </w:tc>
        <w:tc>
          <w:tcPr>
            <w:tcW w:w="4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4"/>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70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170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w w:val="93"/>
              </w:rPr>
              <w:t>Executive Officer</w:t>
            </w:r>
            <w:r>
              <w:rPr>
                <w:rFonts w:ascii="Arial" w:cs="Arial" w:eastAsia="Arial" w:hAnsi="Arial"/>
                <w:sz w:val="29"/>
                <w:szCs w:val="29"/>
                <w:color w:val="auto"/>
                <w:w w:val="93"/>
                <w:vertAlign w:val="superscript"/>
              </w:rPr>
              <w:t>(3)</w:t>
            </w: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00" w:type="dxa"/>
            <w:vAlign w:val="bottom"/>
            <w:gridSpan w:val="2"/>
            <w:vMerge w:val="restart"/>
          </w:tcPr>
          <w:p>
            <w:pPr>
              <w:spacing w:after="0"/>
              <w:rPr>
                <w:sz w:val="20"/>
                <w:szCs w:val="20"/>
                <w:color w:val="auto"/>
              </w:rPr>
            </w:pPr>
            <w:r>
              <w:rPr>
                <w:rFonts w:ascii="Arial" w:cs="Arial" w:eastAsia="Arial" w:hAnsi="Arial"/>
                <w:sz w:val="18"/>
                <w:szCs w:val="18"/>
                <w:color w:val="auto"/>
              </w:rPr>
              <w:t>Terence Fitch,</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311,539</w:t>
            </w:r>
          </w:p>
        </w:tc>
        <w:tc>
          <w:tcPr>
            <w:tcW w:w="80" w:type="dxa"/>
            <w:vAlign w:val="bottom"/>
          </w:tcPr>
          <w:p>
            <w:pPr>
              <w:spacing w:after="0"/>
              <w:rPr>
                <w:sz w:val="23"/>
                <w:szCs w:val="23"/>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23,947</w:t>
            </w:r>
          </w:p>
        </w:tc>
        <w:tc>
          <w:tcPr>
            <w:tcW w:w="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335,486</w:t>
            </w:r>
          </w:p>
        </w:tc>
        <w:tc>
          <w:tcPr>
            <w:tcW w:w="0" w:type="dxa"/>
            <w:vAlign w:val="bottom"/>
          </w:tcPr>
          <w:p>
            <w:pPr>
              <w:spacing w:after="0"/>
              <w:rPr>
                <w:sz w:val="1"/>
                <w:szCs w:val="1"/>
                <w:color w:val="auto"/>
              </w:rPr>
            </w:pPr>
          </w:p>
        </w:tc>
      </w:tr>
      <w:tr>
        <w:trPr>
          <w:trHeight w:val="84"/>
        </w:trPr>
        <w:tc>
          <w:tcPr>
            <w:tcW w:w="1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170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President</w:t>
            </w:r>
            <w:r>
              <w:rPr>
                <w:rFonts w:ascii="Arial" w:cs="Arial" w:eastAsia="Arial" w:hAnsi="Arial"/>
                <w:sz w:val="29"/>
                <w:szCs w:val="29"/>
                <w:color w:val="auto"/>
                <w:vertAlign w:val="superscript"/>
              </w:rPr>
              <w:t>(4)</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237,945</w:t>
            </w:r>
          </w:p>
        </w:tc>
        <w:tc>
          <w:tcPr>
            <w:tcW w:w="80" w:type="dxa"/>
            <w:vAlign w:val="bottom"/>
          </w:tcPr>
          <w:p>
            <w:pPr>
              <w:spacing w:after="0"/>
              <w:rPr>
                <w:sz w:val="24"/>
                <w:szCs w:val="24"/>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8"/>
                <w:szCs w:val="18"/>
                <w:color w:val="auto"/>
              </w:rPr>
              <w:t>— 1,795,242</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16,715</w:t>
            </w:r>
          </w:p>
        </w:tc>
        <w:tc>
          <w:tcPr>
            <w:tcW w:w="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2,049,902</w:t>
            </w:r>
          </w:p>
        </w:tc>
        <w:tc>
          <w:tcPr>
            <w:tcW w:w="0" w:type="dxa"/>
            <w:vAlign w:val="bottom"/>
          </w:tcPr>
          <w:p>
            <w:pPr>
              <w:spacing w:after="0"/>
              <w:rPr>
                <w:sz w:val="1"/>
                <w:szCs w:val="1"/>
                <w:color w:val="auto"/>
              </w:rPr>
            </w:pPr>
          </w:p>
        </w:tc>
      </w:tr>
      <w:tr>
        <w:trPr>
          <w:trHeight w:val="29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John Lindeman,</w:t>
            </w: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374,519</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100,000 2,440,327</w:t>
            </w:r>
          </w:p>
        </w:tc>
        <w:tc>
          <w:tcPr>
            <w:tcW w:w="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16,412</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2,931,258</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w:t>
            </w:r>
          </w:p>
        </w:tc>
        <w:tc>
          <w:tcPr>
            <w:tcW w:w="4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7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4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540" w:type="dxa"/>
            <w:vAlign w:val="bottom"/>
            <w:gridSpan w:val="2"/>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-1550670</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-1550670</wp:posOffset>
            </wp:positionV>
            <wp:extent cx="34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-1550670</wp:posOffset>
            </wp:positionV>
            <wp:extent cx="34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-1550670</wp:posOffset>
            </wp:positionV>
            <wp:extent cx="34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-1550670</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-1550670</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-1550670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-1550670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-1550670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319" w:hanging="348"/>
        <w:spacing w:after="0" w:line="255" w:lineRule="auto"/>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amounts reported in the “Stock Awards” column represent grant date fair value of the restricted stock units (“RSUs”) granted to the Named Executive Officers during the fiscal years ended December 31, 2020 and December 31, 2019 as computed in accordance with FASB Accounting Standards Codification Topic 718. Note that the amounts reported in this column reflect the accounting cost for these stock options and do not correspond to the actual economic value that may be received by the Named Executive Officers from the RSUs.</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Compensation” consists of health insurance premiums.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Toler joined the Company as Chairman of the Board and Chief Executive Officer in January 2019. Mr. Toler was granted 1,034,431 and 413,772 RSUs in January 2019 and December 2019, respectively.</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Fitch joined the Company as President in March 2019. Mr. Fitch was granted 372,395 RSUs in April 2019.</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Mr. Lindeman joined the Company as Chief Financial Officer in March 2020. Mr. Lindeman was granted 402,151 RSUs in March 2020.</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Employment Agreements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description relates to employment agreements between us and our executive officers.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William Toler, Chief Executive Officer</w:t>
      </w:r>
    </w:p>
    <w:p>
      <w:pPr>
        <w:spacing w:after="0" w:line="11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In February 2019, we entered into an employment agreement with Mr. William Toler, to serve as Chairman and Chief Executive Officer. Mr. Toler’s employment agreement provides for, among other things, base salary, annual performance and retention bonus, severance payments and the continuation of certain benefits following certain terminations of employment by us under specified circumstances or the termination of employment for good reason (as defined in the employment agreement) by Mr. Toler. Under the provisions of the agreement, Mr. Toler’s base salary was $500,000 per year which was voluntarily reduced to $150,000 per year through September 30, 2019, at which time Mr. Toler’s base salary reset to $500,000. The agreement also included an annual performance and retention bonus of up to fifty percent of his base salary rate based upon our board of directors’ assessment of his performance and our attainment of goals as mutually agreed between him and our board of directors. Effective April 1, 2021, Mr. Toler’s base salary increased to $600,000 and his annual performance bonus increased to one hundred percent of his base salary rate. Under the agreement, if Mr. Toler’s employment is terminated by us without cause (as defined in the employment agreement), or Mr. Toler resigns for good reason (as defined in the employment agreement), Mr. Toler will (i) have the right to receive an amount equal to the greater of $250,000 or six months of his base salary and the reimbursement of health premiums until the earlier of six months following termination, the date on which healthcare coverage is obtained from another source or until he ceases to be entitled to continuing coverage under our health plan, (ii) receive a salary true-up bonus if his employment terminates before September 30,</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2019, which will be equal to a pro-rated payment of $350,000 based upon his length of service and (iii) have all unvested equity awards held by him which vest over the twelve month period following his termination immediately vest and forfeit all other unvested equity awards. If Mr. Toler resigns without good reason or if his employment is terminated by us for cause, all of his vested equity awards previously granted to him will be forfeited. Mr. Toler’s employment agreement also provides that if his employment is terminated by him due to resignation without good reason, or by us for cause, or by either party as a result of his death or disability, he will receive (i) his base salary accrued through his last day of employment, (ii) any unused vacation (if applicable) accrued through his last day of employment, (ii) any earned but unpaid annual bonus for the calendar year ended immediately prior to his last day of employment and (iv) reimbursement of any reimbursed business expenses. Under these circumstances, he will not be entitled to any other form of compensation from us, including any severance benefits, other than any rights to which he is entitled our benefit programs, stock option plan or equity grant documents between him and us.</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Mr. Toler’s employment agreement also contains a mutual non-disparagement covenant, intellectual property covenants and confidentiality covenants prohibiting Mr. Toler from, among other things, disclosing confidential information relating to us. The employment agreement also contains non-solicitation restrictions, pursuant to which Mr. Toler will not be permitted to solicit our employees in certain circumstances for a period of 12 months following his termination of employment for any reason.</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Terence Fitch, President</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March 2019, we entered into an employment agreement with Mr. Fitch, to serve as President. Mr. Fitch’s employment agreement provides for, among other things, base salary, annual performance and retention bonus, severance payments and the continuation of certain benefits following certain terminations of employment by us under specified circumstances or the termination of employment for good reason (as defined in the employment agreement) by Mr. Fitch. Under the provisions of the agreement, Mr. Fitch’s base salary was $300,000 per year which was voluntarily reduced to $150,000 per year until September 30, 2019, at which time Mr. Fitch’s base salary reset to $300,000. The agreement also includes an annual performance and retention bonus of up to fifty percent of his base salary rate based upon our board of directors’ assessment of his performance and our attainment of goals as mutually agreed between him and our board of directors. Under the agreement, if Mr. Fitch’s employment is terminated by us without cause (as defined in the employment agreement), or Mr. Fitch resigns for good reason (as defined in the employment agreement), Mr. Fitch will (i) have the right to receive an amount equal to the greater of $150,000 or six months of his base salary and the reimbursement of health premiums until the earlier of six months following termination, the date on which healthcare coverage is obtained from another source or until he ceases to be entitled to continuing coverage under our health plan, (ii) receive a salary true-up bonus if his employment terminates before September 30, 2019, which will be equal to a pro-rated payment of $150,000 based upon his length of service and (iii) have all unvested equity awards held by him which vest over the twelve month period following his termination immediately vest and forfeit all other unvested equity awards. If Mr. Fitch resigns without good reason or if his employment is terminated by us for cause, all of his vested equity awards previously granted to him will be forfeited. Mr. Fitch’s employment agreement also provides that if his employment is terminated by him due to resignation without good reason, or by us for cause, or by either party as a result of his death or disability, he will receive (i) his base salary accrued through his last day of employment, (ii) any unused vacation (if applicable) accrued through his last day of employment, (ii) any earned but unpaid annual bonus for the calendar year ended immediately prior to his last day of employment and (iv) reimbursement of any reimbursed business expenses. Under these circumstances, he will not be entitled to any other form of compensation from us, including any severance benefits, other than any rights to which he is entitled our benefit programs, stock option plan or equity grant documents between him and us.</w:t>
      </w:r>
    </w:p>
    <w:p>
      <w:pPr>
        <w:spacing w:after="0" w:line="28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Mr. Fitch’s employment agreement also contains a mutual non-disparagement covenant, intellectual property covenants and confidentiality covenants prohibiting Mr. Fitch from, among other things, disclosing confidential information relating to us. The employment agreement also contains non-solicitation restrictions, pursuant to which Mr. Fitch will not be permitted to solicit our employees in certain circumstances for a period of 12 months following his termination of employment for any reason.</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 John Lindeman, Chief Financial Officer</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In February 2020, we entered into an offer letter with Mr. Lindeman, to serve as Chief Financial Officer. Mr. Lindeman’s offer letter provides for, among other things, base salary, annual performance bonus and severance payments. Under the provisions of the offer letter, Mr. Lindeman’s base salary is $475,000 per year. The offer letter also includes an annual performance bonus of up to fifty percent of Mr. Lindeman’s base salary rate based upon our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board of directors’ assessment of his performance and our attainment of goals as determined by our board of directors and guarantees fifty percent of the pro-rated amount of the annual performance bonus for his first year of employment. The offer letter also includes an award of restricted stock units equal to 1.75% of the Company which vests over four years as follows: 25% vest after a 12-month service period following the award, and the balance vest in equal monthly installments over the next 36 months of service. Under the offer letter, Mr. Lindeman’s employment is at will. If Mr. Lindeman’s employment is terminated, Mr. Lindeman will (i) be paid cash severance of an amount equal to the greater of (x) $237,500 or (y) six months of his base salary in effect as of the date of separation and (ii) have all unvested equity awards held by him which vest over the twelve month period following his termination immediately vest and forfeit all other unvested equity awards.</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 Ownership Guidelines and Holding Requirements.</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All of our named executive officers and our senior leadership team are subject to stock ownership guidelines. We instituted stock ownership guidelines in the interest of promoting and increasing equity ownership by our senior executives and to further align our executives’ long-term interests with those of our stockholders. Although there is no deadline set for executives to reach their ownership guidelines, the Compensation Committee monitors ownership levels to confirm that executives are making sustained progress toward achievement of their ownership guidelines. The following table outlines the stock ownership guidelines for our executives.</w:t>
      </w:r>
    </w:p>
    <w:p>
      <w:pPr>
        <w:spacing w:after="0" w:line="10" w:lineRule="exact"/>
        <w:rPr>
          <w:sz w:val="20"/>
          <w:szCs w:val="20"/>
          <w:color w:val="auto"/>
        </w:rPr>
      </w:pPr>
    </w:p>
    <w:tbl>
      <w:tblPr>
        <w:tblLayout w:type="fixed"/>
        <w:tblInd w:w="310" w:type="dxa"/>
        <w:tblCellMar>
          <w:top w:w="0" w:type="dxa"/>
          <w:left w:w="0" w:type="dxa"/>
          <w:bottom w:w="0" w:type="dxa"/>
          <w:right w:w="0" w:type="dxa"/>
        </w:tblCellMar>
      </w:tblPr>
      <w:tr>
        <w:trPr>
          <w:trHeight w:val="285"/>
        </w:trPr>
        <w:tc>
          <w:tcPr>
            <w:tcW w:w="4220" w:type="dxa"/>
            <w:vAlign w:val="bottom"/>
            <w:tcBorders>
              <w:top w:val="single" w:sz="8" w:color="auto"/>
              <w:left w:val="single" w:sz="8" w:color="auto"/>
              <w:right w:val="single" w:sz="8" w:color="auto"/>
            </w:tcBorders>
          </w:tcPr>
          <w:p>
            <w:pPr>
              <w:ind w:left="1820"/>
              <w:spacing w:after="0"/>
              <w:rPr>
                <w:sz w:val="20"/>
                <w:szCs w:val="20"/>
                <w:color w:val="auto"/>
              </w:rPr>
            </w:pPr>
            <w:r>
              <w:rPr>
                <w:rFonts w:ascii="Arial" w:cs="Arial" w:eastAsia="Arial" w:hAnsi="Arial"/>
                <w:sz w:val="14"/>
                <w:szCs w:val="14"/>
                <w:b w:val="1"/>
                <w:bCs w:val="1"/>
                <w:color w:val="auto"/>
              </w:rPr>
              <w:t>Position</w:t>
            </w:r>
          </w:p>
        </w:tc>
        <w:tc>
          <w:tcPr>
            <w:tcW w:w="4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 Guidelines</w:t>
            </w:r>
          </w:p>
        </w:tc>
      </w:tr>
      <w:tr>
        <w:trPr>
          <w:trHeight w:val="53"/>
        </w:trPr>
        <w:tc>
          <w:tcPr>
            <w:tcW w:w="4220" w:type="dxa"/>
            <w:vAlign w:val="bottom"/>
            <w:tcBorders>
              <w:left w:val="single" w:sz="8" w:color="auto"/>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Chairman of the Board and Chief Executive Officer</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6x base salary</w:t>
            </w:r>
          </w:p>
        </w:tc>
      </w:tr>
      <w:tr>
        <w:trPr>
          <w:trHeight w:val="68"/>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President and Chief Financial Officer</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4x base salary</w:t>
            </w:r>
          </w:p>
        </w:tc>
      </w:tr>
      <w:tr>
        <w:trPr>
          <w:trHeight w:val="68"/>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Senior Leadership Team</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2x base salary</w:t>
            </w:r>
          </w:p>
        </w:tc>
      </w:tr>
      <w:tr>
        <w:trPr>
          <w:trHeight w:val="54"/>
        </w:trPr>
        <w:tc>
          <w:tcPr>
            <w:tcW w:w="4220" w:type="dxa"/>
            <w:vAlign w:val="bottom"/>
            <w:tcBorders>
              <w:left w:val="single" w:sz="8" w:color="auto"/>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As of April 15, 2021, all of our named executive officers have met their current stock ownership requirements. The members of our senior leadership team are making appropriate progress toward the ownership guidelines. Shares held in a brokerage account, an account with our transfer agent, an account with our stock plan administrator or in our 401(k) Plan, vested options, and any vested and unvested RSUs, all count towards the ownership requirement. Shares subject to unvested options or unearned performance shares, however, do not count toward the ownership guidelines. The value of the shares of common stock held by an officer will be measured by the greater of the value of the shares at the (i) time acquired or fully vested or (ii) the applicable annual measurement date, based on the twenty-day average closing price of our common stock before that measurement date. The stock ownership of all our named executive officers as of April 15, 2021, is presented on page </w:t>
      </w:r>
      <w:hyperlink w:anchor="page10">
        <w:r>
          <w:rPr>
            <w:rFonts w:ascii="Arial" w:cs="Arial" w:eastAsia="Arial" w:hAnsi="Arial"/>
            <w:sz w:val="17"/>
            <w:szCs w:val="17"/>
            <w:u w:val="single" w:color="auto"/>
            <w:color w:val="0000EE"/>
          </w:rPr>
          <w:t>6</w:t>
        </w:r>
      </w:hyperlink>
      <w:r>
        <w:rPr>
          <w:rFonts w:ascii="Arial" w:cs="Arial" w:eastAsia="Arial" w:hAnsi="Arial"/>
          <w:sz w:val="17"/>
          <w:szCs w:val="17"/>
          <w:color w:val="auto"/>
        </w:rPr>
        <w:t>. See “</w:t>
      </w:r>
      <w:r>
        <w:rPr>
          <w:rFonts w:ascii="Arial" w:cs="Arial" w:eastAsia="Arial" w:hAnsi="Arial"/>
          <w:sz w:val="17"/>
          <w:szCs w:val="17"/>
          <w:i w:val="1"/>
          <w:iCs w:val="1"/>
          <w:color w:val="auto"/>
        </w:rPr>
        <w:t>Security Ownership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Beneficial Owners and Management.</w:t>
      </w:r>
      <w:r>
        <w:rPr>
          <w:rFonts w:ascii="Arial" w:cs="Arial" w:eastAsia="Arial" w:hAnsi="Arial"/>
          <w:sz w:val="17"/>
          <w:szCs w:val="17"/>
          <w:color w:val="auto"/>
        </w:rPr>
        <w:t>”</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discussed under “</w:t>
      </w:r>
      <w:r>
        <w:rPr>
          <w:rFonts w:ascii="Arial" w:cs="Arial" w:eastAsia="Arial" w:hAnsi="Arial"/>
          <w:sz w:val="18"/>
          <w:szCs w:val="18"/>
          <w:i w:val="1"/>
          <w:iCs w:val="1"/>
          <w:color w:val="auto"/>
        </w:rPr>
        <w:t>Stock Ownership Guidelines for Non-Employee Directors</w:t>
      </w:r>
      <w:r>
        <w:rPr>
          <w:rFonts w:ascii="Arial" w:cs="Arial" w:eastAsia="Arial" w:hAnsi="Arial"/>
          <w:sz w:val="18"/>
          <w:szCs w:val="18"/>
          <w:color w:val="auto"/>
        </w:rPr>
        <w:t>,” the Compensation Committee also establishes ownership guidelines for the independent directors and performs regular reviews to ensure all independent directors are in compliance or are showing sustained progress toward achievement of their ownership guidelines.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Insider Trading Policy</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Our Insider Trading Policy prohibits directors, executive officers and other “designated insiders” from engaging in most transactions involving our common stock during periods, determined by us, that those individuals are most likely to be aware of material, non-public information. Directors, executive officers and other designated insiders subject to stock ownership guidelines must clear all their transactions in our common stock with the Chief Financial Officer in advance. Additionally, it is our policy that directors, executive officers and designated insiders are not permitted to hedge their ownership of Company securities, including (a) trading in publicly-traded options,</w:t>
      </w:r>
    </w:p>
    <w:p>
      <w:pPr>
        <w:spacing w:after="0" w:line="4" w:lineRule="exact"/>
        <w:rPr>
          <w:sz w:val="20"/>
          <w:szCs w:val="20"/>
          <w:color w:val="auto"/>
        </w:rPr>
      </w:pPr>
    </w:p>
    <w:p>
      <w:pPr>
        <w:jc w:val="both"/>
        <w:ind w:left="300" w:right="319" w:hanging="8"/>
        <w:spacing w:after="0" w:line="255" w:lineRule="auto"/>
        <w:tabs>
          <w:tab w:leader="none" w:pos="5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any security of the Company “short” and (c) purchasing any financial instruments (including straddles, collars or other similar risk reduction or hedging devices) or otherwise engaging in transactions that are designed to or have the effect of offsetting any decrease in the market value of our securities.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Outstanding Equity Awards at Fiscal Year-End</w:t>
      </w:r>
    </w:p>
    <w:p>
      <w:pPr>
        <w:spacing w:after="0" w:line="190" w:lineRule="exact"/>
        <w:rPr>
          <w:sz w:val="20"/>
          <w:szCs w:val="20"/>
          <w:color w:val="auto"/>
        </w:rPr>
      </w:pPr>
    </w:p>
    <w:p>
      <w:pPr>
        <w:jc w:val="right"/>
        <w:ind w:right="1679"/>
        <w:spacing w:after="0"/>
        <w:tabs>
          <w:tab w:leader="none" w:pos="840" w:val="left"/>
        </w:tabs>
        <w:rPr>
          <w:sz w:val="20"/>
          <w:szCs w:val="20"/>
          <w:color w:val="auto"/>
        </w:rPr>
      </w:pPr>
      <w:r>
        <w:rPr>
          <w:rFonts w:ascii="Arial" w:cs="Arial" w:eastAsia="Arial" w:hAnsi="Arial"/>
          <w:sz w:val="14"/>
          <w:szCs w:val="14"/>
          <w:b w:val="1"/>
          <w:bCs w:val="1"/>
          <w:color w:val="auto"/>
        </w:rPr>
        <w:t>Option Awards</w:t>
      </w:r>
      <w:r>
        <w:rPr>
          <w:sz w:val="20"/>
          <w:szCs w:val="20"/>
          <w:color w:val="auto"/>
        </w:rPr>
        <w:tab/>
      </w:r>
      <w:r>
        <w:rPr>
          <w:rFonts w:ascii="Arial" w:cs="Arial" w:eastAsia="Arial" w:hAnsi="Arial"/>
          <w:sz w:val="12"/>
          <w:szCs w:val="12"/>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49530</wp:posOffset>
            </wp:positionV>
            <wp:extent cx="43630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9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9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980" w:type="dxa"/>
            <w:vAlign w:val="bottom"/>
          </w:tcPr>
          <w:p>
            <w:pPr>
              <w:jc w:val="center"/>
              <w:ind w:left="8"/>
              <w:spacing w:after="0" w:line="142"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Underlying</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6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9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600" w:type="dxa"/>
            <w:vAlign w:val="bottom"/>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9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Options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60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55"/>
        </w:trPr>
        <w:tc>
          <w:tcPr>
            <w:tcW w:w="1380" w:type="dxa"/>
            <w:vAlign w:val="bottom"/>
          </w:tcPr>
          <w:p>
            <w:pPr>
              <w:spacing w:after="0" w:line="155" w:lineRule="exact"/>
              <w:rPr>
                <w:sz w:val="20"/>
                <w:szCs w:val="20"/>
                <w:color w:val="auto"/>
              </w:rPr>
            </w:pPr>
            <w:r>
              <w:rPr>
                <w:rFonts w:ascii="Arial" w:cs="Arial" w:eastAsia="Arial" w:hAnsi="Arial"/>
                <w:sz w:val="14"/>
                <w:szCs w:val="14"/>
                <w:b w:val="1"/>
                <w:bCs w:val="1"/>
                <w:color w:val="auto"/>
              </w:rPr>
              <w:t>Name and Principal</w:t>
            </w:r>
          </w:p>
        </w:tc>
        <w:tc>
          <w:tcPr>
            <w:tcW w:w="980" w:type="dxa"/>
            <w:vAlign w:val="bottom"/>
          </w:tcPr>
          <w:p>
            <w:pPr>
              <w:jc w:val="center"/>
              <w:ind w:left="8"/>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Options</w:t>
            </w:r>
          </w:p>
        </w:tc>
        <w:tc>
          <w:tcPr>
            <w:tcW w:w="6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Price</w:t>
            </w:r>
          </w:p>
        </w:tc>
        <w:tc>
          <w:tcPr>
            <w:tcW w:w="6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Exercise</w:t>
            </w: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7"/>
              </w:rPr>
              <w:t>Vested</w:t>
            </w:r>
          </w:p>
        </w:tc>
        <w:tc>
          <w:tcPr>
            <w:tcW w:w="720" w:type="dxa"/>
            <w:vAlign w:val="bottom"/>
          </w:tcPr>
          <w:p>
            <w:pPr>
              <w:jc w:val="center"/>
              <w:ind w:left="10"/>
              <w:spacing w:after="0" w:line="155" w:lineRule="exact"/>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98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Exercisable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19050</wp:posOffset>
            </wp:positionV>
            <wp:extent cx="34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19050</wp:posOffset>
            </wp:positionV>
            <wp:extent cx="342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19050</wp:posOffset>
            </wp:positionV>
            <wp:extent cx="342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19050</wp:posOffset>
            </wp:positionV>
            <wp:extent cx="51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19050</wp:posOffset>
            </wp:positionV>
            <wp:extent cx="51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19050</wp:posOffset>
            </wp:positionV>
            <wp:extent cx="51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19050</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Incentive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Awards: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Unearned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Shares,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Units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or Other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That</w:t>
            </w:r>
          </w:p>
        </w:tc>
        <w:tc>
          <w:tcPr>
            <w:tcW w:w="7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64"/>
        </w:trPr>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Vested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bl>
    <w:p>
      <w:pPr>
        <w:ind w:left="820" w:hanging="555"/>
        <w:spacing w:after="0"/>
        <w:tabs>
          <w:tab w:leader="none" w:pos="820"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color w:val="auto"/>
        </w:rPr>
        <w:t>Vested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53975</wp:posOffset>
            </wp:positionV>
            <wp:extent cx="342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53975</wp:posOffset>
            </wp:positionV>
            <wp:extent cx="342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7100" w:space="120"/>
            <w:col w:w="179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274"/>
        </w:trPr>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William Toler,</w:t>
            </w:r>
          </w:p>
        </w:tc>
        <w:tc>
          <w:tcPr>
            <w:tcW w:w="8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892,197</w:t>
            </w:r>
          </w:p>
        </w:tc>
        <w:tc>
          <w:tcPr>
            <w:tcW w:w="4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46,911,718</w:t>
            </w:r>
          </w:p>
        </w:tc>
        <w:tc>
          <w:tcPr>
            <w:tcW w:w="6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r>
      <w:tr>
        <w:trPr>
          <w:trHeight w:val="203"/>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Chairman of the</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8"/>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Board and Chief</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81"/>
        </w:trPr>
        <w:tc>
          <w:tcPr>
            <w:tcW w:w="1540" w:type="dxa"/>
            <w:vAlign w:val="bottom"/>
            <w:gridSpan w:val="2"/>
            <w:shd w:val="clear" w:color="auto" w:fill="CCEEFF"/>
          </w:tcPr>
          <w:p>
            <w:pPr>
              <w:ind w:left="160"/>
              <w:spacing w:after="0" w:line="281" w:lineRule="exact"/>
              <w:rPr>
                <w:sz w:val="20"/>
                <w:szCs w:val="20"/>
                <w:color w:val="auto"/>
              </w:rPr>
            </w:pPr>
            <w:r>
              <w:rPr>
                <w:rFonts w:ascii="Arial" w:cs="Arial" w:eastAsia="Arial" w:hAnsi="Arial"/>
                <w:sz w:val="16"/>
                <w:szCs w:val="16"/>
                <w:i w:val="1"/>
                <w:iCs w:val="1"/>
                <w:color w:val="auto"/>
                <w:w w:val="95"/>
              </w:rPr>
              <w:t>Executive Officer</w:t>
            </w:r>
            <w:r>
              <w:rPr>
                <w:rFonts w:ascii="Arial" w:cs="Arial" w:eastAsia="Arial" w:hAnsi="Arial"/>
                <w:sz w:val="26"/>
                <w:szCs w:val="26"/>
                <w:i w:val="1"/>
                <w:iCs w:val="1"/>
                <w:color w:val="auto"/>
                <w:w w:val="95"/>
                <w:vertAlign w:val="superscript"/>
              </w:rPr>
              <w:t>(2)</w:t>
            </w: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2"/>
        </w:trPr>
        <w:tc>
          <w:tcPr>
            <w:tcW w:w="1540" w:type="dxa"/>
            <w:vAlign w:val="bottom"/>
            <w:gridSpan w:val="2"/>
          </w:tcPr>
          <w:p>
            <w:pPr>
              <w:spacing w:after="0"/>
              <w:rPr>
                <w:sz w:val="20"/>
                <w:szCs w:val="20"/>
                <w:color w:val="auto"/>
              </w:rPr>
            </w:pPr>
            <w:r>
              <w:rPr>
                <w:rFonts w:ascii="Arial" w:cs="Arial" w:eastAsia="Arial" w:hAnsi="Arial"/>
                <w:sz w:val="16"/>
                <w:szCs w:val="16"/>
                <w:color w:val="auto"/>
              </w:rPr>
              <w:t>Terence Fitch,</w:t>
            </w:r>
          </w:p>
        </w:tc>
        <w:tc>
          <w:tcPr>
            <w:tcW w:w="8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209,473</w:t>
            </w: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11,014,090</w:t>
            </w:r>
          </w:p>
        </w:tc>
        <w:tc>
          <w:tcPr>
            <w:tcW w:w="60" w:type="dxa"/>
            <w:vAlign w:val="bottom"/>
          </w:tcPr>
          <w:p>
            <w:pPr>
              <w:spacing w:after="0"/>
              <w:rPr>
                <w:sz w:val="20"/>
                <w:szCs w:val="20"/>
                <w:color w:val="auto"/>
              </w:rPr>
            </w:pP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81"/>
        </w:trPr>
        <w:tc>
          <w:tcPr>
            <w:tcW w:w="1540" w:type="dxa"/>
            <w:vAlign w:val="bottom"/>
            <w:gridSpan w:val="2"/>
          </w:tcPr>
          <w:p>
            <w:pPr>
              <w:ind w:left="160"/>
              <w:spacing w:after="0" w:line="281" w:lineRule="exact"/>
              <w:rPr>
                <w:sz w:val="20"/>
                <w:szCs w:val="20"/>
                <w:color w:val="auto"/>
              </w:rPr>
            </w:pPr>
            <w:r>
              <w:rPr>
                <w:rFonts w:ascii="Arial" w:cs="Arial" w:eastAsia="Arial" w:hAnsi="Arial"/>
                <w:sz w:val="16"/>
                <w:szCs w:val="16"/>
                <w:i w:val="1"/>
                <w:iCs w:val="1"/>
                <w:color w:val="auto"/>
              </w:rPr>
              <w:t>President</w:t>
            </w:r>
            <w:r>
              <w:rPr>
                <w:rFonts w:ascii="Arial" w:cs="Arial" w:eastAsia="Arial" w:hAnsi="Arial"/>
                <w:sz w:val="26"/>
                <w:szCs w:val="26"/>
                <w:i w:val="1"/>
                <w:iCs w:val="1"/>
                <w:color w:val="auto"/>
                <w:vertAlign w:val="superscript"/>
              </w:rPr>
              <w:t>(3)</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7"/>
        </w:trPr>
        <w:tc>
          <w:tcPr>
            <w:tcW w:w="1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 John Lindeman,</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402,151</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21,145,100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r>
      <w:tr>
        <w:trPr>
          <w:trHeight w:val="188"/>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Chief Financial</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81"/>
        </w:trPr>
        <w:tc>
          <w:tcPr>
            <w:tcW w:w="1540" w:type="dxa"/>
            <w:vAlign w:val="bottom"/>
            <w:gridSpan w:val="2"/>
            <w:shd w:val="clear" w:color="auto" w:fill="CCEEFF"/>
          </w:tcPr>
          <w:p>
            <w:pPr>
              <w:ind w:left="160"/>
              <w:spacing w:after="0" w:line="281" w:lineRule="exact"/>
              <w:rPr>
                <w:sz w:val="20"/>
                <w:szCs w:val="20"/>
                <w:color w:val="auto"/>
              </w:rPr>
            </w:pPr>
            <w:r>
              <w:rPr>
                <w:rFonts w:ascii="Arial" w:cs="Arial" w:eastAsia="Arial" w:hAnsi="Arial"/>
                <w:sz w:val="16"/>
                <w:szCs w:val="16"/>
                <w:i w:val="1"/>
                <w:iCs w:val="1"/>
                <w:color w:val="auto"/>
              </w:rPr>
              <w:t>Officer</w:t>
            </w:r>
            <w:r>
              <w:rPr>
                <w:rFonts w:ascii="Arial" w:cs="Arial" w:eastAsia="Arial" w:hAnsi="Arial"/>
                <w:sz w:val="26"/>
                <w:szCs w:val="26"/>
                <w:i w:val="1"/>
                <w:iCs w:val="1"/>
                <w:color w:val="auto"/>
                <w:vertAlign w:val="superscript"/>
              </w:rPr>
              <w:t>(4)</w:t>
            </w: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5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fair market value of shares that were unvested as of December 31, 2020. The fair market value is based on the closing price on December 31, 2020 of $52.58 per share.</w:t>
      </w:r>
    </w:p>
    <w:p>
      <w:pPr>
        <w:spacing w:after="0" w:line="1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These RSUs vest over four years, with 25% vesting on the first anniversary of the respective grant date and the remainder vesting in 12 equal quarterly installments thereafter. 1,034,431 RSUs were granted in January 2019 and 413,772 RSUs were granted in December 2019.</w:t>
      </w:r>
    </w:p>
    <w:p>
      <w:pPr>
        <w:ind w:left="640" w:right="319" w:hanging="348"/>
        <w:spacing w:after="0" w:line="25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These RSUs vest over four years, with 25% vesting on the first anniversary of the grant date and the remainder vesting in 12 equal quarterly installments thereafter. 372,395 RSUs were granted in April 2019.</w:t>
      </w:r>
    </w:p>
    <w:p>
      <w:pPr>
        <w:spacing w:after="0" w:line="1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These RSUs vest over four years, with 25% vesting on the first anniversary of the grant date and the remainder vesting in 36 equal monthly installments thereafter. Mr. Lindeman joined the Company as Chief Financial Officer in March 2020. 402,151 RSUs were granted in March 2020.</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 shows the total compensation paid or accrued during the fiscal year ended December 31, 2020, to each of our non-employee directors. Directors who are employed by us are not compensated for their service on our board of directors.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Fees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Non-Equity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Earned or</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Deferred</w:t>
            </w:r>
          </w:p>
        </w:tc>
        <w:tc>
          <w:tcPr>
            <w:tcW w:w="9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Paid in</w:t>
            </w:r>
          </w:p>
        </w:tc>
        <w:tc>
          <w:tcPr>
            <w:tcW w:w="7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Incentive Plan</w:t>
            </w:r>
          </w:p>
        </w:tc>
        <w:tc>
          <w:tcPr>
            <w:tcW w:w="9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2"/>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3"/>
              </w:rPr>
              <w:t>Cash</w:t>
            </w:r>
          </w:p>
        </w:tc>
        <w:tc>
          <w:tcPr>
            <w:tcW w:w="740" w:type="dxa"/>
            <w:vAlign w:val="bottom"/>
            <w:gridSpan w:val="2"/>
          </w:tcPr>
          <w:p>
            <w:pPr>
              <w:jc w:val="center"/>
              <w:ind w:right="100"/>
              <w:spacing w:after="0" w:line="152"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(1)</w:t>
            </w:r>
          </w:p>
        </w:tc>
        <w:tc>
          <w:tcPr>
            <w:tcW w:w="60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Awards</w:t>
            </w:r>
          </w:p>
        </w:tc>
        <w:tc>
          <w:tcPr>
            <w:tcW w:w="98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w w:val="98"/>
              </w:rPr>
              <w:t>Compensation</w:t>
            </w:r>
          </w:p>
        </w:tc>
        <w:tc>
          <w:tcPr>
            <w:tcW w:w="96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3"/>
              </w:rPr>
              <w:t>Earnings</w:t>
            </w:r>
          </w:p>
        </w:tc>
        <w:tc>
          <w:tcPr>
            <w:tcW w:w="900" w:type="dxa"/>
            <w:vAlign w:val="bottom"/>
          </w:tcPr>
          <w:p>
            <w:pPr>
              <w:jc w:val="right"/>
              <w:spacing w:after="0" w:line="152"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900" w:type="dxa"/>
            <w:vAlign w:val="bottom"/>
            <w:gridSpan w:val="2"/>
            <w:vMerge w:val="continue"/>
          </w:tcPr>
          <w:p>
            <w:pPr>
              <w:spacing w:after="0"/>
              <w:rPr>
                <w:sz w:val="16"/>
                <w:szCs w:val="16"/>
                <w:color w:val="auto"/>
              </w:rPr>
            </w:pPr>
          </w:p>
        </w:tc>
        <w:tc>
          <w:tcPr>
            <w:tcW w:w="66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0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Patrick Chung</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50,000</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270"/>
        </w:trPr>
        <w:tc>
          <w:tcPr>
            <w:tcW w:w="2900" w:type="dxa"/>
            <w:vAlign w:val="bottom"/>
            <w:gridSpan w:val="2"/>
          </w:tcPr>
          <w:p>
            <w:pPr>
              <w:spacing w:after="0"/>
              <w:rPr>
                <w:sz w:val="20"/>
                <w:szCs w:val="20"/>
                <w:color w:val="auto"/>
              </w:rPr>
            </w:pPr>
            <w:r>
              <w:rPr>
                <w:rFonts w:ascii="Arial" w:cs="Arial" w:eastAsia="Arial" w:hAnsi="Arial"/>
                <w:sz w:val="18"/>
                <w:szCs w:val="18"/>
                <w:color w:val="auto"/>
              </w:rPr>
              <w:t>Susan P. Peters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50,000</w:t>
            </w:r>
          </w:p>
        </w:tc>
        <w:tc>
          <w:tcPr>
            <w:tcW w:w="10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Renah Persofsky</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50,000</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270"/>
        </w:trPr>
        <w:tc>
          <w:tcPr>
            <w:tcW w:w="290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50,000</w:t>
            </w:r>
          </w:p>
        </w:tc>
        <w:tc>
          <w:tcPr>
            <w:tcW w:w="10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Melisa Denis</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50,000</w:t>
            </w: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54"/>
        </w:trPr>
        <w:tc>
          <w:tcPr>
            <w:tcW w:w="2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-1045210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-1045210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-1045210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-1045210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-1045210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-1045210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-1045210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8"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the stock awards granted to each director during the fiscal year ended December 31, 2020, computed in accordance with FASB ASC Topic 718. We granted 2,500 RSUs as initial annual equity awards to each of our non-employee directors. Such awards vest on June 14, 2021 after six months of service.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December 31, 2020 the aggregate number of shares subject to outstanding equity awards held by our non-employee directors was: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of Underlying</w:t>
            </w:r>
          </w:p>
        </w:tc>
        <w:tc>
          <w:tcPr>
            <w:tcW w:w="0" w:type="dxa"/>
            <w:vAlign w:val="bottom"/>
          </w:tcPr>
          <w:p>
            <w:pPr>
              <w:spacing w:after="0"/>
              <w:rPr>
                <w:sz w:val="1"/>
                <w:szCs w:val="1"/>
                <w:color w:val="auto"/>
              </w:rPr>
            </w:pPr>
          </w:p>
        </w:tc>
      </w:tr>
      <w:tr>
        <w:trPr>
          <w:trHeight w:val="149"/>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86"/>
        </w:trPr>
        <w:tc>
          <w:tcPr>
            <w:tcW w:w="71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53"/>
        </w:trPr>
        <w:tc>
          <w:tcPr>
            <w:tcW w:w="69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Patrick Chung</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270"/>
        </w:trPr>
        <w:tc>
          <w:tcPr>
            <w:tcW w:w="7100" w:type="dxa"/>
            <w:vAlign w:val="bottom"/>
            <w:gridSpan w:val="2"/>
          </w:tcPr>
          <w:p>
            <w:pPr>
              <w:spacing w:after="0"/>
              <w:rPr>
                <w:sz w:val="20"/>
                <w:szCs w:val="20"/>
                <w:color w:val="auto"/>
              </w:rPr>
            </w:pPr>
            <w:r>
              <w:rPr>
                <w:rFonts w:ascii="Arial" w:cs="Arial" w:eastAsia="Arial" w:hAnsi="Arial"/>
                <w:sz w:val="18"/>
                <w:szCs w:val="18"/>
                <w:color w:val="auto"/>
              </w:rPr>
              <w:t>Susan P. Peters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Renah Persofsky</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270"/>
        </w:trPr>
        <w:tc>
          <w:tcPr>
            <w:tcW w:w="710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Melisa Denis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54"/>
        </w:trPr>
        <w:tc>
          <w:tcPr>
            <w:tcW w:w="69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-1045210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October 2020, our board of directors adopted a new compensation policy for our directors. This policy was developed with input from our independent compensation consultant, Korn Ferry, regarding practices and compensation levels at comparable companies. It is designed to attract, retain and reward nonemployee directors.</w:t>
      </w:r>
    </w:p>
    <w:p>
      <w:pPr>
        <w:spacing w:after="0" w:line="4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Under this director compensation policy, each non-employee director receives an annual director fee of $50,000. The chair of our audit committee is paid an additional fee of $25,000, the chair of our compensation committee is paid an additional fee of $15,000, and the chair of our nominating and corporate governance committee is paid an additional fee of $10,000. Each director also receives annual equity awards on the date of each annual meeting of our stockholders with a grant date value of $100,000 which will vest after one year of service, provided that the initial grant value is $50,000 which will vest after six months of service.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 Ownership Guidelines for Non-Employee Directors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non-employee directors are subject to ownership guidelines that establish a minimum ownership level. Non-employee directors are required to hold five times the 2020 annual cash retainer for non-employee directors. There is no deadline for non-employee directors to reach their ownership guidelines; however, the Compensation Committee performs regular reviews to confirm that all non-employee directors are in compliance or are showing sustained progress toward achievement of their ownership guidelines. All of our non-employee directors are making appropriate progress toward the ownership guidelines.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provides certain aggregate information with respect to all of the Company’s equity compensation plans in effect as of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53"/>
        </w:trPr>
        <w:tc>
          <w:tcPr>
            <w:tcW w:w="5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price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warrants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5"/>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vMerge w:val="restart"/>
          </w:tcPr>
          <w:p>
            <w:pPr>
              <w:spacing w:after="0"/>
              <w:rPr>
                <w:sz w:val="12"/>
                <w:szCs w:val="12"/>
                <w:color w:val="auto"/>
              </w:rPr>
            </w:pPr>
          </w:p>
        </w:tc>
        <w:tc>
          <w:tcPr>
            <w:tcW w:w="11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warrants</w:t>
            </w:r>
          </w:p>
        </w:tc>
        <w:tc>
          <w:tcPr>
            <w:tcW w:w="9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and</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reflected</w:t>
            </w:r>
          </w:p>
        </w:tc>
        <w:tc>
          <w:tcPr>
            <w:tcW w:w="0" w:type="dxa"/>
            <w:vAlign w:val="bottom"/>
          </w:tcPr>
          <w:p>
            <w:pPr>
              <w:spacing w:after="0"/>
              <w:rPr>
                <w:sz w:val="1"/>
                <w:szCs w:val="1"/>
                <w:color w:val="auto"/>
              </w:rPr>
            </w:pPr>
          </w:p>
        </w:tc>
      </w:tr>
      <w:tr>
        <w:trPr>
          <w:trHeight w:val="242"/>
        </w:trPr>
        <w:tc>
          <w:tcPr>
            <w:tcW w:w="51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9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90"/>
              </w:rPr>
              <w:t>and rights</w:t>
            </w:r>
            <w:r>
              <w:rPr>
                <w:rFonts w:ascii="Arial" w:cs="Arial" w:eastAsia="Arial" w:hAnsi="Arial"/>
                <w:sz w:val="23"/>
                <w:szCs w:val="23"/>
                <w:b w:val="1"/>
                <w:bCs w:val="1"/>
                <w:color w:val="auto"/>
                <w:w w:val="90"/>
                <w:vertAlign w:val="superscript"/>
              </w:rPr>
              <w:t>(1)</w:t>
            </w: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6"/>
              </w:rPr>
              <w:t>rights</w:t>
            </w:r>
            <w:r>
              <w:rPr>
                <w:rFonts w:ascii="Arial" w:cs="Arial" w:eastAsia="Arial" w:hAnsi="Arial"/>
                <w:sz w:val="23"/>
                <w:szCs w:val="23"/>
                <w:b w:val="1"/>
                <w:bCs w:val="1"/>
                <w:color w:val="auto"/>
                <w:w w:val="86"/>
                <w:vertAlign w:val="superscript"/>
              </w:rPr>
              <w:t>(2)</w:t>
            </w: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92"/>
              </w:rPr>
              <w:t>in column (a))</w:t>
            </w:r>
            <w:r>
              <w:rPr>
                <w:rFonts w:ascii="Arial" w:cs="Arial" w:eastAsia="Arial" w:hAnsi="Arial"/>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331"/>
        </w:trPr>
        <w:tc>
          <w:tcPr>
            <w:tcW w:w="538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9"/>
                <w:szCs w:val="29"/>
                <w:color w:val="auto"/>
                <w:vertAlign w:val="superscript"/>
              </w:rPr>
              <w:t>(1)(4)</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9"/>
              </w:rPr>
              <w:t>2,483,610</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$8.81</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2,197,396</w:t>
            </w:r>
          </w:p>
        </w:tc>
        <w:tc>
          <w:tcPr>
            <w:tcW w:w="0" w:type="dxa"/>
            <w:vAlign w:val="bottom"/>
          </w:tcPr>
          <w:p>
            <w:pPr>
              <w:spacing w:after="0"/>
              <w:rPr>
                <w:sz w:val="1"/>
                <w:szCs w:val="1"/>
                <w:color w:val="auto"/>
              </w:rPr>
            </w:pP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9"/>
              </w:rPr>
              <w:t>2,483,610</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$8.81</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2,197,396</w:t>
            </w: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-633730</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-633730</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-633730</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plans consist of (i) the 2020 Employee, Director and Consultant Equity Incentive Plan (the “2020 Plan”); (ii) the 2019 Employee, Director and Consultant Equity Incentive Plan (the “2019 Plan”); and (iii) the 2018 Equity Incentive Plan (the “2018 Plan”). For a description of these plans, see Note 11 to the 2020 Consolidated Financial Statements included in the Company’s Annual Report on Form 10-K for the year ended December 31, 2020.</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weighted-average exercise price excludes any outstanding restricted stock unit awards, which have no exercise price.</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only of securities remaining available for future issuance under the 2020 Plan. Since our 2020 Plan has been approved by our stockholders, we do not intend to make any additional grants under the 2018 Plan and the 2019 Plan.</w:t>
      </w:r>
    </w:p>
    <w:p>
      <w:pPr>
        <w:spacing w:after="0" w:line="11" w:lineRule="exact"/>
        <w:rPr>
          <w:rFonts w:ascii="Arial" w:cs="Arial" w:eastAsia="Arial" w:hAnsi="Arial"/>
          <w:sz w:val="14"/>
          <w:szCs w:val="14"/>
          <w:color w:val="auto"/>
        </w:rPr>
      </w:pPr>
    </w:p>
    <w:p>
      <w:pPr>
        <w:jc w:val="both"/>
        <w:ind w:left="640" w:right="319" w:hanging="348"/>
        <w:spacing w:after="0" w:line="20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2020 Plan provides that the total number of shares of our common stock reserved for issuance thereunder will automatically increase on January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of each year for a period of ten years commencing on January 1, 2021 and ending on January 2, 2030, in an amount equal to the lesser of (i) 4% of the outstanding shares of our common stock on such date and (ii) such number of shares determined by the plan administrator.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AUDIT COMMITTEE</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The Audit Committee of our board of directors, which consists entirely of directors who meet the independence and experience requirements of the Nasdaq Stock Market, has furnished the following report:</w:t>
      </w:r>
    </w:p>
    <w:p>
      <w:pPr>
        <w:spacing w:after="0" w:line="3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our board of directors, which is available on our website at </w:t>
      </w:r>
      <w:r>
        <w:rPr>
          <w:rFonts w:ascii="Arial" w:cs="Arial" w:eastAsia="Arial" w:hAnsi="Arial"/>
          <w:sz w:val="17"/>
          <w:szCs w:val="17"/>
          <w:i w:val="1"/>
          <w:iCs w:val="1"/>
          <w:color w:val="auto"/>
        </w:rPr>
        <w:t>www.hydrofarm.com</w:t>
      </w:r>
      <w:r>
        <w:rPr>
          <w:rFonts w:ascii="Arial" w:cs="Arial" w:eastAsia="Arial" w:hAnsi="Arial"/>
          <w:sz w:val="17"/>
          <w:szCs w:val="17"/>
          <w:color w:val="auto"/>
        </w:rPr>
        <w:t>. This committee reviews and reassesses our Charter annually and recommends any changes to our board of directors for approval. The Audit Committee is responsible for overseeing our overall financial reporting process, and for the appointment, compensation, retention, and oversight of the work of Deloitte &amp; Touche LLP. In fulfilling its responsibilities for the financial statements for fiscal year December 31, 2020, the Audit Committee took the following actions:</w:t>
      </w:r>
    </w:p>
    <w:p>
      <w:pPr>
        <w:spacing w:after="0" w:line="70" w:lineRule="exact"/>
        <w:rPr>
          <w:sz w:val="20"/>
          <w:szCs w:val="20"/>
          <w:color w:val="auto"/>
        </w:rPr>
      </w:pPr>
    </w:p>
    <w:p>
      <w:pPr>
        <w:ind w:left="1000" w:right="319" w:hanging="348"/>
        <w:spacing w:after="0" w:line="342"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the fiscal year ended December 31, 2020 with management and Deloitte &amp; Touche LLP, our independent registered public accounting firm;</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Discussed with Deloitte &amp; Touche LLP the matters required to be discussed in accordance with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1000" w:right="299" w:hanging="348"/>
        <w:spacing w:after="0" w:line="273"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Received written disclosures and the letter from Deloitte &amp; Touche LLP regarding its independence as required by applicable requirements of the Public Company Accounting Oversight Board regarding Deloitte &amp; Touche LLP’s communications with the Audit Committee and the Audit Committee further discussed with Deloitte &amp; Touche LLP their independence. The Audit Committee also considered the status of pending litigation, taxation matters and other areas of oversight relating to the financial reporting and audit process that the committee determined appropriate.</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Deloitte &amp; Touche LLP, the Audit Committee recommended to our board of directors that the audited financial statements be included in our Annual Report on Form 10-K for the fiscal year ended December 31, 2020 for filing with the SEC. Notwithstanding anything to the contrary in any of our previous or future filings under the Securities Act of 1933, as amended, or the Securities Exchange Act of 1934, as amended, that might incorporate this proxy statement or future filings with the SEC, in whole or in part, this report shall not be deemed to be incorporated by reference into any such filing.</w:t>
      </w:r>
    </w:p>
    <w:p>
      <w:pPr>
        <w:spacing w:after="0" w:line="16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Members of the Audit Committee of</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Hydrofarm Holdings Group, Inc.</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Mr. Richard D. Moss</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Ms. Melisa Denis</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Ms. Renah Persofsky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Section 16(a) of the Exchange Act requires our directors,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4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records reflect that all reports which were required to be filed with the SEC pursuant to Section 16(a) of the Securities Exchange Act of 1934, as amended, were filed on a timely basis, except that Form 4 reports, covering an aggregate of four (4) transactions, were filed late by Mr. Terence Fitch, Mr. Richard D. Moss, Ms. Melisa Denis and Ms. Susan P. Peters.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Our Audit Committee charter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all available information deemed relevant by the Audit Committee, including, but not limited to, the extent of the related person’s interest in the transaction, and whether the transaction is on terms no less favorable to us than terms we could have generally obtained from an unaffiliated third party under the same or similar circumstances. During the fiscal year ended December 31, 2020, we have engaged in the following transactions: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McDowell Lease Agreement</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former headquarters in Petaluma, California (“Petaluma HQ”) was leased, in part, from one of our former directors and one of our principal stockholders, Peter Wardenburg through his ownership interests in McDowell Group, LLC (“McDowell Group”). Mr. Wardenburg owns 50% of McDowell Group. We leased the Petaluma HQ on a month-to-month basis. In 2020, aggregate rent expense totaled approximately $1.3 million. In March 2020 we relocated our headquarters to 290 Canal Road, Fairless Hills, Pennsylvania 19030.</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Restricted Stock Unit Awards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During the year ending December 31, 2020, we made awards of 829,926 RSUs and options to purchase up to 150,119 shares of common stock. Of such awards, awards in the aggregate of 74,152 shares of common stock without any continued vesting or performance conditions, were made to certain executive officers and former directors (some of who were also our principal stockholders) and their affiliates: 14,831 RSUs each to Mr. Adam Stern, Mr. Chris Payne, Mr. John Tomes and a former employee of Serruya Private Equity and 3,707 RSUs each to Mr. Jack Serruya, Mr. Aaron Serruya, Mr. Michael Serruya and Mr. Simon Serruya. In addition, an award of 296,630 RSUs was made to Mr. Michael Rapoport which vests over time and only vests if certain trading price objectives are met following the offering.</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previously entered into the investor rights agreement (the “Investor Rights Agreement”) with the Serruya Private Equity, HF I Investments LLC, HF II Investments LLC, HF III Investments LLC, Hawthorn LP, Hydrofarm Co-Investment Fund I, LP, Arch Street Holdings I, LLC, Payne Capital Corp., the Wardenburg Family Trust and A.G.P./Alliance Global Partners and SternAegis Ventures (collectively, the “Sponsors”), which was amended in November 2020 to eliminate most rights, except for certain piggyback registration rights to certain of the Sponsors for the shares of our common stock held by such Sponsors, but not including the securities acquired by such Sponsors in connection with a concurrent offering which simultaneously closed with our October 2018 private placement (the “Private Placement”) and subsequently converted to our securities pursuant to the Merger (as defined below). Concurrently with the closing of the Private Placement, one of our wholly-owned subsidiaries merged with and into Hydrofarm Investment Corp. (“HIC”), with HIC becoming our wholly-owned subsidiary and continuing its and its subsidiaries’ existing business operations, including those of Hydrofarm, LLC, a subsidiary of HIC (the “Merger”). The resale of these additional shares of our common stock will be eligible to be registered through piggyback registration rights, which may be exercised in connection with any future registration statement that is filed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 “Indemnification Agreements”). Such Indemnification Agreements provide for indemnification against expenses, judgments, fines and penalties actually and reasonably incurred by an indemnitee in connection with threatened, pending or completed actions, suits or other proceedings, subject to certain limitations. The Indemnification Agreements also provide for the advancement of expenses in connection with a proceeding prior to a final, non-appealable judgment or other adjudication, provided that the indemnitee provides an undertaking to repay to us any amounts advanced if the indemnitee is ultimately found not to be entitled to indemnification by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Indemnification Agreements set forth procedures for making and responding to requests for indemnification or advancement of expenses, as well as dispute resolution procedures that will apply to any dispute between us and an indemnitee arising under the Indemnification Agreements.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actions constitute the recurring duties and responsibilities of our Audit Committee as set forth in the Audit Committee Charter. Our Audit Committee may alter or supplement these duties and responsibilities as appropriate under the circumstances, to the extent permitted by applicable law:</w:t>
      </w:r>
    </w:p>
    <w:p>
      <w:pPr>
        <w:spacing w:after="0" w:line="76" w:lineRule="exact"/>
        <w:rPr>
          <w:sz w:val="20"/>
          <w:szCs w:val="20"/>
          <w:color w:val="auto"/>
        </w:rPr>
      </w:pPr>
    </w:p>
    <w:p>
      <w:pPr>
        <w:jc w:val="both"/>
        <w:ind w:left="1000" w:right="299" w:hanging="348"/>
        <w:spacing w:after="0" w:line="25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approve, prior to the Company’s entry into any such transactions, all transactions involving amounts equal to or greater than $120,000 in which the Company is or will be a participant, which would be reportable by the Company under Item 404 of Regulation S-K promulgated under the Securities Act as a result of any of the following persons having or expected to have a direct or indirect material interest (a “Related Person Transaction”):</w:t>
      </w:r>
    </w:p>
    <w:p>
      <w:pPr>
        <w:sectPr>
          <w:pgSz w:w="11900" w:h="16838" w:orient="portrait"/>
          <w:cols w:equalWidth="0" w:num="1">
            <w:col w:w="9019"/>
          </w:cols>
          <w:pgMar w:left="1440" w:top="265" w:right="1440" w:bottom="1440" w:gutter="0" w:footer="0" w:header="0"/>
        </w:sectPr>
      </w:pPr>
    </w:p>
    <w:p>
      <w:pPr>
        <w:spacing w:after="0" w:line="84"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beneficial holders of more than 5% of the Company’s securities;</w:t>
      </w:r>
    </w:p>
    <w:p>
      <w:pPr>
        <w:spacing w:after="0" w:line="11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immediate family members (as defined by Item 404 of Regulation S-K promulgated under the Securities Act) of or entities affiliated with any of the foregoing persons; and</w:t>
      </w:r>
    </w:p>
    <w:p>
      <w:pPr>
        <w:spacing w:after="0" w:line="62"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any other persons whom the board of directors determines may be considered to be related persons as defined by Item 404 of Regulation S-K promulgated under the Securities Act.</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299" w:hanging="348"/>
        <w:spacing w:after="0" w:line="270"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request for a Related Person Transaction must first be presented to the Audit Committee for review, consideration and approval. In reviewing, considering, and approving or rejecting such transactions, the Audit Committee shall obtain, or shall consider all available information that the Audit Committee believes to be relevant to a review of the transaction prior to its approval including, but not limited to, the extent of the related person’s interest in the transaction, and whether the transaction is on terms no less favorable to the Company than terms the Company could have generally obtained from an unaffiliated third party under the same or similar circumstances. Following such consideration, approval may be given by written consent of the Audit Committee. No Related Person Transaction shall be entered into prior to the completion of these procedures.</w:t>
      </w:r>
    </w:p>
    <w:p>
      <w:pPr>
        <w:spacing w:after="0" w:line="72" w:lineRule="exact"/>
        <w:rPr>
          <w:rFonts w:ascii="Arial" w:cs="Arial" w:eastAsia="Arial" w:hAnsi="Arial"/>
          <w:sz w:val="17"/>
          <w:szCs w:val="17"/>
          <w:color w:val="auto"/>
        </w:rPr>
      </w:pPr>
    </w:p>
    <w:p>
      <w:pPr>
        <w:jc w:val="both"/>
        <w:ind w:left="1000" w:right="299" w:hanging="348"/>
        <w:spacing w:after="0" w:line="25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 Committee or the chairperson of the Audit Committee, as the case may be, shall approve only those Related Person Transactions that are determined to be in, or not inconsistent with, the best interests of the Company and its stockholders. No member of the Audit Committee shall participate in any review, consideration or approval of any related person transaction with respect to which the member or any of his or her immediate family members has an interest.</w:t>
      </w:r>
    </w:p>
    <w:p>
      <w:pPr>
        <w:spacing w:after="0" w:line="79"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 Committee shall adopt any further policies and procedures relating to the approval of Related Person Transactions that it deems necessary or advisable from time to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November 10, 2020, our board of directors nominated Mr. William Toler and Mr. Patrick Chung for election at the annual meeting. Our board of directors currently consists of six (6) members, classified into three (3) classes as follows: (i) Mr. Toler and Mr. Chung constitute a class of directors with a term ending in 2021; (y) Ms. Persofsky and Ms. Denis constitute a class of directors with a term ending in 2022; and (z) Mr. Richard D. Moss and Ms. Susan P. Peters constitute a constitute a class of directors with a term ending in 2023. At each annual meeting of stockholders, directors are elected for a full term of three (3) years to succeed those directors whose terms are expiring.</w:t>
      </w:r>
    </w:p>
    <w:p>
      <w:pPr>
        <w:spacing w:after="0" w:line="8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board of directors has voted to nominate Mr. Toler and Mr. Chung, for election at the annual meeting for a term of three (3) years to serve until the 2024 annual meeting of stockholders, and until their respective successors are elected and qualified. The Class II directors (Ms. Persofsky and Ms. Denis) and the Class III directors (Mr. Moss and Ms. Peters) will serve until the annual meeting of stockholders to be held in 2022 and 2023, respectively, and until their respective successors have been elected and qualified.</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Unless authority to vote for either of the nominees is withheld, the shares represented by the enclosed proxy will be voted FOR the election of Mr. Toler and Mr. Chung as directors. In the event that either nominee becomes unable or unwilling to serve, the shares represented by the enclosed proxy will be voted for the election of such other person as our board of directors may recommend in that nominee’s place. We have no reason to believe that either nominee will be unable or unwilling to serve as a director.</w:t>
      </w:r>
    </w:p>
    <w:p>
      <w:pPr>
        <w:spacing w:after="0" w:line="134" w:lineRule="exact"/>
        <w:rPr>
          <w:sz w:val="20"/>
          <w:szCs w:val="20"/>
          <w:color w:val="auto"/>
        </w:rPr>
      </w:pPr>
    </w:p>
    <w:p>
      <w:pPr>
        <w:ind w:left="700" w:right="439" w:hanging="45"/>
        <w:spacing w:after="0" w:line="340" w:lineRule="auto"/>
        <w:rPr>
          <w:sz w:val="20"/>
          <w:szCs w:val="20"/>
          <w:color w:val="auto"/>
        </w:rPr>
      </w:pPr>
      <w:r>
        <w:rPr>
          <w:rFonts w:ascii="Arial" w:cs="Arial" w:eastAsia="Arial" w:hAnsi="Arial"/>
          <w:sz w:val="17"/>
          <w:szCs w:val="17"/>
          <w:color w:val="auto"/>
        </w:rPr>
        <w:t xml:space="preserve">A plurality of the shares voted for each nominee at the meeting is required to elect each nominee as a director. </w:t>
      </w:r>
      <w:r>
        <w:rPr>
          <w:rFonts w:ascii="Arial" w:cs="Arial" w:eastAsia="Arial" w:hAnsi="Arial"/>
          <w:sz w:val="17"/>
          <w:szCs w:val="17"/>
          <w:b w:val="1"/>
          <w:bCs w:val="1"/>
          <w:color w:val="auto"/>
        </w:rPr>
        <w:t>OUR BOARD OF DIRECTORS RECOMMENDS THE ELECTION OF WILLIAM TOLER AND</w:t>
      </w:r>
    </w:p>
    <w:p>
      <w:pPr>
        <w:jc w:val="center"/>
        <w:ind w:left="300" w:right="319"/>
        <w:spacing w:after="0" w:line="255" w:lineRule="auto"/>
        <w:rPr>
          <w:sz w:val="20"/>
          <w:szCs w:val="20"/>
          <w:color w:val="auto"/>
        </w:rPr>
      </w:pPr>
      <w:r>
        <w:rPr>
          <w:rFonts w:ascii="Arial" w:cs="Arial" w:eastAsia="Arial" w:hAnsi="Arial"/>
          <w:sz w:val="18"/>
          <w:szCs w:val="18"/>
          <w:b w:val="1"/>
          <w:bCs w:val="1"/>
          <w:color w:val="auto"/>
        </w:rPr>
        <w:t>PATRICK CHUNG AS DIRECTORS, AND PROXIES SOLICITED BY OUR BOARD OF DIRECTORS WILL BE VOTED IN FAVOR THEREOF UNLESS A STOCKHOLDER HAS INDICATED OTHERWISE ON THE PROXY.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Audit Committee has appointed Deloitte &amp; Touche LLP, or Deloitte, as our independent registered public accounting firm, to audit our financial statements for the fiscal year ending December 31, 2021. Deloitte has served as our independent registered public accounting firm since September 24, 2019. Our board of directors proposes that the stockholders ratify this appointment. Deloitte audited our financial statements for the fiscal year ended December 31, 2020. We expect that representatives of Deloitte will be present at the annual meeting, will be able to make a statement if they so desire, and will be available to respond to appropriate questions.</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In deciding to appoint Deloitte, the Audit Committee reviewed auditor independence issues and existing commercial relationships with Deloitte and concluded that Deloitte has no commercial relationship with the Company that would impair its independence for the fiscal year ending December 31, 2021.</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following table presents fees for professional audit services rendered by Deloitte for the audit of the Company’s annual financial statements for the years ended December 31, 2020, and December 31, 2019.</w:t>
      </w:r>
    </w:p>
    <w:p>
      <w:pPr>
        <w:spacing w:after="0" w:line="9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2020</w:t>
            </w:r>
          </w:p>
        </w:tc>
      </w:tr>
      <w:tr>
        <w:trPr>
          <w:trHeight w:val="53"/>
        </w:trPr>
        <w:tc>
          <w:tcPr>
            <w:tcW w:w="66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31"/>
        </w:trPr>
        <w:tc>
          <w:tcPr>
            <w:tcW w:w="6640" w:type="dxa"/>
            <w:vAlign w:val="bottom"/>
            <w:shd w:val="clear" w:color="auto" w:fill="CCEEFF"/>
          </w:tcPr>
          <w:p>
            <w:pPr>
              <w:spacing w:after="0" w:line="331" w:lineRule="exact"/>
              <w:rPr>
                <w:sz w:val="20"/>
                <w:szCs w:val="20"/>
                <w:color w:val="auto"/>
              </w:rPr>
            </w:pPr>
            <w:r>
              <w:rPr>
                <w:rFonts w:ascii="Arial" w:cs="Arial" w:eastAsia="Arial" w:hAnsi="Arial"/>
                <w:sz w:val="18"/>
                <w:szCs w:val="18"/>
                <w:b w:val="1"/>
                <w:bCs w:val="1"/>
                <w:color w:val="auto"/>
              </w:rPr>
              <w:t>Audit fees:</w:t>
            </w:r>
            <w:r>
              <w:rPr>
                <w:rFonts w:ascii="Arial" w:cs="Arial" w:eastAsia="Arial" w:hAnsi="Arial"/>
                <w:sz w:val="29"/>
                <w:szCs w:val="29"/>
                <w:b w:val="1"/>
                <w:bCs w:val="1"/>
                <w:color w:val="auto"/>
                <w:vertAlign w:val="superscript"/>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$1,681,611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$2,897,053</w:t>
            </w:r>
          </w:p>
        </w:tc>
      </w:tr>
      <w:tr>
        <w:trPr>
          <w:trHeight w:val="270"/>
        </w:trPr>
        <w:tc>
          <w:tcPr>
            <w:tcW w:w="6640" w:type="dxa"/>
            <w:vAlign w:val="bottom"/>
          </w:tcPr>
          <w:p>
            <w:pPr>
              <w:spacing w:after="0" w:line="270" w:lineRule="exact"/>
              <w:rPr>
                <w:sz w:val="20"/>
                <w:szCs w:val="20"/>
                <w:color w:val="auto"/>
              </w:rPr>
            </w:pPr>
            <w:r>
              <w:rPr>
                <w:rFonts w:ascii="Arial" w:cs="Arial" w:eastAsia="Arial" w:hAnsi="Arial"/>
                <w:sz w:val="18"/>
                <w:szCs w:val="18"/>
                <w:b w:val="1"/>
                <w:bCs w:val="1"/>
                <w:color w:val="auto"/>
              </w:rPr>
              <w:t>Audit related fees:</w:t>
            </w:r>
            <w:r>
              <w:rPr>
                <w:rFonts w:ascii="Arial" w:cs="Arial" w:eastAsia="Arial" w:hAnsi="Arial"/>
                <w:sz w:val="29"/>
                <w:szCs w:val="29"/>
                <w:b w:val="1"/>
                <w:bCs w:val="1"/>
                <w:color w:val="auto"/>
                <w:vertAlign w:val="superscript"/>
              </w:rPr>
              <w:t>(2)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73,290</w:t>
            </w:r>
          </w:p>
        </w:tc>
      </w:tr>
      <w:tr>
        <w:trPr>
          <w:trHeight w:val="48"/>
        </w:trPr>
        <w:tc>
          <w:tcPr>
            <w:tcW w:w="66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r>
      <w:tr>
        <w:trPr>
          <w:trHeight w:val="283"/>
        </w:trPr>
        <w:tc>
          <w:tcPr>
            <w:tcW w:w="66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$1,681,611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$2,970,343</w:t>
            </w:r>
          </w:p>
        </w:tc>
      </w:tr>
      <w:tr>
        <w:trPr>
          <w:trHeight w:val="54"/>
        </w:trPr>
        <w:tc>
          <w:tcPr>
            <w:tcW w:w="66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-650875</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-650875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55"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Audit fees include fees and related expenses for professional services rendered in connection with the annual audit of the Company’s financial statements and the review of the Company’s interim financial statements, as well as fees for services that generally only the independent registered public accounting firm can be reasonably expected to provide, including comfort letters, consents, and review of registration statements filed with the SEC including fees related to our initial public offering in the year ended December 31, 2020.</w:t>
      </w:r>
    </w:p>
    <w:p>
      <w:pPr>
        <w:spacing w:after="0" w:line="12" w:lineRule="exact"/>
        <w:rPr>
          <w:rFonts w:ascii="Arial" w:cs="Arial" w:eastAsia="Arial" w:hAnsi="Arial"/>
          <w:sz w:val="13"/>
          <w:szCs w:val="13"/>
          <w:color w:val="auto"/>
        </w:rPr>
      </w:pPr>
    </w:p>
    <w:p>
      <w:pPr>
        <w:jc w:val="both"/>
        <w:ind w:left="640" w:right="319" w:hanging="348"/>
        <w:spacing w:after="0" w:line="264"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Audit related fees consist of fees and related expenses for products and services other than services described under “Audit Fees”. These products and services included, among others, due diligence related to potential acquisitions and the cost of a subscription to an accounting research tool. There were no amounts billed for audit-related fees during the year ended December 31, 2019.</w:t>
      </w:r>
    </w:p>
    <w:p>
      <w:pPr>
        <w:spacing w:after="0" w:line="6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All fees described above were pre-approved by the Audit Committee. We have furnished the foregoing disclosure to Deloitte.</w:t>
      </w:r>
    </w:p>
    <w:p>
      <w:pPr>
        <w:spacing w:after="0" w:line="166" w:lineRule="exact"/>
        <w:rPr>
          <w:sz w:val="20"/>
          <w:szCs w:val="20"/>
          <w:color w:val="auto"/>
        </w:rPr>
      </w:pPr>
    </w:p>
    <w:p>
      <w:pPr>
        <w:jc w:val="both"/>
        <w:ind w:left="300" w:right="319"/>
        <w:spacing w:after="0" w:line="282"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Public Accountant</w:t>
      </w:r>
    </w:p>
    <w:p>
      <w:pPr>
        <w:spacing w:after="0" w:line="5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76" w:lineRule="exact"/>
        <w:rPr>
          <w:sz w:val="20"/>
          <w:szCs w:val="20"/>
          <w:color w:val="auto"/>
        </w:rPr>
      </w:pPr>
    </w:p>
    <w:p>
      <w:pPr>
        <w:jc w:val="both"/>
        <w:ind w:left="640" w:right="299" w:hanging="348"/>
        <w:spacing w:after="0" w:line="259"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w:t>
      </w:r>
      <w:r>
        <w:rPr>
          <w:rFonts w:ascii="Arial" w:cs="Arial" w:eastAsia="Arial" w:hAnsi="Arial"/>
          <w:sz w:val="18"/>
          <w:szCs w:val="18"/>
          <w:color w:val="auto"/>
        </w:rPr>
        <w:t>services include audit work performed in the preparation of financial statements, as well as work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only an independent registered public accounting firm can reasonably be expected to provide, including comfort letters, statutory audits, and attest services and consultation regarding financial accounting and/or reporting standards.</w:t>
      </w:r>
    </w:p>
    <w:p>
      <w:pPr>
        <w:spacing w:after="0" w:line="78" w:lineRule="exact"/>
        <w:rPr>
          <w:rFonts w:ascii="Arial" w:cs="Arial" w:eastAsia="Arial" w:hAnsi="Arial"/>
          <w:sz w:val="18"/>
          <w:szCs w:val="18"/>
          <w:color w:val="auto"/>
        </w:rPr>
      </w:pPr>
    </w:p>
    <w:p>
      <w:pPr>
        <w:jc w:val="both"/>
        <w:ind w:left="640" w:right="299" w:hanging="348"/>
        <w:spacing w:after="0" w:line="286"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Audit-Related </w:t>
      </w:r>
      <w:r>
        <w:rPr>
          <w:rFonts w:ascii="Arial" w:cs="Arial" w:eastAsia="Arial" w:hAnsi="Arial"/>
          <w:sz w:val="17"/>
          <w:szCs w:val="17"/>
          <w:color w:val="auto"/>
        </w:rPr>
        <w:t>services are for assurance and related services that are traditionally performed by an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registered public accounting firm, including due diligence related to mergers and acquisitions, employee benefit plan audits, and special procedures required to meet certain regulatory requirements.</w:t>
      </w:r>
    </w:p>
    <w:p>
      <w:pPr>
        <w:spacing w:after="0" w:line="57" w:lineRule="exact"/>
        <w:rPr>
          <w:rFonts w:ascii="Arial" w:cs="Arial" w:eastAsia="Arial" w:hAnsi="Arial"/>
          <w:sz w:val="17"/>
          <w:szCs w:val="17"/>
          <w:color w:val="auto"/>
        </w:rPr>
      </w:pPr>
    </w:p>
    <w:p>
      <w:pPr>
        <w:jc w:val="both"/>
        <w:ind w:left="640" w:right="319" w:hanging="348"/>
        <w:spacing w:after="0" w:line="263"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services include all services performed by an independent registered public accounting firm’s tax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those services specifically related to the audit of the financial statements, and includes fees in the areas of tax compliance, tax planning, and tax advice.</w:t>
      </w:r>
    </w:p>
    <w:p>
      <w:pPr>
        <w:spacing w:after="0" w:line="75" w:lineRule="exact"/>
        <w:rPr>
          <w:rFonts w:ascii="Arial" w:cs="Arial" w:eastAsia="Arial" w:hAnsi="Arial"/>
          <w:sz w:val="18"/>
          <w:szCs w:val="18"/>
          <w:color w:val="auto"/>
        </w:rPr>
      </w:pPr>
    </w:p>
    <w:p>
      <w:pPr>
        <w:ind w:left="640" w:right="299" w:hanging="348"/>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Fees </w:t>
      </w:r>
      <w:r>
        <w:rPr>
          <w:rFonts w:ascii="Arial" w:cs="Arial" w:eastAsia="Arial" w:hAnsi="Arial"/>
          <w:sz w:val="18"/>
          <w:szCs w:val="18"/>
          <w:color w:val="auto"/>
        </w:rPr>
        <w:t>are those associated with services not captured in the other categories. The Company generally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request such services from our independent registered public accounting firm.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the event the stockholders do not ratify the appointment of Deloitte as our independent registered public accounting firm, the Audit Committee will reconsider its appointment.</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affirmative vote of a majority of the shares cast at the annual meeting is required to ratify the appointment of the independent registered public accounting firm.</w:t>
      </w:r>
    </w:p>
    <w:p>
      <w:pPr>
        <w:spacing w:after="0" w:line="5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OUR BOARD OF DIRECTORS RECOMMENDS A VOTE TO RATIFY THE APPOINTMENT OF DELOITTE AS OUR INDEPENDENT REGISTERED PUBLIC ACCOUNTING FIRM, AND PROXIES SOLICITED BY OUR BOARD OF DIRECTORS WILL BE VOTED IN FAVOR OF SUCH RATIFICATION UNLESS A STOCKHOLDER INDICATES OTHERWISE ON THE PROXY.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We have adopted a code of conduct and ethics that applies to all of our employees, including our Chief Executive Officer and Chief Financial Officer. The text of the code of conduct and ethics is posted on our website at </w:t>
      </w:r>
      <w:r>
        <w:rPr>
          <w:rFonts w:ascii="Arial" w:cs="Arial" w:eastAsia="Arial" w:hAnsi="Arial"/>
          <w:sz w:val="17"/>
          <w:szCs w:val="17"/>
          <w:i w:val="1"/>
          <w:iCs w:val="1"/>
          <w:color w:val="auto"/>
        </w:rPr>
        <w:t xml:space="preserve">www.hydrofarm.com </w:t>
      </w:r>
      <w:r>
        <w:rPr>
          <w:rFonts w:ascii="Arial" w:cs="Arial" w:eastAsia="Arial" w:hAnsi="Arial"/>
          <w:sz w:val="17"/>
          <w:szCs w:val="17"/>
          <w:color w:val="auto"/>
        </w:rPr>
        <w:t>is filed with the SEC as an exhibit to our Annual Report on Form 10-K will be made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to stockholders without charge, upon request, in writing to the Secretary at Hydrofarm Holdings Group, Inc., 290 Canal Road, Fairless Hills, Pennsylvania 19030. Disclosure regarding any amendments to, or waivers from, provisions of the code of conduct and ethics that apply to our directors, principal executive officer and principal financial officer will be included in a Current Report on Form 8-K within four business days following the date of the amendment or waiver, unless website posting or the issuance of a press release of such amendments or waivers is then permitted by the rules of the Nasdaq Stock Market.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To be considered for inclusion in the proxy statement relating to our 2021 annual meeting of stockholders, we must receive stockholder proposals (other than for director nominations) no later than December 24, 2020. To be considered for presentation at the 2021 annual meeting, although not included in the proxy statement, proposals (including director nominations that are not requested to be included in our proxy statement) must be received no earlier than February 8, 2022 and no later than March 10, 2022. Proposals that are not received in a timely manner will not be voted on at the 2021 annual meeting. If a proposal is received on time, the proxies that management solicits for the meeting may still exercise discretionary voting authority on the proposal under circumstances consistent with the proxy rules of the SEC. All stockholder proposals should be sent to Hydrofarm Holdings Group, Inc., 290 Canal Road, Fairless Hills, Pennsylvania 19030, Attn: Secretary.</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288925</wp:posOffset>
            </wp:positionV>
            <wp:extent cx="1457325" cy="531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William Toler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Chairman of the Board of Directors and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Executive Officer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Fairless Hills, Pennsylvania</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7612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761238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92075</wp:posOffset>
            </wp:positionV>
            <wp:extent cx="5666105" cy="7338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6105" cy="733806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707"/>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707"/>
    </w:lvl>
    <w:lvl w:ilvl="1">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2021-04-26T05:36:51Z</dcterms:created>
  <dcterms:modified xsi:type="dcterms:W3CDTF">2021-04-26T05:36:51Z</dcterms:modified>
</cp:coreProperties>
</file>