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380" w:right="60"/>
        <w:spacing w:after="0" w:line="25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-241300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86"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-694690</wp:posOffset>
            </wp:positionV>
            <wp:extent cx="128905"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5173345</wp:posOffset>
            </wp:positionH>
            <wp:positionV relativeFrom="paragraph">
              <wp:posOffset>4445</wp:posOffset>
            </wp:positionV>
            <wp:extent cx="59690" cy="670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70560"/>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4445</wp:posOffset>
            </wp:positionV>
            <wp:extent cx="59690" cy="670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670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7"/>
        </w:trPr>
        <w:tc>
          <w:tcPr>
            <w:tcW w:w="6160" w:type="dxa"/>
            <w:vAlign w:val="bottom"/>
            <w:vMerge w:val="restart"/>
          </w:tcPr>
          <w:p>
            <w:pPr>
              <w:jc w:val="center"/>
              <w:ind w:right="245"/>
              <w:spacing w:after="0" w:line="237"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4"/>
                <w:szCs w:val="4"/>
                <w:color w:val="auto"/>
              </w:rPr>
            </w:pPr>
          </w:p>
        </w:tc>
        <w:tc>
          <w:tcPr>
            <w:tcW w:w="2020" w:type="dxa"/>
            <w:vAlign w:val="bottom"/>
            <w:tcBorders>
              <w:top w:val="single" w:sz="8" w:color="808080"/>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6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Borders>
              <w:top w:val="single" w:sz="8" w:color="2C2C2C"/>
            </w:tcBorders>
            <w:gridSpan w:val="2"/>
          </w:tcPr>
          <w:p>
            <w:pPr>
              <w:ind w:left="300"/>
              <w:spacing w:after="0" w:line="170" w:lineRule="exact"/>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160" w:type="dxa"/>
            <w:vAlign w:val="bottom"/>
            <w:vMerge w:val="restart"/>
          </w:tcPr>
          <w:p>
            <w:pPr>
              <w:jc w:val="center"/>
              <w:ind w:right="265"/>
              <w:spacing w:after="0"/>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
        </w:trPr>
        <w:tc>
          <w:tcPr>
            <w:tcW w:w="6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6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60" w:type="dxa"/>
            <w:vAlign w:val="bottom"/>
            <w:vMerge w:val="restart"/>
          </w:tcPr>
          <w:p>
            <w:pPr>
              <w:jc w:val="center"/>
              <w:ind w:right="24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90"/>
        </w:trPr>
        <w:tc>
          <w:tcPr>
            <w:tcW w:w="6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center"/>
        <w:ind w:right="2560"/>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ind w:right="256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-1734185</wp:posOffset>
            </wp:positionH>
            <wp:positionV relativeFrom="paragraph">
              <wp:posOffset>771525</wp:posOffset>
            </wp:positionV>
            <wp:extent cx="7056120" cy="5634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6120" cy="5634355"/>
                    </a:xfrm>
                    <a:prstGeom prst="rect">
                      <a:avLst/>
                    </a:prstGeom>
                    <a:noFill/>
                  </pic:spPr>
                </pic:pic>
              </a:graphicData>
            </a:graphic>
          </wp:anchor>
        </w:drawing>
      </w:r>
    </w:p>
    <w:p>
      <w:pPr>
        <w:spacing w:after="0" w:line="1226" w:lineRule="exact"/>
        <w:rPr>
          <w:sz w:val="24"/>
          <w:szCs w:val="24"/>
          <w:color w:val="auto"/>
        </w:rPr>
      </w:pPr>
    </w:p>
    <w:p>
      <w:pPr>
        <w:sectPr>
          <w:pgSz w:w="11920" w:h="16838" w:orient="portrait"/>
          <w:cols w:equalWidth="0" w:num="2">
            <w:col w:w="2300" w:space="420"/>
            <w:col w:w="8380"/>
          </w:cols>
          <w:pgMar w:left="460" w:top="215" w:right="358"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gridSpan w:val="3"/>
            <w:vMerge w:val="restart"/>
          </w:tcPr>
          <w:p>
            <w:pPr>
              <w:spacing w:after="0" w:line="251" w:lineRule="exact"/>
              <w:rPr>
                <w:rFonts w:ascii="Times New Roman" w:cs="Times New Roman" w:eastAsia="Times New Roman" w:hAnsi="Times New Roman"/>
                <w:sz w:val="22"/>
                <w:szCs w:val="22"/>
                <w:color w:val="0000EE"/>
                <w:w w:val="96"/>
              </w:rPr>
            </w:pPr>
            <w:hyperlink r:id="rId13">
              <w:r>
                <w:rPr>
                  <w:rFonts w:ascii="Times New Roman" w:cs="Times New Roman" w:eastAsia="Times New Roman" w:hAnsi="Times New Roman"/>
                  <w:sz w:val="22"/>
                  <w:szCs w:val="22"/>
                  <w:color w:val="0000EE"/>
                  <w:w w:val="96"/>
                </w:rPr>
                <w:t>Yetter Richard Christopher</w:t>
              </w:r>
            </w:hyperlink>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740" w:type="dxa"/>
            <w:vAlign w:val="bottom"/>
            <w:gridSpan w:val="9"/>
          </w:tcPr>
          <w:p>
            <w:pPr>
              <w:ind w:left="60"/>
              <w:spacing w:after="0" w:line="109"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HYDROFARM HOLDINGS GROUP,</w:t>
              </w:r>
            </w:hyperlink>
          </w:p>
        </w:tc>
        <w:tc>
          <w:tcPr>
            <w:tcW w:w="100" w:type="dxa"/>
            <w:vAlign w:val="bottom"/>
          </w:tcPr>
          <w:p>
            <w:pPr>
              <w:spacing w:after="0"/>
              <w:rPr>
                <w:sz w:val="9"/>
                <w:szCs w:val="9"/>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5"/>
            <w:vMerge w:val="restart"/>
          </w:tcPr>
          <w:p>
            <w:pPr>
              <w:ind w:left="60"/>
              <w:spacing w:after="0" w:line="230" w:lineRule="exact"/>
              <w:rPr>
                <w:rFonts w:ascii="Times New Roman" w:cs="Times New Roman" w:eastAsia="Times New Roman" w:hAnsi="Times New Roman"/>
                <w:sz w:val="22"/>
                <w:szCs w:val="22"/>
                <w:color w:val="0000EE"/>
              </w:rPr>
            </w:pPr>
            <w:hyperlink r:id="rId14">
              <w:r>
                <w:rPr>
                  <w:rFonts w:ascii="Times New Roman" w:cs="Times New Roman" w:eastAsia="Times New Roman" w:hAnsi="Times New Roman"/>
                  <w:sz w:val="22"/>
                  <w:szCs w:val="22"/>
                  <w:color w:val="0000EE"/>
                </w:rPr>
                <w:t xml:space="preserve">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HYFM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320" w:type="dxa"/>
            <w:vAlign w:val="bottom"/>
            <w:gridSpan w:val="3"/>
          </w:tcPr>
          <w:p>
            <w:pPr>
              <w:spacing w:after="0"/>
              <w:rPr>
                <w:sz w:val="6"/>
                <w:szCs w:val="6"/>
                <w:color w:val="auto"/>
              </w:rPr>
            </w:pPr>
          </w:p>
        </w:tc>
        <w:tc>
          <w:tcPr>
            <w:tcW w:w="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520" w:type="dxa"/>
            <w:vAlign w:val="bottom"/>
            <w:gridSpan w:val="5"/>
            <w:vMerge w:val="continue"/>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92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60" w:type="dxa"/>
            <w:vAlign w:val="bottom"/>
            <w:tcBorders>
              <w:bottom w:val="single" w:sz="8" w:color="9A9A9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780" w:type="dxa"/>
            <w:vAlign w:val="bottom"/>
            <w:gridSpan w:val="3"/>
            <w:vMerge w:val="restart"/>
          </w:tcPr>
          <w:p>
            <w:pPr>
              <w:ind w:left="620"/>
              <w:spacing w:after="0"/>
              <w:rPr>
                <w:sz w:val="20"/>
                <w:szCs w:val="20"/>
                <w:color w:val="auto"/>
              </w:rPr>
            </w:pPr>
            <w:r>
              <w:rPr>
                <w:rFonts w:ascii="Arial" w:cs="Arial" w:eastAsia="Arial" w:hAnsi="Arial"/>
                <w:sz w:val="14"/>
                <w:szCs w:val="14"/>
                <w:color w:val="auto"/>
              </w:rPr>
              <w:t>(First)</w:t>
            </w:r>
          </w:p>
        </w:tc>
        <w:tc>
          <w:tcPr>
            <w:tcW w:w="580" w:type="dxa"/>
            <w:vAlign w:val="bottom"/>
            <w:vMerge w:val="restart"/>
          </w:tcPr>
          <w:p>
            <w:pPr>
              <w:ind w:left="60"/>
              <w:spacing w:after="0"/>
              <w:rPr>
                <w:sz w:val="20"/>
                <w:szCs w:val="20"/>
                <w:color w:val="auto"/>
              </w:rPr>
            </w:pPr>
            <w:r>
              <w:rPr>
                <w:rFonts w:ascii="Arial" w:cs="Arial" w:eastAsia="Arial" w:hAnsi="Arial"/>
                <w:sz w:val="14"/>
                <w:szCs w:val="14"/>
                <w:color w:val="auto"/>
                <w:w w:val="98"/>
              </w:rPr>
              <w:t>(Middle)</w:t>
            </w: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4"/>
                <w:szCs w:val="14"/>
                <w:color w:val="auto"/>
                <w:w w:val="99"/>
              </w:rPr>
              <w:t>3. Date of Earliest Transaction (Month/Day/Year)</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100" w:type="dxa"/>
            <w:vAlign w:val="bottom"/>
            <w:gridSpan w:val="7"/>
            <w:vMerge w:val="continue"/>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1510 MAIN STREET</w:t>
            </w: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0000FF"/>
              </w:rPr>
              <w:t>06/23/2026</w:t>
            </w: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292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820" w:type="dxa"/>
            <w:vAlign w:val="bottom"/>
            <w:tcBorders>
              <w:bottom w:val="single" w:sz="8" w:color="2C2C2C"/>
            </w:tcBorders>
            <w:gridSpan w:val="4"/>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740" w:type="dxa"/>
            <w:vAlign w:val="bottom"/>
            <w:gridSpan w:val="9"/>
            <w:vMerge w:val="restart"/>
          </w:tcPr>
          <w:p>
            <w:pPr>
              <w:ind w:left="60"/>
              <w:spacing w:after="0"/>
              <w:rPr>
                <w:sz w:val="20"/>
                <w:szCs w:val="20"/>
                <w:color w:val="auto"/>
              </w:rPr>
            </w:pPr>
            <w:r>
              <w:rPr>
                <w:rFonts w:ascii="Arial" w:cs="Arial" w:eastAsia="Arial" w:hAnsi="Arial"/>
                <w:sz w:val="14"/>
                <w:szCs w:val="14"/>
                <w:color w:val="auto"/>
              </w:rPr>
              <w:t>4. If Amendment, Date of Original Filed (Month/Day/Year)</w:t>
            </w:r>
          </w:p>
        </w:tc>
        <w:tc>
          <w:tcPr>
            <w:tcW w:w="100" w:type="dxa"/>
            <w:vAlign w:val="bottom"/>
            <w:vMerge w:val="restart"/>
          </w:tcPr>
          <w:p>
            <w:pPr>
              <w:spacing w:after="0"/>
              <w:rPr>
                <w:sz w:val="6"/>
                <w:szCs w:val="6"/>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740" w:type="dxa"/>
            <w:vAlign w:val="bottom"/>
            <w:gridSpan w:val="9"/>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Arial" w:cs="Arial" w:eastAsia="Arial" w:hAnsi="Arial"/>
                <w:sz w:val="14"/>
                <w:szCs w:val="14"/>
                <w:color w:val="auto"/>
              </w:rPr>
              <w:t>Line)</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SHOEMAKERSVILLE PA</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0000FF"/>
              </w:rPr>
              <w:t>19555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6"/>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40" w:type="dxa"/>
            <w:vAlign w:val="bottom"/>
            <w:gridSpan w:val="6"/>
          </w:tcPr>
          <w:p>
            <w:pPr>
              <w:ind w:left="140"/>
              <w:spacing w:after="0" w:line="145"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780" w:type="dxa"/>
            <w:vAlign w:val="bottom"/>
            <w:gridSpan w:val="3"/>
            <w:vMerge w:val="restart"/>
          </w:tcPr>
          <w:p>
            <w:pPr>
              <w:ind w:left="620"/>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920" w:type="dxa"/>
            <w:vAlign w:val="bottom"/>
            <w:tcBorders>
              <w:bottom w:val="single" w:sz="8" w:color="2C2C2C"/>
            </w:tcBorders>
            <w:gridSpan w:val="5"/>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800" w:type="dxa"/>
            <w:vAlign w:val="bottom"/>
            <w:tcBorders>
              <w:top w:val="single" w:sz="8" w:color="2C2C2C"/>
            </w:tcBorders>
            <w:gridSpan w:val="21"/>
          </w:tcPr>
          <w:p>
            <w:pPr>
              <w:ind w:left="6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5"/>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gridSpan w:val="2"/>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4"/>
                <w:szCs w:val="14"/>
                <w:color w:val="auto"/>
              </w:rPr>
            </w:pPr>
          </w:p>
        </w:tc>
        <w:tc>
          <w:tcPr>
            <w:tcW w:w="340" w:type="dxa"/>
            <w:vAlign w:val="bottom"/>
            <w:gridSpan w:val="3"/>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gridSpan w:val="2"/>
          </w:tcPr>
          <w:p>
            <w:pPr>
              <w:ind w:left="180"/>
              <w:spacing w:after="0"/>
              <w:rPr>
                <w:sz w:val="20"/>
                <w:szCs w:val="20"/>
                <w:color w:val="auto"/>
              </w:rPr>
            </w:pPr>
            <w:r>
              <w:rPr>
                <w:rFonts w:ascii="Arial" w:cs="Arial" w:eastAsia="Arial" w:hAnsi="Arial"/>
                <w:sz w:val="12"/>
                <w:szCs w:val="12"/>
                <w:b w:val="1"/>
                <w:bCs w:val="1"/>
                <w:color w:val="auto"/>
              </w:rPr>
              <w:t>(D)</w:t>
            </w:r>
          </w:p>
        </w:tc>
        <w:tc>
          <w:tcPr>
            <w:tcW w:w="10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0000FF"/>
              </w:rPr>
              <w:t>Common Stock, $0.0001 par value per</w:t>
            </w:r>
          </w:p>
        </w:tc>
        <w:tc>
          <w:tcPr>
            <w:tcW w:w="114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8"/>
                <w:szCs w:val="18"/>
                <w:color w:val="0000FF"/>
              </w:rPr>
              <w:t>06/23/2026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0000FF"/>
              </w:rPr>
              <w:t>A</w:t>
            </w: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w w:val="90"/>
              </w:rPr>
              <w:t>30,000</w:t>
            </w:r>
            <w:r>
              <w:rPr>
                <w:rFonts w:ascii="Times New Roman" w:cs="Times New Roman" w:eastAsia="Times New Roman" w:hAnsi="Times New Roman"/>
                <w:sz w:val="22"/>
                <w:szCs w:val="22"/>
                <w:color w:val="008000"/>
                <w:w w:val="90"/>
                <w:vertAlign w:val="superscript"/>
              </w:rPr>
              <w:t>(1)</w:t>
            </w:r>
          </w:p>
        </w:tc>
        <w:tc>
          <w:tcPr>
            <w:tcW w:w="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0000FF"/>
              </w:rPr>
              <w:t>A</w:t>
            </w:r>
          </w:p>
        </w:tc>
        <w:tc>
          <w:tcPr>
            <w:tcW w:w="340" w:type="dxa"/>
            <w:vAlign w:val="bottom"/>
            <w:gridSpan w:val="3"/>
            <w:vMerge w:val="restart"/>
          </w:tcPr>
          <w:p>
            <w:pPr>
              <w:ind w:left="160"/>
              <w:spacing w:after="0"/>
              <w:rPr>
                <w:sz w:val="20"/>
                <w:szCs w:val="20"/>
                <w:color w:val="auto"/>
              </w:rPr>
            </w:pPr>
            <w:r>
              <w:rPr>
                <w:rFonts w:ascii="Arial" w:cs="Arial" w:eastAsia="Arial" w:hAnsi="Arial"/>
                <w:sz w:val="18"/>
                <w:szCs w:val="18"/>
                <w:color w:val="auto"/>
                <w:w w:val="83"/>
              </w:rPr>
              <w:t>$</w:t>
            </w:r>
            <w:r>
              <w:rPr>
                <w:rFonts w:ascii="Times New Roman" w:cs="Times New Roman" w:eastAsia="Times New Roman" w:hAnsi="Times New Roman"/>
                <w:sz w:val="18"/>
                <w:szCs w:val="18"/>
                <w:color w:val="0000FF"/>
                <w:w w:val="83"/>
              </w:rPr>
              <w:t>0</w:t>
            </w:r>
          </w:p>
        </w:tc>
        <w:tc>
          <w:tcPr>
            <w:tcW w:w="140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8"/>
                <w:szCs w:val="18"/>
                <w:color w:val="0000FF"/>
              </w:rPr>
              <w:t>50,000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Dumont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0000FF"/>
              </w:rPr>
              <w:t>Common Stock, $0.0001 par value per</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8"/>
                <w:szCs w:val="18"/>
                <w:color w:val="0000FF"/>
              </w:rPr>
              <w:t>305,000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Master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Fund</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5" w:lineRule="exact"/>
              <w:rPr>
                <w:sz w:val="20"/>
                <w:szCs w:val="20"/>
                <w:color w:val="auto"/>
              </w:rPr>
            </w:pPr>
            <w:r>
              <w:rPr>
                <w:rFonts w:ascii="Times New Roman" w:cs="Times New Roman" w:eastAsia="Times New Roman" w:hAnsi="Times New Roman"/>
                <w:sz w:val="33"/>
                <w:szCs w:val="33"/>
                <w:color w:val="0000FF"/>
                <w:vertAlign w:val="subscript"/>
              </w:rPr>
              <w:t>LP</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21"/>
          </w:tcPr>
          <w:p>
            <w:pPr>
              <w:jc w:val="center"/>
              <w:ind w:left="1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17"/>
          </w:tcPr>
          <w:p>
            <w:pPr>
              <w:jc w:val="center"/>
              <w:ind w:right="57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12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120"/>
              <w:spacing w:after="0" w:line="136"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5"/>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66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12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30,000 restricted stock units granted under the Issuer's 2020 Equity Incentive Plan which will vest on June 23, 2027.</w:t>
      </w:r>
    </w:p>
    <w:p>
      <w:pPr>
        <w:spacing w:after="0" w:line="42" w:lineRule="exact"/>
        <w:rPr>
          <w:rFonts w:ascii="Times New Roman" w:cs="Times New Roman" w:eastAsia="Times New Roman" w:hAnsi="Times New Roman"/>
          <w:sz w:val="14"/>
          <w:szCs w:val="14"/>
          <w:color w:val="008000"/>
        </w:rPr>
      </w:pPr>
    </w:p>
    <w:p>
      <w:pPr>
        <w:ind w:left="40" w:right="400" w:firstLine="9"/>
        <w:spacing w:after="0" w:line="242" w:lineRule="auto"/>
        <w:tabs>
          <w:tab w:leader="none" w:pos="173"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0000FF"/>
        </w:rPr>
        <w:t>/s/ Richard Christopher Yetter 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-10160</wp:posOffset>
            </wp:positionV>
            <wp:extent cx="1908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8175" cy="8890"/>
                    </a:xfrm>
                    <a:prstGeom prst="rect">
                      <a:avLst/>
                    </a:prstGeom>
                    <a:noFill/>
                  </pic:spPr>
                </pic:pic>
              </a:graphicData>
            </a:graphic>
          </wp:anchor>
        </w:drawing>
      </w:r>
    </w:p>
    <w:p>
      <w:pPr>
        <w:spacing w:after="0" w:line="4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4"/>
          <w:szCs w:val="14"/>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240" w:firstLine="9"/>
        <w:spacing w:after="0" w:line="351"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20" w:h="16838" w:orient="portrait"/>
      <w:cols w:equalWidth="0" w:num="1">
        <w:col w:w="11100"/>
      </w:cols>
      <w:pgMar w:left="460" w:top="215" w:right="358"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9900" TargetMode="External"/><Relationship Id="rId14" Type="http://schemas.openxmlformats.org/officeDocument/2006/relationships/hyperlink" Target="http://www.sec.gov/cgi-bin/browse-edgar?action=getcompany&amp;CIK=0001695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2026-06-25T15:49:52Z</dcterms:created>
  <dcterms:modified xsi:type="dcterms:W3CDTF">2026-06-25T15:49:52Z</dcterms:modified>
</cp:coreProperties>
</file>