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9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PARKER MARK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1510 MAIN STREET</w:t>
      </w:r>
    </w:p>
    <w:p>
      <w:pPr>
        <w:spacing w:after="0" w:line="33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2740" w:val="left"/>
        </w:tabs>
        <w:rPr>
          <w:sz w:val="20"/>
          <w:szCs w:val="20"/>
          <w:color w:val="auto"/>
        </w:rPr>
      </w:pPr>
      <w:r>
        <w:rPr>
          <w:rFonts w:ascii="Times New Roman" w:cs="Times New Roman" w:eastAsia="Times New Roman" w:hAnsi="Times New Roman"/>
          <w:sz w:val="17"/>
          <w:szCs w:val="17"/>
          <w:color w:val="0000FF"/>
        </w:rPr>
        <w:t>SHOEMAKERSVILLE PA</w:t>
      </w:r>
      <w:r>
        <w:rPr>
          <w:sz w:val="20"/>
          <w:szCs w:val="20"/>
          <w:color w:val="auto"/>
        </w:rPr>
        <w:tab/>
      </w:r>
      <w:r>
        <w:rPr>
          <w:rFonts w:ascii="Times New Roman" w:cs="Times New Roman" w:eastAsia="Times New Roman" w:hAnsi="Times New Roman"/>
          <w:sz w:val="16"/>
          <w:szCs w:val="16"/>
          <w:color w:val="0000FF"/>
        </w:rPr>
        <w:t>19555</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660" w:type="dxa"/>
            <w:vAlign w:val="bottom"/>
            <w:tcBorders>
              <w:bottom w:val="single" w:sz="8" w:color="0000EE"/>
            </w:tcBorders>
          </w:tcPr>
          <w:p>
            <w:pPr>
              <w:spacing w:after="0" w:line="206" w:lineRule="exact"/>
              <w:rPr>
                <w:rFonts w:ascii="Times New Roman" w:cs="Times New Roman" w:eastAsia="Times New Roman" w:hAnsi="Times New Roman"/>
                <w:sz w:val="21"/>
                <w:szCs w:val="21"/>
                <w:color w:val="0000EE"/>
                <w:w w:val="97"/>
              </w:rPr>
            </w:pPr>
            <w:hyperlink r:id="rId14">
              <w:r>
                <w:rPr>
                  <w:rFonts w:ascii="Times New Roman" w:cs="Times New Roman" w:eastAsia="Times New Roman" w:hAnsi="Times New Roman"/>
                  <w:sz w:val="21"/>
                  <w:szCs w:val="21"/>
                  <w:color w:val="0000EE"/>
                  <w:w w:val="97"/>
                </w:rPr>
                <w:t>HYDROFARM HOLDINGS GROUP, INC.</w:t>
              </w:r>
            </w:hyperlink>
          </w:p>
        </w:tc>
        <w:tc>
          <w:tcPr>
            <w:tcW w:w="100" w:type="dxa"/>
            <w:vAlign w:val="bottom"/>
          </w:tcPr>
          <w:p>
            <w:pPr>
              <w:spacing w:after="0"/>
              <w:rPr>
                <w:sz w:val="18"/>
                <w:szCs w:val="18"/>
                <w:color w:val="auto"/>
              </w:rPr>
            </w:pPr>
          </w:p>
        </w:tc>
        <w:tc>
          <w:tcPr>
            <w:tcW w:w="20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6"/>
                <w:szCs w:val="16"/>
                <w:color w:val="0000FF"/>
              </w:rPr>
              <w:t>HYFM</w:t>
            </w:r>
            <w:r>
              <w:rPr>
                <w:rFonts w:ascii="Times New Roman" w:cs="Times New Roman" w:eastAsia="Times New Roman" w:hAnsi="Times New Roman"/>
                <w:sz w:val="21"/>
                <w:szCs w:val="21"/>
                <w:color w:val="auto"/>
              </w:rPr>
              <w:t xml:space="preserve"> ]</w:t>
            </w:r>
          </w:p>
        </w:tc>
        <w:tc>
          <w:tcPr>
            <w:tcW w:w="2060" w:type="dxa"/>
            <w:vAlign w:val="bottom"/>
          </w:tcPr>
          <w:p>
            <w:pPr>
              <w:ind w:left="600"/>
              <w:spacing w:after="0" w:line="143" w:lineRule="exact"/>
              <w:rPr>
                <w:sz w:val="20"/>
                <w:szCs w:val="20"/>
                <w:color w:val="auto"/>
              </w:rPr>
            </w:pPr>
            <w:r>
              <w:rPr>
                <w:rFonts w:ascii="Arial" w:cs="Arial" w:eastAsia="Arial" w:hAnsi="Arial"/>
                <w:sz w:val="13"/>
                <w:szCs w:val="13"/>
                <w:color w:val="auto"/>
              </w:rPr>
              <w:t>Director</w:t>
            </w:r>
          </w:p>
        </w:tc>
        <w:tc>
          <w:tcPr>
            <w:tcW w:w="1240" w:type="dxa"/>
            <w:vAlign w:val="bottom"/>
          </w:tcPr>
          <w:p>
            <w:pPr>
              <w:ind w:left="10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3"/>
        </w:trPr>
        <w:tc>
          <w:tcPr>
            <w:tcW w:w="3820" w:type="dxa"/>
            <w:vAlign w:val="bottom"/>
            <w:gridSpan w:val="3"/>
            <w:vMerge w:val="continue"/>
          </w:tcPr>
          <w:p>
            <w:pPr>
              <w:spacing w:after="0"/>
              <w:rPr>
                <w:sz w:val="8"/>
                <w:szCs w:val="8"/>
                <w:color w:val="auto"/>
              </w:rPr>
            </w:pPr>
          </w:p>
        </w:tc>
        <w:tc>
          <w:tcPr>
            <w:tcW w:w="20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Foreign Trading Symbol</w:t>
            </w:r>
          </w:p>
        </w:tc>
        <w:tc>
          <w:tcPr>
            <w:tcW w:w="206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820" w:type="dxa"/>
            <w:vAlign w:val="bottom"/>
            <w:gridSpan w:val="3"/>
            <w:vMerge w:val="continue"/>
          </w:tcPr>
          <w:p>
            <w:pPr>
              <w:spacing w:after="0"/>
              <w:rPr>
                <w:sz w:val="10"/>
                <w:szCs w:val="10"/>
                <w:color w:val="auto"/>
              </w:rPr>
            </w:pPr>
          </w:p>
        </w:tc>
        <w:tc>
          <w:tcPr>
            <w:tcW w:w="20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3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vMerge w:val="restart"/>
          </w:tcPr>
          <w:p>
            <w:pPr>
              <w:ind w:left="1340"/>
              <w:spacing w:after="0"/>
              <w:rPr>
                <w:sz w:val="20"/>
                <w:szCs w:val="20"/>
                <w:color w:val="auto"/>
              </w:rPr>
            </w:pPr>
            <w:r>
              <w:rPr>
                <w:rFonts w:ascii="Times New Roman" w:cs="Times New Roman" w:eastAsia="Times New Roman" w:hAnsi="Times New Roman"/>
                <w:sz w:val="17"/>
                <w:szCs w:val="17"/>
                <w:color w:val="0000FF"/>
              </w:rPr>
              <w:t>President</w:t>
            </w: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206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10/27/2026</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38" w:lineRule="exact"/>
        <w:rPr>
          <w:sz w:val="24"/>
          <w:szCs w:val="24"/>
          <w:color w:val="auto"/>
        </w:rPr>
      </w:pPr>
    </w:p>
    <w:p>
      <w:pPr>
        <w:sectPr>
          <w:pgSz w:w="11900" w:h="16838" w:orient="portrait"/>
          <w:cols w:equalWidth="0" w:num="2">
            <w:col w:w="3180" w:space="66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 per share</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10/27/2026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3"/>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22,099</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40,657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3"/>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3"/>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restart"/>
          </w:tcPr>
          <w:p>
            <w:pPr>
              <w:ind w:left="120"/>
              <w:spacing w:after="0" w:line="284" w:lineRule="exact"/>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22,099</w:t>
            </w:r>
          </w:p>
        </w:tc>
        <w:tc>
          <w:tcPr>
            <w:tcW w:w="16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0.78</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10/27/2026</w:t>
            </w: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22,099</w:t>
            </w: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$0.0001</w:t>
            </w: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22,099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27, 2026, Issuer entered into a Securities Purchase Agreement (the "Purchase Agreement") with the purchasers signatory thereto and consummated the transactions contemplated thereunder. Pursuant to the Purchase Agreement, Issuer agreed to issue and sell to Reporting Person (i) in a registered direct offering 3,837 shares of Common Stock, $0.0001 par value per share ("Common Stock") and (ii) in a concurrent private placement 18,262 shares of Common Stock and 22,099 accompanying common stock purchase warrants to purchase shares of Common Stock (the "Common Warrants").</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Warrants may be exercised on a one-for-one basis for shares of Common Stock at an exercise price of $0.78 per share of Common Stock, to the extent that after giving effect to such exercise the Reporting Person would beneficially own, for purposes of Section 13(d) of the Securities Exchange Act of 1934, as amended, no more than 9.99% of the outstanding shares of Common Stock. The Common Warrants will expire five and a half years following the date of issuance.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Parker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10/29/2026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5363" TargetMode="External"/><Relationship Id="rId14" Type="http://schemas.openxmlformats.org/officeDocument/2006/relationships/hyperlink" Target="http://www.sec.gov/cgi-bin/browse-edgar?action=getcompany&amp;CIK=0001695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2026-10-29T16:54:57Z</dcterms:created>
  <dcterms:modified xsi:type="dcterms:W3CDTF">2026-10-29T16:54:57Z</dcterms:modified>
</cp:coreProperties>
</file>