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333-291444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10, 2025)</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1,599,400 Shares</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139700</wp:posOffset>
            </wp:positionV>
            <wp:extent cx="194564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564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Hydrofarm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offering 1,599,400 shares of our common stock, par value $0.0001 per share, which we refer to as our Common Stock, in a registered direct offering to certain institutional investors in a privately negotiated transaction pursuant to this prospectus supplement and the accompanying prospectus. The purchase price of each share of Common Stock issued to the purchasers identified in the securities purchase agreement dated October 27, 2026, or Purchase Agreement, by and among us and the purchasers listed on the signature pages thereto is $0.905 per share.</w:t>
      </w:r>
    </w:p>
    <w:p>
      <w:pPr>
        <w:spacing w:after="0" w:line="180"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 concurrent private placement, we are also selling to such investors 6,971,575 additional shares of Common Stock, or the Unregistered Shares, common stock warrants, or the Common Warrants, to purchase up to 9,210,975 shares of our Common Stock, or the Common Warrant Shares. We are also offering to purchasers whose purchase of shares of common stock in the concurrent private placement would otherwise result in the investor, together with its affiliates and certain related parties, beneficially owning more than 4.99% or 9.99%, at the election of the holder, of our outstanding common stock immediately following the consummation of this offering and the concurrent private placement, pre-funded warrants to purchase up to 640,000 shares of Common Stock, which we refer to as the Pre-Funded Warrants, in lieu of shares of Common Stock in the concurrent private placement. Each Pre-Funded Warrant will be exercisable for one share of our Common Stock, which we refer to as the Pre-Funded Warrant Shares. The Unregistered Shares, Common Warrants, the Common Warrant Shares, and any Pre-Funded Warrants and Pre-Funded Warrant Shares, which we refer to collectively as the Unregistered Securities, are not being registered under the Securities Act of 1933, as amended, or the Securities Act, and are not offered pursuant to this prospectus supplement and the accompanying prospectus. The Unregistered Securities are being offered pursuant to an exemption from the registration requirements of the Securities Act provided in Section 4(a)(2) of the Securities Act and/or Regulation D promulgated thereunder.</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Certain of our officers and directors, or their respective affiliates, will participate in this offering on the same terms as the other investors.</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“HYFM.” On October 27, 2026, the last reported sale price of our Common Stock on The Nasdaq Capital Market was $0.789 per share.</w:t>
      </w:r>
    </w:p>
    <w:p>
      <w:pPr>
        <w:spacing w:after="0" w:line="162"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October, 27, 2026, the aggregate market value of our outstanding Common Stock held by non-affiliates was approximately $4.3 million, which was calculated based on 4,819,323 shares of outstanding Common Stock, of which 4,216,005 shares were held by non-affiliates, and a price per share of $1.03 based upon the closing price of our Common Stock on The Nasdaq Capital Market on October 2, 2026. During the 12 calendar month period that ends on, and includes, the date of this prospectus supplement (excluding this offering), we have not offered or sold any shares of our Common Stock. Pursuant to General Instruction I.B.6 of Form S-3, in no event will we sell securities registered on the registration statement, of which this prospectus supplement is a part, in a public primary offering with a value exceeding more than one-third of our public float in any 12 month period so long as our public float remains below $75.0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ThinkEquity LLC, or ThinkEquity, is acting as the exclusive placement agent in connection with this offering. The placement agent has agreed to use its reasonable best efforts to sell the shares of Common Stock offered by this prospectus supplement and the accompanying prospectus. The placement agent is not purchasing or selling any shares of our Common Stock offered by this prospectus supplement and the accompanying prospectus. See “Plan of Distribution” beginning on page S-15 of this prospectus supplement for more information regarding these arrangements.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under Rule 405 of the Securities Act, and, as such, have elected to comply with certain reduced public company reporting requirements for this prospectus supplement, the accompanying prospectus and the documents incorporated by reference herein and therein and future filings.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Common Stock involves risks.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on page S-8 of this prospectus supplement and in the documents incorporated by reference into this prospectus supplement before making your investment decision.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46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0.905</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1,447,457</w:t>
            </w:r>
          </w:p>
        </w:tc>
      </w:tr>
      <w:tr>
        <w:trPr>
          <w:trHeight w:val="283"/>
        </w:trPr>
        <w:tc>
          <w:tcPr>
            <w:tcW w:w="4920" w:type="dxa"/>
            <w:vAlign w:val="bottom"/>
          </w:tcPr>
          <w:p>
            <w:pPr>
              <w:spacing w:after="0" w:line="283" w:lineRule="exact"/>
              <w:rPr>
                <w:sz w:val="20"/>
                <w:szCs w:val="20"/>
                <w:color w:val="auto"/>
              </w:rPr>
            </w:pPr>
            <w:r>
              <w:rPr>
                <w:rFonts w:ascii="Times New Roman" w:cs="Times New Roman" w:eastAsia="Times New Roman" w:hAnsi="Times New Roman"/>
                <w:sz w:val="17"/>
                <w:szCs w:val="17"/>
                <w:color w:val="auto"/>
              </w:rPr>
              <w:t>Placement agent’s fees</w:t>
            </w:r>
            <w:r>
              <w:rPr>
                <w:rFonts w:ascii="Times New Roman" w:cs="Times New Roman" w:eastAsia="Times New Roman" w:hAnsi="Times New Roman"/>
                <w:sz w:val="32"/>
                <w:szCs w:val="32"/>
                <w:color w:val="auto"/>
                <w:vertAlign w:val="superscript"/>
              </w:rPr>
              <w:t>(1)</w:t>
            </w:r>
          </w:p>
        </w:tc>
        <w:tc>
          <w:tcPr>
            <w:tcW w:w="2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0.0724</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115,797</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2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0.8326</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1,331,660</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We refer you to “Plan of Distribution” beginning on page S-15 for additional information regarding placement agent’s fees.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delivery of the securities against payment will be made on or about October 27, 2026, subject to satisfaction of customary closing conditions.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ThinkEquity</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9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40" w:type="dxa"/>
            <w:vAlign w:val="bottom"/>
            <w:gridSpan w:val="4"/>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40" w:type="dxa"/>
            <w:vAlign w:val="bottom"/>
            <w:gridSpan w:val="4"/>
          </w:tcPr>
          <w:p>
            <w:pPr>
              <w:jc w:val="center"/>
              <w:ind w:right="39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109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8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w w:val="92"/>
              </w:rPr>
              <w:t>S-ii</w:t>
            </w:r>
          </w:p>
        </w:tc>
      </w:tr>
      <w:tr>
        <w:trPr>
          <w:trHeight w:val="196"/>
        </w:trPr>
        <w:tc>
          <w:tcPr>
            <w:tcW w:w="33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140" w:type="dxa"/>
            <w:vAlign w:val="bottom"/>
            <w:tcBorders>
              <w:top w:val="single" w:sz="8" w:color="0000EE"/>
            </w:tcBorders>
          </w:tcPr>
          <w:p>
            <w:pPr>
              <w:spacing w:after="0"/>
              <w:rPr>
                <w:sz w:val="17"/>
                <w:szCs w:val="17"/>
                <w:color w:val="auto"/>
              </w:rPr>
            </w:pPr>
          </w:p>
        </w:tc>
        <w:tc>
          <w:tcPr>
            <w:tcW w:w="746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0000EE"/>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w w:val="95"/>
              </w:rPr>
              <w:t>S-1</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THE OFFERING</w:t>
            </w:r>
          </w:p>
        </w:tc>
        <w:tc>
          <w:tcPr>
            <w:tcW w:w="760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w w:val="95"/>
              </w:rPr>
              <w:t>S-5</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RISK FACTORS</w:t>
            </w:r>
          </w:p>
        </w:tc>
        <w:tc>
          <w:tcPr>
            <w:tcW w:w="9640" w:type="dxa"/>
            <w:vAlign w:val="bottom"/>
            <w:gridSpan w:val="22"/>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w w:val="95"/>
              </w:rPr>
              <w:t>S-8</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8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5100" w:type="dxa"/>
            <w:vAlign w:val="bottom"/>
            <w:gridSpan w:val="2"/>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S-11</w:t>
            </w:r>
          </w:p>
        </w:tc>
      </w:tr>
      <w:tr>
        <w:trPr>
          <w:trHeight w:val="196"/>
        </w:trPr>
        <w:tc>
          <w:tcPr>
            <w:tcW w:w="109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S-13</w:t>
            </w:r>
          </w:p>
        </w:tc>
      </w:tr>
      <w:tr>
        <w:trPr>
          <w:trHeight w:val="196"/>
        </w:trPr>
        <w:tc>
          <w:tcPr>
            <w:tcW w:w="15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DILUTION</w:t>
            </w:r>
          </w:p>
        </w:tc>
        <w:tc>
          <w:tcPr>
            <w:tcW w:w="9320" w:type="dxa"/>
            <w:vAlign w:val="bottom"/>
            <w:gridSpan w:val="19"/>
          </w:tcPr>
          <w:p>
            <w:pPr>
              <w:spacing w:after="0"/>
              <w:rPr>
                <w:sz w:val="17"/>
                <w:szCs w:val="17"/>
                <w:color w:val="auto"/>
              </w:rPr>
            </w:pPr>
          </w:p>
        </w:tc>
        <w:tc>
          <w:tcPr>
            <w:tcW w:w="340" w:type="dxa"/>
            <w:vAlign w:val="bottom"/>
            <w:tcBorders>
              <w:top w:val="single" w:sz="8" w:color="0000EE"/>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S-14</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0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820" w:type="dxa"/>
            <w:vAlign w:val="bottom"/>
            <w:gridSpan w:val="16"/>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S-15</w:t>
            </w:r>
          </w:p>
        </w:tc>
      </w:tr>
      <w:tr>
        <w:trPr>
          <w:trHeight w:val="196"/>
        </w:trPr>
        <w:tc>
          <w:tcPr>
            <w:tcW w:w="109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PRIVATE PLACEMENT TRANSACTION</w:t>
            </w: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S-17</w:t>
            </w:r>
          </w:p>
        </w:tc>
      </w:tr>
      <w:tr>
        <w:trPr>
          <w:trHeight w:val="196"/>
        </w:trPr>
        <w:tc>
          <w:tcPr>
            <w:tcW w:w="31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7740" w:type="dxa"/>
            <w:vAlign w:val="bottom"/>
            <w:gridSpan w:val="8"/>
          </w:tcPr>
          <w:p>
            <w:pPr>
              <w:spacing w:after="0"/>
              <w:rPr>
                <w:sz w:val="17"/>
                <w:szCs w:val="17"/>
                <w:color w:val="auto"/>
              </w:rPr>
            </w:pPr>
          </w:p>
        </w:tc>
        <w:tc>
          <w:tcPr>
            <w:tcW w:w="340" w:type="dxa"/>
            <w:vAlign w:val="bottom"/>
            <w:tcBorders>
              <w:top w:val="single" w:sz="8" w:color="0000EE"/>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S-19</w:t>
            </w:r>
          </w:p>
        </w:tc>
      </w:tr>
      <w:tr>
        <w:trPr>
          <w:trHeight w:val="196"/>
        </w:trPr>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4"/>
          </w:tcPr>
          <w:p>
            <w:pPr>
              <w:spacing w:after="0"/>
              <w:rPr>
                <w:sz w:val="17"/>
                <w:szCs w:val="17"/>
                <w:color w:val="auto"/>
              </w:rPr>
            </w:pPr>
          </w:p>
        </w:tc>
        <w:tc>
          <w:tcPr>
            <w:tcW w:w="9440" w:type="dxa"/>
            <w:vAlign w:val="bottom"/>
            <w:gridSpan w:val="20"/>
          </w:tcPr>
          <w:p>
            <w:pPr>
              <w:spacing w:after="0"/>
              <w:rPr>
                <w:sz w:val="17"/>
                <w:szCs w:val="17"/>
                <w:color w:val="auto"/>
              </w:rPr>
            </w:pPr>
          </w:p>
        </w:tc>
        <w:tc>
          <w:tcPr>
            <w:tcW w:w="340" w:type="dxa"/>
            <w:vAlign w:val="bottom"/>
            <w:tcBorders>
              <w:top w:val="single" w:sz="8" w:color="0000EE"/>
              <w:bottom w:val="single" w:sz="8" w:color="0000EE"/>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S-19</w:t>
            </w:r>
          </w:p>
        </w:tc>
      </w:tr>
      <w:tr>
        <w:trPr>
          <w:trHeight w:val="196"/>
        </w:trPr>
        <w:tc>
          <w:tcPr>
            <w:tcW w:w="109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S-19</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9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S-19</w:t>
            </w:r>
          </w:p>
        </w:tc>
      </w:tr>
      <w:tr>
        <w:trPr>
          <w:trHeight w:val="453"/>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640" w:type="dxa"/>
            <w:vAlign w:val="bottom"/>
            <w:gridSpan w:val="4"/>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392"/>
        </w:trPr>
        <w:tc>
          <w:tcPr>
            <w:tcW w:w="22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8660" w:type="dxa"/>
            <w:vAlign w:val="bottom"/>
            <w:gridSpan w:val="13"/>
          </w:tcPr>
          <w:p>
            <w:pPr>
              <w:spacing w:after="0"/>
              <w:rPr>
                <w:sz w:val="24"/>
                <w:szCs w:val="24"/>
                <w:color w:val="auto"/>
              </w:rPr>
            </w:pP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140" w:type="dxa"/>
            <w:vAlign w:val="bottom"/>
            <w:gridSpan w:val="2"/>
          </w:tcPr>
          <w:p>
            <w:pPr>
              <w:spacing w:after="0"/>
              <w:rPr>
                <w:sz w:val="17"/>
                <w:szCs w:val="17"/>
                <w:color w:val="auto"/>
              </w:rPr>
            </w:pPr>
          </w:p>
        </w:tc>
        <w:tc>
          <w:tcPr>
            <w:tcW w:w="8660" w:type="dxa"/>
            <w:vAlign w:val="bottom"/>
            <w:gridSpan w:val="13"/>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RISK FACTORS</w:t>
            </w:r>
          </w:p>
        </w:tc>
        <w:tc>
          <w:tcPr>
            <w:tcW w:w="840" w:type="dxa"/>
            <w:vAlign w:val="bottom"/>
            <w:gridSpan w:val="7"/>
          </w:tcPr>
          <w:p>
            <w:pPr>
              <w:spacing w:after="0"/>
              <w:rPr>
                <w:sz w:val="17"/>
                <w:szCs w:val="17"/>
                <w:color w:val="auto"/>
              </w:rPr>
            </w:pPr>
          </w:p>
        </w:tc>
        <w:tc>
          <w:tcPr>
            <w:tcW w:w="8800" w:type="dxa"/>
            <w:vAlign w:val="bottom"/>
            <w:gridSpan w:val="15"/>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1260" w:type="dxa"/>
            <w:vAlign w:val="bottom"/>
            <w:gridSpan w:val="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9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3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5560" w:type="dxa"/>
            <w:vAlign w:val="bottom"/>
            <w:gridSpan w:val="3"/>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9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COMMON STOCK</w:t>
            </w:r>
          </w:p>
        </w:tc>
        <w:tc>
          <w:tcPr>
            <w:tcW w:w="7940" w:type="dxa"/>
            <w:vAlign w:val="bottom"/>
            <w:gridSpan w:val="11"/>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202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9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PREFERRED STOCK</w:t>
            </w: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202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0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100" w:type="dxa"/>
            <w:vAlign w:val="bottom"/>
          </w:tcPr>
          <w:p>
            <w:pPr>
              <w:spacing w:after="0"/>
              <w:rPr>
                <w:sz w:val="17"/>
                <w:szCs w:val="17"/>
                <w:color w:val="auto"/>
              </w:rPr>
            </w:pPr>
          </w:p>
        </w:tc>
        <w:tc>
          <w:tcPr>
            <w:tcW w:w="7760" w:type="dxa"/>
            <w:vAlign w:val="bottom"/>
            <w:gridSpan w:val="9"/>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10</w:t>
            </w:r>
          </w:p>
        </w:tc>
      </w:tr>
      <w:tr>
        <w:trPr>
          <w:trHeight w:val="196"/>
        </w:trPr>
        <w:tc>
          <w:tcPr>
            <w:tcW w:w="109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16</w:t>
            </w:r>
          </w:p>
        </w:tc>
      </w:tr>
      <w:tr>
        <w:trPr>
          <w:trHeight w:val="196"/>
        </w:trPr>
        <w:tc>
          <w:tcPr>
            <w:tcW w:w="24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RIGHTS</w:t>
            </w:r>
          </w:p>
        </w:tc>
        <w:tc>
          <w:tcPr>
            <w:tcW w:w="8420" w:type="dxa"/>
            <w:vAlign w:val="bottom"/>
            <w:gridSpan w:val="12"/>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17</w:t>
            </w:r>
          </w:p>
        </w:tc>
      </w:tr>
      <w:tr>
        <w:trPr>
          <w:trHeight w:val="196"/>
        </w:trPr>
        <w:tc>
          <w:tcPr>
            <w:tcW w:w="21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8760" w:type="dxa"/>
            <w:vAlign w:val="bottom"/>
            <w:gridSpan w:val="14"/>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18</w:t>
            </w:r>
          </w:p>
        </w:tc>
      </w:tr>
      <w:tr>
        <w:trPr>
          <w:trHeight w:val="20"/>
        </w:trPr>
        <w:tc>
          <w:tcPr>
            <w:tcW w:w="202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gridSpan w:val="13"/>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99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PROVISIONS OF DELAWARE LAW AND OF THE COMPANY’S CERTIFICATE OF INCORPORATION AND BYLAWS</w:t>
            </w:r>
          </w:p>
        </w:tc>
        <w:tc>
          <w:tcPr>
            <w:tcW w:w="94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19</w:t>
            </w:r>
          </w:p>
        </w:tc>
      </w:tr>
      <w:tr>
        <w:trPr>
          <w:trHeight w:val="196"/>
        </w:trPr>
        <w:tc>
          <w:tcPr>
            <w:tcW w:w="20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840" w:type="dxa"/>
            <w:vAlign w:val="bottom"/>
            <w:gridSpan w:val="17"/>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22</w:t>
            </w:r>
          </w:p>
        </w:tc>
      </w:tr>
      <w:tr>
        <w:trPr>
          <w:trHeight w:val="196"/>
        </w:trPr>
        <w:tc>
          <w:tcPr>
            <w:tcW w:w="109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23</w:t>
            </w:r>
          </w:p>
        </w:tc>
      </w:tr>
      <w:tr>
        <w:trPr>
          <w:trHeight w:val="196"/>
        </w:trPr>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4"/>
          </w:tcPr>
          <w:p>
            <w:pPr>
              <w:spacing w:after="0"/>
              <w:rPr>
                <w:sz w:val="17"/>
                <w:szCs w:val="17"/>
                <w:color w:val="auto"/>
              </w:rPr>
            </w:pPr>
          </w:p>
        </w:tc>
        <w:tc>
          <w:tcPr>
            <w:tcW w:w="9440" w:type="dxa"/>
            <w:vAlign w:val="bottom"/>
            <w:gridSpan w:val="20"/>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24</w:t>
            </w:r>
          </w:p>
        </w:tc>
      </w:tr>
      <w:tr>
        <w:trPr>
          <w:trHeight w:val="196"/>
        </w:trPr>
        <w:tc>
          <w:tcPr>
            <w:tcW w:w="109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24</w:t>
            </w:r>
          </w:p>
        </w:tc>
      </w:tr>
      <w:tr>
        <w:trPr>
          <w:trHeight w:val="20"/>
        </w:trPr>
        <w:tc>
          <w:tcPr>
            <w:tcW w:w="3820" w:type="dxa"/>
            <w:vAlign w:val="bottom"/>
            <w:gridSpan w:val="20"/>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09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25</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an offering of our Common Stock. Before buying any shares of our Common Stock that we are offering, we urge you to carefully read this prospectus supplement and the accompanying prospectus, together with the information incorporated by reference as described under the headings “Where You Can Find More Information” and “Incorporation of Documents by Reference” in this prospectus supplement as well as any free writing prospectus we have authorized for use in connection with this offering. These documents contain important information that you should consider when making your investment decision.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our Common Stock and also adds to, updates and changes information contained in the accompanying prospectus and the documents incorporated by reference. The second part is the accompanying prospectus, which provides more general information, some of which may not apply to this offering. Generally, when we refer to this prospectus, we are referring to both parts of this document combined, together with the documents incorporated by reference herein or therein. To the extent the information contained in this prospectus supplement differs from or conflicts with the information contained in the accompanying prospectus or any document incorporated by reference having an earlier date, the information in this prospectus supplement will control. If any statement in one of these documents is inconsistent with a statement in another document having a later date-for example, a document incorporated by reference into this prospectus supplement and the accompanying prospectus-the statement in the document having the later date modifies or supersedes the earlier statement. We have not, and the placement agent has not, authorized anyone to provide you with information different from that which is contained in or incorporated by reference in this prospectus supplement, the accompanying prospectus and in any free writing prospectus that we may authorize for use in connection with this offering. Neither we nor the placement agent take any responsibility for, and can provide no assurance as to the reliability of, any other information that others may give you.</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should assume that the information contained in this prospectus supplement is accurate as of the date on the front cover of this prospectus supplement only and that any information we have incorporated by reference or included in the accompanying prospectus is accurate only as of the date given in the document incorporated by reference or as of the date of the accompanying prospectus, as applicable, regardless of the time of delivery of this prospectus supplement, the accompanying prospectus, any related free writing prospectus, or any sale of our Common Stock. Our business, financial condition, results of operations and prospects may have changed since those dates. We further note that the representations, warranties and covenants made by us in any agreement that is filed as an exhibit to any document that is incorporated by reference into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as exhibits to the registration statement of which this prospectus is a part or as exhibits to documents incorporated by reference herein, and you may obtain copies of those documents as described below under the headings “Where You Can Find More Information” and “Information Incorporated by Reference.” We further note that the representations, warranties and covenants made by us in any agreement that is filed as an exhibit to any document that is incorporated by reference in the prospectus supplement and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Persons into whose possession this prospectus supplement and the accompanying prospectus come are advised to inform themselves about and to observe any restrictions relating to the offering and the distribution of this prospectus supplement and the accompanying prospectus.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supplement or the accompanying prospectus may involve estimates, assumptions and other risks and uncertainties and are subject to change based on various factors, including those discussed under the heading “Risk Factors” contained in this prospectus supplement, the accompanying prospectus and under similar headings in other documents that are incorporated by reference herein and therein and in any free writing prospectus we authorize for use in connection with this offering. Accordingly, investors should not place undue reliance on this information.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Solely for convenience, tradenames referred to in this prospectus supplement appear without the ® or TM symbols, but those references are not intended to indicate, in any way, that we will not assert, to the fullest extent under applicable law, our rights or that the applicable owner will not assert its rights, to these tradenames and trademarks. All trademarks, service marks and tradenames included or incorporated by reference in this prospectus supplement are the property of their respective owners.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supplement to “Hydrofarm,” the “Company,” “we,” “us,” “our” and similar terms refer to Hydrofarm Holdings Group, Inc., a Delaware corporation, and its consolidated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130" cy="6742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742430"/>
                    </a:xfrm>
                    <a:prstGeom prst="rect">
                      <a:avLst/>
                    </a:prstGeom>
                    <a:noFill/>
                  </pic:spPr>
                </pic:pic>
              </a:graphicData>
            </a:graphic>
          </wp:anchor>
        </w:drawing>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jc w:val="both"/>
        <w:ind w:lef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certain information about us and this offering and selected information contained elsewhere in or incorporated by reference into this prospectus supplement and the accompanying prospectus.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and the accompanying prospectus, including the information incorporated by reference into this prospectus supplement and the accompanying prospectus, and the information included in any free writing prospectus that we authorize for use in connection with this offering, including the information contained in and incorporated by reference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on page S-8 of this prospectus supplement, and under similar headings in the other documents that are filed after the date hereof and incorporated by reference into this prospectus supplement and the accompanying prospectus.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We are a leading independent manufacturer and distributor of branded hydroponics equipment and supplies for controlled environment agriculture, or CEA, including grow lights, climate control solutions, grow media and nutrients, as well as a broad portfolio of innovative, proprietary branded products. We primarily serve the United States and Canadian markets, and believe we are one of the leading companies in these markets in an otherwise fragmented industry. For over 40 years, we have helped growers make growing easier and more productive. Our mission is to empower growers, farmers and cultivators with products that enable greater quality, efficiency, consistency, and speed in their grow projects.</w:t>
      </w:r>
    </w:p>
    <w:p>
      <w:pPr>
        <w:spacing w:after="0" w:line="183" w:lineRule="exact"/>
        <w:rPr>
          <w:sz w:val="20"/>
          <w:szCs w:val="20"/>
          <w:color w:val="auto"/>
        </w:rPr>
      </w:pPr>
    </w:p>
    <w:p>
      <w:pPr>
        <w:jc w:val="both"/>
        <w:ind w:left="20" w:firstLine="648"/>
        <w:spacing w:after="0" w:line="256" w:lineRule="auto"/>
        <w:rPr>
          <w:sz w:val="20"/>
          <w:szCs w:val="20"/>
          <w:color w:val="auto"/>
        </w:rPr>
      </w:pPr>
      <w:r>
        <w:rPr>
          <w:rFonts w:ascii="Times New Roman" w:cs="Times New Roman" w:eastAsia="Times New Roman" w:hAnsi="Times New Roman"/>
          <w:sz w:val="18"/>
          <w:szCs w:val="18"/>
          <w:color w:val="auto"/>
        </w:rPr>
        <w:t>Hydroponics is the farming of plants using soilless grow media and often artificial lighting in a controlled indoor or greenhouse environment. Hydroponics is the primary category of CEA and we use the terms CEA and hydroponics interchangeably. Our products are used to grow, farm, and cultivate cannabis, flowers, fruits, plants, vegetables, grains, and herbs in controlled environment settings that allow end users to control key farming variables including temperature, humidity, CO2, light intensity spectrum, nutrient concentration and pH. Through CEA, growers are able to be more efficient with physical space, water and resources, while enjoying year-round and more rapid grow cycles as well as more predictable and abundant grow yields, when compared to other traditional growing methods.</w:t>
      </w:r>
    </w:p>
    <w:p>
      <w:pPr>
        <w:spacing w:after="0" w:line="187" w:lineRule="exact"/>
        <w:rPr>
          <w:sz w:val="20"/>
          <w:szCs w:val="20"/>
          <w:color w:val="auto"/>
        </w:rPr>
      </w:pPr>
    </w:p>
    <w:p>
      <w:pPr>
        <w:jc w:val="both"/>
        <w:ind w:left="20" w:firstLine="648"/>
        <w:spacing w:after="0" w:line="255" w:lineRule="auto"/>
        <w:rPr>
          <w:sz w:val="20"/>
          <w:szCs w:val="20"/>
          <w:color w:val="auto"/>
        </w:rPr>
      </w:pPr>
      <w:r>
        <w:rPr>
          <w:rFonts w:ascii="Times New Roman" w:cs="Times New Roman" w:eastAsia="Times New Roman" w:hAnsi="Times New Roman"/>
          <w:sz w:val="18"/>
          <w:szCs w:val="18"/>
          <w:color w:val="auto"/>
        </w:rPr>
        <w:t>We reach commercial farmers and consumers through a broad and diversified network, who we connect with primarily through our proprietary online ordering platform. Our products are distributed across the United States and Canada through a diversified range of retailers of commercial and home gardening equipment and supplies. Our customers include specialty hydroponic retailers, commercial resellers and greenhouse builders, garden centers, hardware stores, and e-commerce retailers. Specialty hydroponic retailers can provide growers with specialized merchandise assortments and knowledgeable staff. Our logistics services business manages the receipt, warehousing, and distribution of multiple customer accounts, leveraging our warehouse space in multiple distribution centers in the U.S. and Canada. These logistics agreements and operating subleases are accounted for as an offset and reduction to our facility expense within Selling, general and administrative in our consolidated statements of operations.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 and Restructuring Plans</w:t>
      </w:r>
    </w:p>
    <w:p>
      <w:pPr>
        <w:spacing w:after="0" w:line="229"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18"/>
          <w:szCs w:val="18"/>
          <w:color w:val="auto"/>
        </w:rPr>
        <w:t>We have experienced adverse financial results which we believe are primarily a result of an agricultural oversupply impacting our market and resulting in a decrease in indoor and outdoor cultivation. The extent to which these market conditions will continue to negatively impact our business and results of operations is uncertain and difficult to predict at this time. We believe COVID-19 may have provided a positive demand impact for us in 2020 and 2021 from shelter-in-place orders in the United States, a possible negative supply chain impact from workforce disruption at international and domestic suppliers, and a possible negative growth rate impact in the periods since, due to agricultural oversupply initiated during the height of COVID-related shelter-in-place orders. In addition, we believe demand for our products has been negatively impacted by the extended period to enact reform of U.S. federal regulations, including cannabis rescheduling, which have been slow to develop and possibly leading cannabis operators to reduce investments in our products, particularly durable goods. In addition, we believe our financial results have been negatively impacted by hydroponic retail store closings and, in some cases, associated accounts receivable allowances.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130" cy="6055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055995"/>
                    </a:xfrm>
                    <a:prstGeom prst="rect">
                      <a:avLst/>
                    </a:prstGeom>
                    <a:noFill/>
                  </pic:spPr>
                </pic:pic>
              </a:graphicData>
            </a:graphic>
          </wp:anchor>
        </w:drawing>
      </w:r>
    </w:p>
    <w:p>
      <w:pPr>
        <w:spacing w:after="0" w:line="219" w:lineRule="exact"/>
        <w:rPr>
          <w:sz w:val="20"/>
          <w:szCs w:val="20"/>
          <w:color w:val="auto"/>
        </w:rPr>
      </w:pPr>
    </w:p>
    <w:p>
      <w:pPr>
        <w:jc w:val="both"/>
        <w:ind w:left="20" w:firstLine="648"/>
        <w:spacing w:after="0" w:line="261" w:lineRule="auto"/>
        <w:rPr>
          <w:sz w:val="20"/>
          <w:szCs w:val="20"/>
          <w:color w:val="auto"/>
        </w:rPr>
      </w:pPr>
      <w:r>
        <w:rPr>
          <w:rFonts w:ascii="Times New Roman" w:cs="Times New Roman" w:eastAsia="Times New Roman" w:hAnsi="Times New Roman"/>
          <w:sz w:val="18"/>
          <w:szCs w:val="18"/>
          <w:color w:val="auto"/>
        </w:rPr>
        <w:t>During the second quarter of 2025, we initiated a restructuring to reduce our product portfolio and operational footprint to decrease costs and improve efficiency, which we refer to as the 2025 Restructuring Plan. The 2025 Restructuring Plan actions entail (i) eliminating a significant portion of our product portfolio, primarily underperforming distributed brands, to improve supply chain and operational focus, (ii) further reductions in our distribution center network and manufacturing footprint, and (iii) corresponding headcount reductions.</w:t>
      </w:r>
    </w:p>
    <w:p>
      <w:pPr>
        <w:spacing w:after="0" w:line="180" w:lineRule="exact"/>
        <w:rPr>
          <w:sz w:val="20"/>
          <w:szCs w:val="20"/>
          <w:color w:val="auto"/>
        </w:rPr>
      </w:pPr>
    </w:p>
    <w:p>
      <w:pPr>
        <w:jc w:val="both"/>
        <w:ind w:left="20" w:firstLine="648"/>
        <w:spacing w:after="0" w:line="255" w:lineRule="auto"/>
        <w:rPr>
          <w:sz w:val="20"/>
          <w:szCs w:val="20"/>
          <w:color w:val="auto"/>
        </w:rPr>
      </w:pPr>
      <w:r>
        <w:rPr>
          <w:rFonts w:ascii="Times New Roman" w:cs="Times New Roman" w:eastAsia="Times New Roman" w:hAnsi="Times New Roman"/>
          <w:sz w:val="18"/>
          <w:szCs w:val="18"/>
          <w:color w:val="auto"/>
        </w:rPr>
        <w:t>During the fourth quarter of fiscal 2025, as a result of industry conditions, primarily attributable to an agricultural oversupply impacting our market and resulting in a decrease in indoor and outdoor cultivation, as well as continued declines in operating cash flows and profitability, we assessed our long-lived assets for impairment and recorded an impairment charge of $232.2 million. Of such impairment charge, $228.4 million was related to finite-lived intangible assets and $3.8 million was related to property, plant, and equipment. The loss was recorded in Impairments in the consolidated statement of operations for the year ended December 31, 2025. We estimated fair value based on the income approach and market approach. Under the income approach, we estimated the fair value of the asset group on the present value of estimated future cash flows, which we considered to be a level 3 unobservable input in the fair value hierarchy.</w:t>
      </w:r>
    </w:p>
    <w:p>
      <w:pPr>
        <w:spacing w:after="0" w:line="189" w:lineRule="exact"/>
        <w:rPr>
          <w:sz w:val="20"/>
          <w:szCs w:val="20"/>
          <w:color w:val="auto"/>
        </w:rPr>
      </w:pPr>
    </w:p>
    <w:p>
      <w:pPr>
        <w:jc w:val="both"/>
        <w:ind w:left="20" w:firstLine="648"/>
        <w:spacing w:after="0" w:line="253" w:lineRule="auto"/>
        <w:rPr>
          <w:sz w:val="20"/>
          <w:szCs w:val="20"/>
          <w:color w:val="auto"/>
        </w:rPr>
      </w:pPr>
      <w:r>
        <w:rPr>
          <w:rFonts w:ascii="Times New Roman" w:cs="Times New Roman" w:eastAsia="Times New Roman" w:hAnsi="Times New Roman"/>
          <w:sz w:val="18"/>
          <w:szCs w:val="18"/>
          <w:color w:val="auto"/>
        </w:rPr>
        <w:t>As a result of continued pressure from market conditions on the company’s liquidity and capital structure, we are exploring strategic alternatives to strengthen the Company’s liquidity and capital structure. In connection with such process, together with our financial advisors, we engaged in ongoing discussions with lenders under our senior secured term loan having an initial principal amount of $125.0 million. While these discussions continued, on February 4, 2026, we elected to defer making the interest payment of approximately $2.8 million on the senior secured term loan. As a result of our failure to pay the interest within the grace period, an event of default occurred with respect to the senior secured term loan. On February 11, 2026, the lenders under our senior secured term loan, through the administrative agent, notified us of such event of default and informed us that the administrative agent or the collateral agent for the senior secured term loan may exercise any rights and remedies provided under the credit and guaranty agreement for the senior secured term loan and related financing documents, but it did not seek to enforce such remedies as of such time. As a result of such event of default, the senior secured term loan was reclassified to current portion of long-term debt from long-term debt and interest began accruing at a rate that is 2% per annum in excess of the interest rate otherwise payable.</w:t>
      </w:r>
    </w:p>
    <w:p>
      <w:pPr>
        <w:spacing w:after="0" w:line="194"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As part of our strategic plan to streamline our operations and improve the focus on our proprietary brands and core product categories, on April 30, 2026, we completed the closing of our previously announced agreement with Quality Horticulture, a family-owned Canadian garden center and horticultural distribution company, pursuant to which Quality Horticulture will serve as the exclusive Canadian distributor of our proprietary portfolio of nutrients, plant additives, grow media, horticultural lighting and environmental control products, including House &amp; Garden, Grotek, Gaia Green, PHOTOBIO, SunBlaster and Active Aqua.</w:t>
      </w:r>
    </w:p>
    <w:p>
      <w:pPr>
        <w:spacing w:after="0" w:line="183"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During the second quarter of 2026, we also sold approximately 38 acres of the 120 acres of excess owned land at the Goshen, New York location for $1.4 million.</w:t>
      </w:r>
    </w:p>
    <w:p>
      <w:pPr>
        <w:spacing w:after="0" w:line="162" w:lineRule="exact"/>
        <w:rPr>
          <w:sz w:val="20"/>
          <w:szCs w:val="20"/>
          <w:color w:val="auto"/>
        </w:rPr>
      </w:pPr>
    </w:p>
    <w:p>
      <w:pPr>
        <w:jc w:val="both"/>
        <w:ind w:left="20" w:firstLine="648"/>
        <w:spacing w:after="0" w:line="256" w:lineRule="auto"/>
        <w:rPr>
          <w:sz w:val="20"/>
          <w:szCs w:val="20"/>
          <w:color w:val="auto"/>
        </w:rPr>
      </w:pPr>
      <w:r>
        <w:rPr>
          <w:rFonts w:ascii="Times New Roman" w:cs="Times New Roman" w:eastAsia="Times New Roman" w:hAnsi="Times New Roman"/>
          <w:sz w:val="18"/>
          <w:szCs w:val="18"/>
          <w:color w:val="auto"/>
        </w:rPr>
        <w:t>On July 31, 2026, we entered into a share purchase agreement with 2817049 Alberta Ltd. pursuant to which we sold all of the issued and outstanding shares of Aurora Peat Products ULC, or APP, for $16 million, subject to adjustments set forth in the share purchase agreement. The net proceeds from the sale were applied to reduce outstanding debt, including outstanding interest, under the senior secured term loan. In connection with the closing of the sale of APP, we entered into a secured promissory note, pursuant to which the buyer issued a promissory note in the principal amount of $5 million, representing a deferred portion of the purchase price payable to us under the share purchase agreement. The secured promissory note was assigned to the lenders of our senior secured term loan. Cash obligations in connection with the close of the transaction are estimated to be up to $3.1 million.</w:t>
      </w:r>
    </w:p>
    <w:p>
      <w:pPr>
        <w:spacing w:after="0" w:line="187"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2026, we had current liabilities of approximately $148.0 million, including the current portion of long-term debt of approximately $114.4 million and accounts payable of approximately $10.7 million.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130" cy="635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356350"/>
                    </a:xfrm>
                    <a:prstGeom prst="rect">
                      <a:avLst/>
                    </a:prstGeom>
                    <a:noFill/>
                  </pic:spPr>
                </pic:pic>
              </a:graphicData>
            </a:graphic>
          </wp:anchor>
        </w:drawing>
      </w:r>
    </w:p>
    <w:p>
      <w:pPr>
        <w:spacing w:after="0" w:line="219" w:lineRule="exact"/>
        <w:rPr>
          <w:sz w:val="20"/>
          <w:szCs w:val="20"/>
          <w:color w:val="auto"/>
        </w:rPr>
      </w:pPr>
    </w:p>
    <w:p>
      <w:pPr>
        <w:jc w:val="both"/>
        <w:ind w:left="20" w:firstLine="648"/>
        <w:spacing w:after="0" w:line="252" w:lineRule="auto"/>
        <w:rPr>
          <w:sz w:val="20"/>
          <w:szCs w:val="20"/>
          <w:color w:val="auto"/>
        </w:rPr>
      </w:pPr>
      <w:r>
        <w:rPr>
          <w:rFonts w:ascii="Times New Roman" w:cs="Times New Roman" w:eastAsia="Times New Roman" w:hAnsi="Times New Roman"/>
          <w:sz w:val="18"/>
          <w:szCs w:val="18"/>
          <w:color w:val="auto"/>
        </w:rPr>
        <w:t>Concurrently with the closing of this offering and the concurrent private placement, we intend to satisfy our obligations under the senior secured term loan pursuant to the terms of a payoff letter with the lenders. Such payoff letter will require that we deliver to the lenders, in the aggregate (i) 27.5 million shares of Series 1 Non-Voting Convertible Preferred Stock and (ii) warrants to purchase 27.5 million shares of Common Stock at an exercise price equal to $0.78, which we refer to as the Lender Warrants. Each share of Series 1 Non-Voting Convertible Preferred Stock shall have a par value of $0.0001 per share and a stated value equal to $1.00. The Series 1 Non-Voting Convertible Preferred Stock shall rank (i) senior to the Common Stock and any other class or series of our capital stock thereafter created, the terms of which specifically provide that such class or series shall rank junior to the Series 1 Non-Voting Convertible Preferred Stock, and (ii) pari passu with any class or series of our capital stock hereafter created specifically ranking, by its terms, on par with the Series 1 Non-Voting Convertible Preferred Stock. The Series 1 Non-Voting Convertible Preferred Stock shall be convertible into 27.5 million shares of Common Stock, determined by dividing the stated value per share of Series 1 Non-Voting Convertible Preferred Stock by the per share conversion price (as adjusted from time to time) and the Lender Warrants shall be exercisable, commencing upon receipt of any required stockholder approvals, and shall in all cases be subject to a 4.99% beneficial ownership limitation. We also entered into a side letter agreement, which provides for, among other things, the right of the lenders to designate one director to our Board of Directors and following, and subject to, approval by our stockholders under Nasdaq Stock Market, or Nasdaq, listing rules or confirmation by Nasdaq, that such appointments do not violate its rules, the lenders shall have the right to designate up to three additional directors to our Board of Directors.</w:t>
      </w:r>
    </w:p>
    <w:p>
      <w:pPr>
        <w:spacing w:after="0" w:line="238" w:lineRule="exact"/>
        <w:rPr>
          <w:sz w:val="20"/>
          <w:szCs w:val="20"/>
          <w:color w:val="auto"/>
        </w:rPr>
      </w:pPr>
    </w:p>
    <w:p>
      <w:pPr>
        <w:jc w:val="both"/>
        <w:ind w:left="2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satisfaction of our obligations under the senior secured term loan, we expect to recognize up to $109.0 million improvement to our stockholders’ equity, offset by any new senior secured credit facility entered into by us. In addition, following the satisfaction of the senior secured term loan, we will not be subject to certain operating covenants, including certain covenants that restrict our ability to sell directly to cannabis growers. Accordingly, following the termination of the senior secured term loan, we intend to also sell directly to cannabis growers.</w:t>
      </w:r>
    </w:p>
    <w:p>
      <w:pPr>
        <w:spacing w:after="0" w:line="180"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On October 5, 2026, the Company entered into an agreement and mutual release (the “Agreement”) providing for the full, final and complete settlement of all claims by the parties related to their engagement. In connection with the Agreement, the Company agreed to, among other things and subject to certain milestones, issue 300,000 shares of Series 1 Non-Voting Convertible Preferred Stock that will be convertible in the aggregate into 300,000 shares of Common Stock upon approval of issuance of the Common Stock upon conversion of the Series 1 Non-Voting Convertible Preferred Stock by the Company’s stockholders as required by applicable Nasdaq listing rules.</w:t>
      </w:r>
    </w:p>
    <w:p>
      <w:pPr>
        <w:spacing w:after="0" w:line="183" w:lineRule="exact"/>
        <w:rPr>
          <w:sz w:val="20"/>
          <w:szCs w:val="20"/>
          <w:color w:val="auto"/>
        </w:rPr>
      </w:pPr>
    </w:p>
    <w:p>
      <w:pPr>
        <w:jc w:val="both"/>
        <w:ind w:left="20" w:firstLine="648"/>
        <w:spacing w:after="0" w:line="256" w:lineRule="auto"/>
        <w:rPr>
          <w:sz w:val="20"/>
          <w:szCs w:val="20"/>
          <w:color w:val="auto"/>
        </w:rPr>
      </w:pPr>
      <w:r>
        <w:rPr>
          <w:rFonts w:ascii="Times New Roman" w:cs="Times New Roman" w:eastAsia="Times New Roman" w:hAnsi="Times New Roman"/>
          <w:sz w:val="18"/>
          <w:szCs w:val="18"/>
          <w:color w:val="auto"/>
        </w:rPr>
        <w:t>We continue to evaluate our product portfolio and supply chain, in order to improve efficiency, lower our costs and reduce footprint. We are also evaluating other opportunities to sell excess owned land, not currently being used in operations, to supplement our cash position and potential contract manufacturing or other outsourcing arrangements. Depending on the length and severity of the industry and market conditions, including the fluid and complex international tariff and trade policies impacting our business, our ability to successfully negotiate with the lenders and key vendors, and the pursuit of additional financing or strategic alternatives, it is possible we may execute additional restructuring plan actions and incur future associated charges, and we may not be able to realize the full extent of our anticipated cost savings.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Nasdaq Listing and Maintenance Requirements</w:t>
      </w:r>
    </w:p>
    <w:p>
      <w:pPr>
        <w:spacing w:after="0" w:line="229" w:lineRule="exact"/>
        <w:rPr>
          <w:sz w:val="20"/>
          <w:szCs w:val="20"/>
          <w:color w:val="auto"/>
        </w:rPr>
      </w:pPr>
    </w:p>
    <w:p>
      <w:pPr>
        <w:jc w:val="both"/>
        <w:ind w:left="20" w:firstLine="648"/>
        <w:spacing w:after="0" w:line="256" w:lineRule="auto"/>
        <w:rPr>
          <w:sz w:val="20"/>
          <w:szCs w:val="20"/>
          <w:color w:val="auto"/>
        </w:rPr>
      </w:pPr>
      <w:r>
        <w:rPr>
          <w:rFonts w:ascii="Times New Roman" w:cs="Times New Roman" w:eastAsia="Times New Roman" w:hAnsi="Times New Roman"/>
          <w:sz w:val="18"/>
          <w:szCs w:val="18"/>
          <w:color w:val="auto"/>
        </w:rPr>
        <w:t>On April 1, 2026, the Listing Qualifications Department of Nasdaq, notified us that we were not in compliance with the $2.5 million minimum stockholders' equity requirement under Nasdaq Listing Rule 5550(b)(1), or the Equity Rule. Although Nasdaq subsequently granted us an extension to regain compliance, on July 2, 2026, Nasdaq determined that we had not satisfied the terms of that extension. We timely requested a hearing before the Nasdaq Hearings Panel on July 9, 2026, which stayed any further action by Nasdaq pending completion of the hearing process. On September 8, 2026, Nasdaq issued a decision letter in which the Nasdaq Hearings Panel granted our request to continue our listing on Nasdaq subject to satisfaction of the following conditions:</w:t>
      </w:r>
    </w:p>
    <w:p>
      <w:pPr>
        <w:spacing w:after="0" w:line="187" w:lineRule="exact"/>
        <w:rPr>
          <w:sz w:val="20"/>
          <w:szCs w:val="20"/>
          <w:color w:val="auto"/>
        </w:rPr>
      </w:pPr>
    </w:p>
    <w:p>
      <w:pPr>
        <w:ind w:left="1320" w:hanging="327"/>
        <w:spacing w:after="0" w:line="282" w:lineRule="auto"/>
        <w:tabs>
          <w:tab w:leader="none" w:pos="1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September 30, 2026, we must advise the Nasdaq Hearings Panel on the status of the proposed debt conversion as well as any asset sales completed as part of the compliance plan (on September 30, 2026, we advised the Nasdaq Hearings Panel accordingly);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130" cy="3313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3313430"/>
                    </a:xfrm>
                    <a:prstGeom prst="rect">
                      <a:avLst/>
                    </a:prstGeom>
                    <a:noFill/>
                  </pic:spPr>
                </pic:pic>
              </a:graphicData>
            </a:graphic>
          </wp:anchor>
        </w:drawing>
      </w:r>
    </w:p>
    <w:p>
      <w:pPr>
        <w:spacing w:after="0" w:line="219" w:lineRule="exact"/>
        <w:rPr>
          <w:sz w:val="20"/>
          <w:szCs w:val="20"/>
          <w:color w:val="auto"/>
        </w:rPr>
      </w:pPr>
    </w:p>
    <w:p>
      <w:pPr>
        <w:jc w:val="both"/>
        <w:ind w:left="1320" w:hanging="327"/>
        <w:spacing w:after="0" w:line="258" w:lineRule="auto"/>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October 16, 2026, we must demonstrate compliance with the Equity Rule by filing a timely public disclosure describing the transactions undertaken by us to achieve compliance and demonstrate long-term compliance with the Equity Rule, and by providing an indication of our equity following those transactions (on October 20, 2026, we received an extension from the Nasdaq Hearings Panel to October 27, 2026 and on October 27, 2026, filed a timely public disclosure describing this offering and other transactions undertaken by us to achieve compliance with the Equity Rule); and</w:t>
      </w:r>
    </w:p>
    <w:p>
      <w:pPr>
        <w:spacing w:after="0" w:line="183"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maintain compliance with all Nasdaq Listing Rules through December 29, 2026.</w:t>
      </w:r>
    </w:p>
    <w:p>
      <w:pPr>
        <w:spacing w:after="0" w:line="225" w:lineRule="exact"/>
        <w:rPr>
          <w:sz w:val="20"/>
          <w:szCs w:val="20"/>
          <w:color w:val="auto"/>
        </w:rPr>
      </w:pPr>
    </w:p>
    <w:p>
      <w:pPr>
        <w:jc w:val="both"/>
        <w:ind w:left="20" w:firstLine="648"/>
        <w:spacing w:after="0" w:line="256" w:lineRule="auto"/>
        <w:rPr>
          <w:sz w:val="20"/>
          <w:szCs w:val="20"/>
          <w:color w:val="auto"/>
        </w:rPr>
      </w:pPr>
      <w:r>
        <w:rPr>
          <w:rFonts w:ascii="Times New Roman" w:cs="Times New Roman" w:eastAsia="Times New Roman" w:hAnsi="Times New Roman"/>
          <w:sz w:val="18"/>
          <w:szCs w:val="18"/>
          <w:color w:val="auto"/>
        </w:rPr>
        <w:t>On July 6, 2026, we also received a letter from Nasdaq indicating that we were not in compliance with the minimum bid price requirement for continued listing on Nasdaq under Nasdaq Listing Rule 5550(a)(2), or the Bid Price Rule, because we had not maintained a minimum closing bid price of $1 per share for the prior 30 consecutive business days. If at any time during the 180-day period, the closing bid price of our Common Stock is at least $1 for a minimum of ten consecutive business days, Nasdaq will provide written confirmation to us of our compliance. In the event that we do not regain compliance with the Bid Price Rule during that period, we may be eligible for additional time. We are evaluating available options to regain compliance with the Bid Price Rule; however, there can be no assurance that we will do so.</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left="20" w:firstLine="648"/>
        <w:spacing w:after="0" w:line="253" w:lineRule="auto"/>
        <w:rPr>
          <w:sz w:val="20"/>
          <w:szCs w:val="20"/>
          <w:color w:val="auto"/>
        </w:rPr>
      </w:pPr>
      <w:r>
        <w:rPr>
          <w:rFonts w:ascii="Times New Roman" w:cs="Times New Roman" w:eastAsia="Times New Roman" w:hAnsi="Times New Roman"/>
          <w:sz w:val="18"/>
          <w:szCs w:val="18"/>
          <w:color w:val="auto"/>
        </w:rPr>
        <w:t>We were incorporated in Delaware in January 2017 under the name Innovation Acquisition One Corp. Our predecessor company, originally called Applied Hydroponics, Inc., was founded in 1977 in Northern California. We changed our name to Hydrofarm Holdings Group, Inc. on August 3, 2018. Our principal executive offices are located at 1510 Main Street, Shoemakersville, Pennsylvania 19555 and our telephone number is (707) 765-9990. Our website address is www.hydrofarm.com. None of the information on or accessible through our websites is incorporated by reference in, or constitutes a part of, this prospectus or in any other filings with, or in any information furnished or submitted to, the U.S. Securities and Exchange Commission, or the SEC. Investors should not rely on any such information in deciding whether to purchase our securities.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130" cy="6330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330315"/>
                    </a:xfrm>
                    <a:prstGeom prst="rect">
                      <a:avLst/>
                    </a:prstGeom>
                    <a:noFill/>
                  </pic:spPr>
                </pic:pic>
              </a:graphicData>
            </a:graphic>
          </wp:anchor>
        </w:drawing>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220"/>
          </w:cols>
          <w:pgMar w:left="320" w:top="121" w:right="359" w:bottom="1440" w:gutter="0" w:footer="0" w:header="0"/>
        </w:sect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Public Offering Price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180" w:hanging="161"/>
        <w:spacing w:after="0" w:line="268" w:lineRule="auto"/>
        <w:rPr>
          <w:sz w:val="20"/>
          <w:szCs w:val="20"/>
          <w:color w:val="auto"/>
        </w:rPr>
      </w:pPr>
      <w:r>
        <w:rPr>
          <w:rFonts w:ascii="Times New Roman" w:cs="Times New Roman" w:eastAsia="Times New Roman" w:hAnsi="Times New Roman"/>
          <w:sz w:val="18"/>
          <w:szCs w:val="18"/>
          <w:b w:val="1"/>
          <w:bCs w:val="1"/>
          <w:color w:val="auto"/>
        </w:rPr>
        <w:t>Common Stock to be outstanding immediately prior to the closing of this offering</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Hydrofarm Holdings Group,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1,599,400 shares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$0.905 per share of our Common Stock.</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 concurrent private placement, we are also selling to the investors purchasing the shares of our Common Stock in this offering (x) 6,971,575 Unregistered Shares at a purchase price of $0.905 per share of our Common Stock and</w:t>
      </w:r>
    </w:p>
    <w:p>
      <w:pPr>
        <w:jc w:val="both"/>
        <w:ind w:firstLine="9"/>
        <w:spacing w:after="0" w:line="253" w:lineRule="auto"/>
        <w:tabs>
          <w:tab w:leader="none" w:pos="2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Warrants to purchase up to 9,210,975 shares of our Common Stock at an exercise price of $0.78 per share. The Unregistered Shares are not being offered pursuant to this prospectus supplement and the accompanying prospectus and are being offered pursuant to the exemption provided in Section 4(a)(2) under the Securities Act and/or Rule 506(b) of Regulation D promulgated thereunder. See “Private Placement Transaction.”</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Pre-Funded Warrants are being offered by us to those purchasers whose purchase of Unregistered Shares in the concurrent private placement would result in the purchaser, together with its affiliates and certain related parties, beneficially owning more than 4.99% or 9.99%, at the election of the purchaser, of our outstanding Common Stock immediately following consummation of this offering and the concurrent private placement, to purchase up to an aggregate of 640,000 shares of our Common Stock in lieu of the Common Stock that would otherwise result in ownership in excess of 4.99% or 9.99%, as applicable, of our outstanding Common Stock. The purchase price of each Pre-Funded Warrant will equal the price per share of Common Stock being sold in the concurrent private placement, minus $0.0001, and the exercise price of each Pre-Funded Warrant will be $0.0001 per share. Each Pre-Funded Warrant will be immediately exercisable and may be exercised at any time until exercised in full. There is no expiration date for the Pre-Funded Warrants. The Pre-Funded Warrants and Pre-Funded Warrant Shares are not being offered pursuant to this prospectus supplement and the accompanying prospectus and are being offered pursuant to the exemption provided in Section 4(a)(2) under the Securities Act and/or Rule 506(b) of Regulation D promulgated thereunder. There is no established public trading market for the Pre-Funded Warrants, and we do not expect a market to develop. In addition, we do not intend to list the Pre-Funded Warrants on the Nasdaq Capital Market, any other national securities exchange or any other trading system. See “Private Placement Transaction.”</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Common Warrants will become exercisable commencing as of the issue date and will have a term of five and one-half years from the issue date. We will receive gross proceeds from exercise of the Common Warrants in such concurrent private placement solely to the extent such Common Warrants are exercised for cash. The Common Warrants and the Common Warrant Shares are not being offered pursuant to this prospectus supplement and the accompanying prospectus and are being offered pursuant to the exemption provided in Section 4(a)(2) under the Securities Act and/or Rule 506(b) of Regulation D promulgated thereunder. There is no established public trading market for the Common Warrants, and we do not expect a market to develop. In addition, we do not intend to list the Common Warrants on the Nasdaq Capital Market, any other national securities exchange or any other trading system. See “Private Placement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4,819,323 shares of Common Stock.</w:t>
      </w:r>
    </w:p>
    <w:p>
      <w:pPr>
        <w:spacing w:after="0" w:line="670" w:lineRule="exact"/>
        <w:rPr>
          <w:sz w:val="20"/>
          <w:szCs w:val="20"/>
          <w:color w:val="auto"/>
        </w:rPr>
      </w:pPr>
    </w:p>
    <w:p>
      <w:pPr>
        <w:sectPr>
          <w:pgSz w:w="11900" w:h="16838" w:orient="portrait"/>
          <w:cols w:equalWidth="0" w:num="2">
            <w:col w:w="2640" w:space="180"/>
            <w:col w:w="8400"/>
          </w:cols>
          <w:pgMar w:left="320" w:top="121"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36130" cy="5918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91883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46" w:lineRule="exact"/>
        <w:rPr>
          <w:sz w:val="20"/>
          <w:szCs w:val="20"/>
          <w:color w:val="auto"/>
        </w:rPr>
      </w:pPr>
    </w:p>
    <w:p>
      <w:pPr>
        <w:jc w:val="both"/>
        <w:ind w:left="180" w:hanging="161"/>
        <w:spacing w:after="0" w:line="268" w:lineRule="auto"/>
        <w:rPr>
          <w:sz w:val="20"/>
          <w:szCs w:val="20"/>
          <w:color w:val="auto"/>
        </w:rPr>
      </w:pPr>
      <w:r>
        <w:rPr>
          <w:rFonts w:ascii="Times New Roman" w:cs="Times New Roman" w:eastAsia="Times New Roman" w:hAnsi="Times New Roman"/>
          <w:sz w:val="18"/>
          <w:szCs w:val="18"/>
          <w:b w:val="1"/>
          <w:bCs w:val="1"/>
          <w:color w:val="auto"/>
        </w:rPr>
        <w:t>Common Stock to be outstanding immediately after the closing of this offering (1)</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6,418,723 shares of Common Stock.</w:t>
      </w:r>
    </w:p>
    <w:p>
      <w:pPr>
        <w:spacing w:after="0" w:line="653" w:lineRule="exact"/>
        <w:rPr>
          <w:sz w:val="20"/>
          <w:szCs w:val="20"/>
          <w:color w:val="auto"/>
        </w:rPr>
      </w:pPr>
    </w:p>
    <w:p>
      <w:pPr>
        <w:sectPr>
          <w:pgSz w:w="11900" w:h="16838" w:orient="portrait"/>
          <w:cols w:equalWidth="0" w:num="2">
            <w:col w:w="2600" w:space="220"/>
            <w:col w:w="8400"/>
          </w:cols>
          <w:pgMar w:left="320" w:top="121"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$1.2 million, after deducting the placement agent’s fees and estimated offering expenses payable by us. In addition, we estimate that the concurrent private placement will result in additional net proceeds of approximately $5.5 million, after deducting the estimated offering expenses payable by us and excluding any proceeds that may be received upon the cash exercise of the Common Warrants or the Pre-Funded Warrants.</w:t>
      </w:r>
    </w:p>
    <w:p>
      <w:pPr>
        <w:spacing w:after="0" w:line="183" w:lineRule="exact"/>
        <w:rPr>
          <w:sz w:val="20"/>
          <w:szCs w:val="20"/>
          <w:color w:val="auto"/>
        </w:rPr>
      </w:pPr>
    </w:p>
    <w:p>
      <w:pPr>
        <w:sectPr>
          <w:pgSz w:w="11900" w:h="16838" w:orient="portrait"/>
          <w:cols w:equalWidth="0" w:num="2">
            <w:col w:w="2100" w:space="720"/>
            <w:col w:w="8400"/>
          </w:cols>
          <w:pgMar w:left="320" w:top="121" w:right="359" w:bottom="1440" w:gutter="0" w:footer="0" w:header="0"/>
          <w:type w:val="continuous"/>
        </w:sectPr>
      </w:pPr>
    </w:p>
    <w:p>
      <w:pPr>
        <w:jc w:val="both"/>
        <w:ind w:left="2820"/>
        <w:spacing w:after="0" w:line="26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and the concurrent private placement for general corporate purposes which may include capital expenditures, working capital and general and administrative expenses.</w:t>
      </w:r>
    </w:p>
    <w:p>
      <w:pPr>
        <w:spacing w:after="0" w:line="176" w:lineRule="exact"/>
        <w:rPr>
          <w:sz w:val="20"/>
          <w:szCs w:val="20"/>
          <w:color w:val="auto"/>
        </w:rPr>
      </w:pPr>
    </w:p>
    <w:p>
      <w:pPr>
        <w:ind w:left="2820"/>
        <w:spacing w:after="0" w:line="282" w:lineRule="auto"/>
        <w:rPr>
          <w:sz w:val="20"/>
          <w:szCs w:val="20"/>
          <w:color w:val="auto"/>
        </w:rPr>
      </w:pPr>
      <w:r>
        <w:rPr>
          <w:rFonts w:ascii="Times New Roman" w:cs="Times New Roman" w:eastAsia="Times New Roman" w:hAnsi="Times New Roman"/>
          <w:sz w:val="18"/>
          <w:szCs w:val="18"/>
          <w:color w:val="auto"/>
        </w:rPr>
        <w:t>See “Use of Proceeds” on page S-13 of this prospectus supplement for a more complete description of the intended use of proceeds from this offering and the concurrent private placement.</w:t>
      </w:r>
    </w:p>
    <w:p>
      <w:pPr>
        <w:sectPr>
          <w:pgSz w:w="11900" w:h="16838" w:orient="portrait"/>
          <w:cols w:equalWidth="0" w:num="1">
            <w:col w:w="11220"/>
          </w:cols>
          <w:pgMar w:left="320" w:top="121" w:right="359" w:bottom="1440" w:gutter="0" w:footer="0" w:header="0"/>
          <w:type w:val="continuous"/>
        </w:sectPr>
      </w:pP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Insider Participation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officers and directors, or their respective affiliates, will participate in this offering on the same terms as the other investors. See “Plan of Distribution—Insider Participation and Lock-up Agreement” for additional information.</w:t>
      </w:r>
    </w:p>
    <w:p>
      <w:pPr>
        <w:spacing w:after="0" w:line="172" w:lineRule="exact"/>
        <w:rPr>
          <w:sz w:val="20"/>
          <w:szCs w:val="20"/>
          <w:color w:val="auto"/>
        </w:rPr>
      </w:pPr>
    </w:p>
    <w:p>
      <w:pPr>
        <w:sectPr>
          <w:pgSz w:w="11900" w:h="16838" w:orient="portrait"/>
          <w:cols w:equalWidth="0" w:num="2">
            <w:col w:w="2100" w:space="720"/>
            <w:col w:w="8400"/>
          </w:cols>
          <w:pgMar w:left="320" w:top="121"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Our directors and officers have agreed to enter into lock-ups restricting the transfer of shares of or relating to our capital stock for 120 days following the effectiveness of the resale registration statement to be filed in connection with the concurrent private placement, subject to certain customary exceptions. This lock-up period applies to any shares the executive officers and directors, or their respective affiliates, may purchase in this offering and the concurrent private placement. See “Plan of Distribution—Insider Participation and Lock-up Agreement” for additional information.</w:t>
      </w:r>
    </w:p>
    <w:p>
      <w:pPr>
        <w:spacing w:after="0" w:line="183" w:lineRule="exact"/>
        <w:rPr>
          <w:sz w:val="20"/>
          <w:szCs w:val="20"/>
          <w:color w:val="auto"/>
        </w:rPr>
      </w:pPr>
    </w:p>
    <w:p>
      <w:pPr>
        <w:sectPr>
          <w:pgSz w:w="11900" w:h="16838" w:orient="portrait"/>
          <w:cols w:equalWidth="0" w:num="2">
            <w:col w:w="2100" w:space="720"/>
            <w:col w:w="8400"/>
          </w:cols>
          <w:pgMar w:left="320" w:top="121"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See the information contained in or incorporated by reference under the heading “Risk Factors” on page S-8 of this prospectus supplement, in the accompanying prospectus and in the documents incorporated by reference into this prospectus supplement.</w:t>
      </w:r>
    </w:p>
    <w:p>
      <w:pPr>
        <w:spacing w:after="0" w:line="172" w:lineRule="exact"/>
        <w:rPr>
          <w:sz w:val="20"/>
          <w:szCs w:val="20"/>
          <w:color w:val="auto"/>
        </w:rPr>
      </w:pPr>
    </w:p>
    <w:p>
      <w:pPr>
        <w:sectPr>
          <w:pgSz w:w="11900" w:h="16838" w:orient="portrait"/>
          <w:cols w:equalWidth="0" w:num="2">
            <w:col w:w="2100" w:space="720"/>
            <w:col w:w="8400"/>
          </w:cols>
          <w:pgMar w:left="320" w:top="121"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“HYFM”.</w:t>
      </w:r>
    </w:p>
    <w:p>
      <w:pPr>
        <w:spacing w:after="0" w:line="200" w:lineRule="exact"/>
        <w:rPr>
          <w:sz w:val="20"/>
          <w:szCs w:val="20"/>
          <w:color w:val="auto"/>
        </w:rPr>
      </w:pPr>
    </w:p>
    <w:p>
      <w:pPr>
        <w:sectPr>
          <w:pgSz w:w="11900" w:h="16838" w:orient="portrait"/>
          <w:cols w:equalWidth="0" w:num="2">
            <w:col w:w="2440" w:space="380"/>
            <w:col w:w="8400"/>
          </w:cols>
          <w:pgMar w:left="320" w:top="121" w:right="359" w:bottom="1440" w:gutter="0" w:footer="0" w:header="0"/>
          <w:type w:val="continuous"/>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Continental Stock Transfer and Trust Company</w:t>
      </w:r>
    </w:p>
    <w:p>
      <w:pPr>
        <w:spacing w:after="0" w:line="200" w:lineRule="exact"/>
        <w:rPr>
          <w:sz w:val="20"/>
          <w:szCs w:val="20"/>
          <w:color w:val="auto"/>
        </w:rPr>
      </w:pPr>
    </w:p>
    <w:p>
      <w:pPr>
        <w:sectPr>
          <w:pgSz w:w="11900" w:h="16838" w:orient="portrait"/>
          <w:cols w:equalWidth="0" w:num="2">
            <w:col w:w="2300" w:space="520"/>
            <w:col w:w="8400"/>
          </w:cols>
          <w:pgMar w:left="320" w:top="121" w:right="359" w:bottom="1440" w:gutter="0" w:footer="0" w:header="0"/>
          <w:type w:val="continuous"/>
        </w:sectPr>
      </w:pPr>
    </w:p>
    <w:p>
      <w:pPr>
        <w:spacing w:after="0" w:line="37" w:lineRule="exact"/>
        <w:rPr>
          <w:sz w:val="20"/>
          <w:szCs w:val="20"/>
          <w:color w:val="auto"/>
        </w:rPr>
      </w:pPr>
    </w:p>
    <w:p>
      <w:pPr>
        <w:ind w:left="20" w:firstLine="649"/>
        <w:spacing w:after="0" w:line="282" w:lineRule="auto"/>
        <w:tabs>
          <w:tab w:leader="none" w:pos="92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to be outstanding after this offering is based on 4,819,323 shares of Common Stock outstanding as of October 26, 2026, and excludes, as of that date, the following:</w:t>
      </w:r>
    </w:p>
    <w:p>
      <w:pPr>
        <w:spacing w:after="0" w:line="161" w:lineRule="exact"/>
        <w:rPr>
          <w:rFonts w:ascii="Times New Roman" w:cs="Times New Roman" w:eastAsia="Times New Roman" w:hAnsi="Times New Roman"/>
          <w:sz w:val="18"/>
          <w:szCs w:val="18"/>
          <w:color w:val="auto"/>
        </w:rPr>
      </w:pPr>
    </w:p>
    <w:p>
      <w:pPr>
        <w:ind w:left="1320" w:hanging="327"/>
        <w:spacing w:after="0" w:line="282" w:lineRule="auto"/>
        <w:tabs>
          <w:tab w:leader="none" w:pos="13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25,875 shares of Common Stock issuable upon exercise of outstanding stock options with a weighted average exercise price of $97.25 per share;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130" cy="4547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4547235"/>
                    </a:xfrm>
                    <a:prstGeom prst="rect">
                      <a:avLst/>
                    </a:prstGeom>
                    <a:noFill/>
                  </pic:spPr>
                </pic:pic>
              </a:graphicData>
            </a:graphic>
          </wp:anchor>
        </w:drawing>
      </w:r>
    </w:p>
    <w:p>
      <w:pPr>
        <w:spacing w:after="0" w:line="219" w:lineRule="exact"/>
        <w:rPr>
          <w:sz w:val="20"/>
          <w:szCs w:val="20"/>
          <w:color w:val="auto"/>
        </w:rPr>
      </w:pPr>
    </w:p>
    <w:p>
      <w:pPr>
        <w:ind w:left="1320" w:hanging="327"/>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209,168 shares of Common Stock issuable upon vesting of outstanding restricted stock units, or RSUs;</w:t>
      </w:r>
    </w:p>
    <w:p>
      <w:pPr>
        <w:spacing w:after="0" w:line="225"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137,460 shares of Common Stock issuable upon vested RSUs having a delivery deferred to a future time;</w:t>
      </w:r>
    </w:p>
    <w:p>
      <w:pPr>
        <w:spacing w:after="0" w:line="225"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138,718 shares of Common Stock available for future grant under our 2020 Employee, Director and Consultant Equity Incentive Plan;</w:t>
      </w:r>
    </w:p>
    <w:p>
      <w:pPr>
        <w:spacing w:after="0" w:line="225"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27,800,000 shares of Common Stock issuable upon conversion of the Series 1 Non-Voting Convertible Preferred Stock;</w:t>
      </w:r>
    </w:p>
    <w:p>
      <w:pPr>
        <w:spacing w:after="0" w:line="225"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27,500,000 shares of Common Stock issuable upon exercise of the Lender Warrants at an exercise price of $0.78 per share;</w:t>
      </w:r>
    </w:p>
    <w:p>
      <w:pPr>
        <w:spacing w:after="0" w:line="225"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6,971,575 Unregistered Shares issuable in the concurrent private placement;</w:t>
      </w:r>
    </w:p>
    <w:p>
      <w:pPr>
        <w:spacing w:after="0" w:line="225" w:lineRule="exact"/>
        <w:rPr>
          <w:rFonts w:ascii="Times New Roman" w:cs="Times New Roman" w:eastAsia="Times New Roman" w:hAnsi="Times New Roman"/>
          <w:sz w:val="18"/>
          <w:szCs w:val="18"/>
          <w:color w:val="auto"/>
        </w:rPr>
      </w:pPr>
    </w:p>
    <w:p>
      <w:pPr>
        <w:ind w:left="1320" w:hanging="327"/>
        <w:spacing w:after="0" w:line="282"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9,210,975 Common Warrant Shares issuable upon exercise of Common Warrants issued in the concurrent private placement at an exercise price of $0.78 per share;</w:t>
      </w:r>
    </w:p>
    <w:p>
      <w:pPr>
        <w:spacing w:after="0" w:line="161"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736,878 Common Warrant Shares issuable upon exercise of the Placement Agent Warrants at an exercise price of $0.78 per share; and</w:t>
      </w:r>
    </w:p>
    <w:p>
      <w:pPr>
        <w:spacing w:after="0" w:line="225" w:lineRule="exact"/>
        <w:rPr>
          <w:rFonts w:ascii="Times New Roman" w:cs="Times New Roman" w:eastAsia="Times New Roman" w:hAnsi="Times New Roman"/>
          <w:sz w:val="18"/>
          <w:szCs w:val="18"/>
          <w:color w:val="auto"/>
        </w:rPr>
      </w:pPr>
    </w:p>
    <w:p>
      <w:pPr>
        <w:ind w:left="1320" w:hanging="327"/>
        <w:spacing w:after="0" w:line="282"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Pre-Funded Warrant Shares issuable upon exercise of Pre-Funded Warrants issued in the concurrent private placement at an exercise price of $0.0001 per share.</w:t>
      </w:r>
    </w:p>
    <w:p>
      <w:pPr>
        <w:spacing w:after="0" w:line="200" w:lineRule="exact"/>
        <w:rPr>
          <w:sz w:val="20"/>
          <w:szCs w:val="20"/>
          <w:color w:val="auto"/>
        </w:rPr>
      </w:pPr>
    </w:p>
    <w:p>
      <w:pPr>
        <w:spacing w:after="0" w:line="394" w:lineRule="exact"/>
        <w:rPr>
          <w:sz w:val="20"/>
          <w:szCs w:val="20"/>
          <w:color w:val="auto"/>
        </w:rPr>
      </w:pPr>
    </w:p>
    <w:p>
      <w:pPr>
        <w:ind w:left="1320" w:hanging="327"/>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issuance, exercise or settlement of stock-based awards under our equity incentive plans;</w:t>
      </w:r>
    </w:p>
    <w:p>
      <w:pPr>
        <w:spacing w:after="0" w:line="225"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issuance of shares of Common Stock upon conversion of the Series 1 Non-Voting Convertible Preferred Stock;</w:t>
      </w:r>
    </w:p>
    <w:p>
      <w:pPr>
        <w:spacing w:after="0" w:line="225"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Lender Warrants;</w:t>
      </w:r>
    </w:p>
    <w:p>
      <w:pPr>
        <w:spacing w:after="0" w:line="225"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issuance of the Unregistered Shares in the concurrent private placement; and</w:t>
      </w:r>
    </w:p>
    <w:p>
      <w:pPr>
        <w:spacing w:after="0" w:line="225"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Common Warrants and the Pre-Funded Warrants issued in the concurrent private placement.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Investing in our securities involves a high degree of risk. You should carefully review the risks and uncertainties described below and discussed under the caption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Annual Report on Form 10-K for the fiscal year ended December 31, 2025 and our Quarterly Reports on Form 10-Q for the quarters ended March 31, 2026 and June 30, 2026 which may be amended, supplemented or superseded from time to time by other reports we file with the SEC in the future, before deciding whether to purchase any securities in this offering. Each of the risk factors could adversely affect our business, operating results, financial condition and prospects,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 and as an investor, you may lose all of your investment.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Management has concluded that there is substantial doubt about our ability to continue as a going concern within 12 months after the date of our Quarterly Report on Form 10-Q for the fiscal quarter ended June 30, 2026. Our potential inability to continue as a going concern may materially adversely affect the price of our Common Stock and our ability to raise new capital or enter into partnerships. If we are unable to continue as a going concern, we may have to liquidate our assets and may receive less than the value at which those assets are carried on our financial statements, and it is likely that investors will lose all or part of their investment. Further, the perception that we may be unable to continue as a going concern may impede our ability to pursue strategic opportunities or operate our business due to concerns regarding our ability to fulfill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able to raise additional capital in sufficient amounts or on favorable terms, or at all. If we are unable to raise adequate additional capital when required or in sufficient amounts or on terms acceptable to us, we may have to significantly reduce expenses, sell assets (potentially at a loss), cease operations altogether, pursue an acquisition of our company at a price that may result in up to a total loss on investment for our securityholders, file for bankruptcy or seek other protection from creditors, or liquidate all of our assets.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As an investor, you may never recoup all, or even part, of your investment and you may never realize any return on your investment. You must be prepared to lose all of your investment.</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might apply the net proceeds from this offering in ways with which you do not agree and in ways that may impair the value of your investment.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we have not designated the amount of net proceeds from this offering to be used for any particular purpose our management will have broad discretion as to the application of the net proceeds from this offering and could use them for purposes other than those contemplated at the time of the offering. You will be relying on the judgment of our management with regard to the use of these net proceeds, and you will not have the opportunity, as part of your investment decision, to assess whether the net proceeds are being used appropriately. Our management might apply these proceeds in ways with which you do not agree, or in ways that do not improve our financial condition or market value, which could compromise our ability to pursue our growth strategy and adversely affect the market price of our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be volatile in the future, and as a result, investors in our securities could incur substantial losses.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can be no guarantee that our stock price will remain at current prices or that future sales of our Common Stock will not be at prices lower than those sold to investors. We may incur rapid and substantial increases or decreases in our stock price in the foreseeable future attributable to various factors including those discussed in the “Risk Factors” section in this prospectus supplement, the accompanying prospectus, the documents incorporated by reference herein and therein and in any free writing prospectus we authorize for use in connection with this offering. Some factors may be unrelated to our operating performance or prospects or may be beyond our control. The price for our Common Stock may be influenced by many factors, including investor reaction to our business strategy; the success of our strategic plan and our ability to sustain necessary and sufficient liquidity to satisfy our creditors and avoid the imposition of involuntary bankruptcy; compliance with Nasdaq listing standards, including without limitation compliance with Nasdaq’s stockholders’ equity requirement; variations in our financial results and our liquidity; any major change in our board of directors or management; or our involvement in litigation.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our stock price may continue to be volatile in the future, investors in our Common Stock could incur substantial losses. We may be required to incur significant legal fees and other expenses related to any securities litigation and or other litigation related to our business. Further, our stock price could be subject to significant fluctuation or otherwise be adversely affected by the events, risks and uncertainties of any securities or other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the perception that such future sales may occur, may cause our stock price to decline.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could occur, following this offering could cause the market price of our Common Stock to decline and impair our ability to raise capital through the sale of additional equity securities. All of the shares of Common Stock sold in this offering (other than in the concurrent private placement) upon issuance will be freely tradable without restriction or further registration under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 As a result, you must rely on stock appreciation for any return on your investment.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anticipate paying cash dividends on our Common Stock in the foreseeable future. Any payment of cash dividends will depend on our financial condition, results of operations, capital requirements and other factors and will be at the discretion of our board of directors. Accordingly, you will have to rely on capital appreciation, if any, to earn a return on your investment in our Common Stock.</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notice that certain unsecured creditors intend to file an involuntary bankruptcy petition against us, and we are subject to other claims and disputes with unsecured creditors. If an involuntary petition is filed, or if we otherwise become subject to bankruptcy, receivership or similar proceedings, the value of our Common Stock could be substantially or entirely lost.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received notice from certain unsecured creditors of their intent to file an involuntary petition against us under the U.S. Bankruptcy Code, or the Bankruptcy Code. We are also subject to other claims and disputes with unsecured creditors, including vendors, service providers and other trade creditors, over amounts they allege are past due. As of the date of this prospectus supplement, no involuntary petition has been filed against us. We may try to resolve these matters through negotiation, payment arrangements or other means. However, we cannot assure you that we will resolve any of these claims or disputes on acceptable terms, or at all. We also cannot assure you that these creditors will not file an involuntary petition, that other creditors will not join such a petition, or that other creditors will not file their own petitions or start collection actions, litigation or other proceedings against us.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involuntary or voluntary bankruptcy case, receivership or similar process, or any winding up and liquidation of our business, could have a material adverse effect on our business, financial condition, results of operations, cash flows and liquidity. While any such proceeding or process continues:</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would spend substantial time and effort on the proceeding instead of on our business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incur significant legal, advisory and other professional fees and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harder to retain management and other key personnel needed to run our business successfully;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hanging="328"/>
        <w:spacing w:after="0" w:line="25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suppliers, licensors, landlords and other counterparties might lose confidence in our ability to continue as a going concern or reorganize successfully. They might seek alternative commercial relationships, demand less favorable terms, or try to terminate or not renew their agreements with us;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that oversee our licenses may review, restrict, suspend or refuse to renew or transfer our licenses and permits;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actions outside the ordinary course of business may require court or receiver approval, which would limit our flexibility to respond to market conditions.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because our current indebtedness is senior to our Common Stock in our capital structure, a bankruptcy proceeding or similar process, could result in a limited recovery, if any, for our stockholders, and would place our stockholders at significant risk of losing all of their investment in our Common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financing following this offering to execute our business plan and fund operations, which additional financing may not be available on reasonable terms, or at all.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June 30, 2026, we had total assets of approximately $101.6 million and net working capital of approximately negative $108.1 million. As of June 30, 2026, our working capital included approximately $6.2 million of cash and cash equivalents. We believe that the net proceeds of this offering and the concurrent private placement, plus our cash on-hand as of the date of this prospectus supplement, is sufficient to fund our proposed operating plan for at least 12 months from the close of this offering. However, if we were to fall short of our projections, we may need additional capital to fund our continued operations. If necessary, we intend to seek additional funds through various financing sources, including the sale of our equity securities and divestitures of assets. In addition, we will consider alternatives to our current business plan that may enable us to achieve positive cash flow with a smaller amount of capital. However, there can be no guarantees that these plans will be successful, or funds will be available on commercially reasonable terms, if at all. If such financing is not available on satisfactory terms, we may be unable to further pursue our business plan and we may be unable to continue operations, in which case you may lose your entire investment. Obtaining additional financing contains risks, including:</w:t>
      </w:r>
    </w:p>
    <w:p>
      <w:pPr>
        <w:spacing w:after="0" w:line="188" w:lineRule="exact"/>
        <w:rPr>
          <w:sz w:val="20"/>
          <w:szCs w:val="20"/>
          <w:color w:val="auto"/>
        </w:rPr>
      </w:pPr>
    </w:p>
    <w:p>
      <w:pPr>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equity financing may not be available to us on satisfactory terms and any equity we are able to issue would lead to dilution for current stockholders;</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other debt instruments may have unfavorable terms and/or conditions, such as interest rate, restrictive covenants and control or revocation provisions;</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environment in the capital markets combined with our capital constraints may prevent us from being able to obtain adequate financing; and</w:t>
      </w:r>
    </w:p>
    <w:p>
      <w:pPr>
        <w:ind w:left="660" w:hanging="328"/>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covenants we are subject to or are unable to obtain additional financing to fund losses in our business, we may need to seek bankruptcy or similar protection to the extent available to us.</w:t>
      </w:r>
    </w:p>
    <w:p>
      <w:pPr>
        <w:spacing w:after="0" w:line="181"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In addition, under the Purchase Agreement, we agreed not to issue, agree to issue, or publicly announce the issuance of any Common Stock or Common Stock equivalents, and not to file any registration statement or amendment thereto, without the prior written consent of purchasers holding a majority in interest of the securities sold in the concurrent private placement, subject to limited exceptions. These restrictions remain in effect until 120 days following the effectiveness of the resale registration statement to be filed in connection with the concurrent private placement and may limit the Company's ability to obtain additional financing or raise capital on favorable terms, if at all during such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we have filed with the SEC that are incorporated by reference herein and therein include forward-looking statements within the meaning of Section 27A of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supplement, the accompanying prospectus and the documents we have filed with the SEC that are incorporated by reference herein and therein,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supplement, the accompanying prospectus and the documents we have filed with the SEC that are incorporated by reference herein and therein, discuss some of the factors that could contribute to these differences. These forward-looking statements include, among other things, statements about:</w:t>
      </w:r>
    </w:p>
    <w:p>
      <w:pPr>
        <w:spacing w:after="0" w:line="19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level of indebtedness and compliance with requirements of our existing credit agreement;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our ability to resolve claims from unsecured creditors in the ordinary course of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regain and maintain compliance with the continued listing standards of The Nasdaq Capital Market ;</w:t>
      </w:r>
    </w:p>
    <w:p>
      <w:pPr>
        <w:spacing w:after="0" w:line="9" w:lineRule="exact"/>
        <w:rPr>
          <w:rFonts w:ascii="Times New Roman" w:cs="Times New Roman" w:eastAsia="Times New Roman" w:hAnsi="Times New Roman"/>
          <w:sz w:val="18"/>
          <w:szCs w:val="18"/>
          <w:color w:val="auto"/>
        </w:rPr>
      </w:pPr>
    </w:p>
    <w:p>
      <w:pPr>
        <w:ind w:left="980" w:right="6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and expectations regarding our acquisitions, dispositions and strategic alliances, and our ability to effect strategic transactions in the future;</w:t>
      </w:r>
    </w:p>
    <w:p>
      <w:pPr>
        <w:ind w:left="980" w:right="2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conditions, including oversupply and decreasing prices of our customers' products which, in turn, have materially adversely impacted our sales and other results of operations and which may continue to do so in the future;</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tariffs or interruptions to global trade;</w:t>
      </w:r>
    </w:p>
    <w:p>
      <w:pPr>
        <w:spacing w:after="0" w:line="9" w:lineRule="exact"/>
        <w:rPr>
          <w:rFonts w:ascii="Times New Roman" w:cs="Times New Roman" w:eastAsia="Times New Roman" w:hAnsi="Times New Roman"/>
          <w:sz w:val="18"/>
          <w:szCs w:val="18"/>
          <w:color w:val="auto"/>
        </w:rPr>
      </w:pPr>
    </w:p>
    <w:p>
      <w:pPr>
        <w:ind w:left="980" w:right="46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future charges associated with the impairment of our long-lived assets, inventory allowances and purchase commitment losses, and accounts receivable reserves;</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intent to access bankruptcy courts, receivership or similar processes, or otherwise wind-up our business and liquidate;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our restructuring activities on our expenses and cash expenditures;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that may result from equity financings while our stock prices are depressed;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impacting our customers, including related crop prices and other factors impacting growers;</w:t>
      </w:r>
    </w:p>
    <w:p>
      <w:pPr>
        <w:spacing w:after="0" w:line="9" w:lineRule="exact"/>
        <w:rPr>
          <w:rFonts w:ascii="Times New Roman" w:cs="Times New Roman" w:eastAsia="Times New Roman" w:hAnsi="Times New Roman"/>
          <w:sz w:val="18"/>
          <w:szCs w:val="18"/>
          <w:color w:val="auto"/>
        </w:rPr>
      </w:pPr>
    </w:p>
    <w:p>
      <w:pPr>
        <w:ind w:left="980" w:right="60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effects of public health epidemics, including the COVID-19 pandemic, on our business, results of operations and financial condition;</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our supply chain;</w:t>
      </w:r>
    </w:p>
    <w:p>
      <w:pPr>
        <w:spacing w:after="0" w:line="9" w:lineRule="exact"/>
        <w:rPr>
          <w:rFonts w:ascii="Times New Roman" w:cs="Times New Roman" w:eastAsia="Times New Roman" w:hAnsi="Times New Roman"/>
          <w:sz w:val="18"/>
          <w:szCs w:val="18"/>
          <w:color w:val="auto"/>
        </w:rPr>
      </w:pPr>
    </w:p>
    <w:p>
      <w:pPr>
        <w:ind w:left="980" w:right="4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legislation and regulations pertaining to agricultural products and the use and cultivation of cannabis in the United States and Canada;</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perceptions and acceptance of cannabis use;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various crops and other factors affecting growers;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non-cancellable leases under which many of our facilities operate, and our ability to renew or terminate our leases;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and relationships with, a limited base of key suppliers for certain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technological advances;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e-commerce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being a public company;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right="6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appropriate acquisition targets, successfully acquire identified targets or successfully integrate the business of acquired companies;</w:t>
      </w: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marketing activities;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 disruption or breach of our information technology systems or cyber-attack;</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or the performance of third parties on which we depend;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our reputation or to the reputation of our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in the prices of the products we distribute;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industry pressures;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businesses within our industry;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health and safety laws;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defend against litigation, including claims related to intellectual property rights;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shortages and relationships with key suppliers;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price of our Common Stock;</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marketability of our Common Stock;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herein as well as under the heading “Risk Factors” in our Annual Report on Form 10-K.</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supplement, the accompanying prospectus and the documents we have filed with the SEC that are incorporated by reference herein and therein, particularly in the “Risk Factors” section, that we believe could cause actual results or events to differ materially from the forward-looking statements that we make. For a summary of such factors, please refer to the section entitled “Risk Factors” in this prospectus supplement, the accompanying prospectus and the documents we have filed with the SEC that are incorporated by reference herein and therein and in any free writing prospectus we authorize for use in connection with this offering.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supplement, the accompanying prospectus and the documents we have filed with the SEC that are incorporated by reference herein and therein and in any free writing prospectus we authorize for use in connection with this offering might not occur. Other unknown or unpredictable factors that could also adversely affect our business, financial condition and results of operations may arise from time to time. Investors are cautioned not to place undue reliance on the forward-looking statements, which speak only as of the date of this prospectus supplement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$1.2 million, after deducting the placement agent’s fees and estimated offering expenses payable by us. In addition, we estimate that the concurrent private placement will result in additional net proceeds of approximately $5.5 million, after deducting the estimated offering expenses payable by us and excluding any proceeds that may be received upon the cash exercise of the Common Warrants or the Pre-Funded Warrants.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and the concurrent private placement for general corporate purposes which may include capital expenditures, working capital and general and administrative expenses.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expected use of net proceeds from the sale of shares of Common Stock in this offering represents our intentions based upon our present plans and business conditions, which could change in the future as our plans and business conditions evolve. The amount and timing of our actual expenditures will depend upon numerous factors, including the results of our operations and the factors described under “Risk Factors” located elsewhere in this prospectus supplement, the accompanying prospectus and in the information incorporated by reference herein or therein. We have not determined the amount of net proceeds to be used specifically for such purposes and, as a result, management will retain broad discretion over the allocation of net proceeds and investors will be relying on our judgment regarding the application of the net proceeds from this offering.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immediately to the extent of the difference between the price per share you pay in this offering and the as adjusted net tangible book value per share of our Common Stock immediately after giving effect to this offering.</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historical net tangible book deficit as of June 30, 2026 was $(91.8) million, or $(0.02) per share of our Common Stock. Net tangible book value is total assets minus the sum of total liabilities and intangible assets. Net tangible book value per share is net tangible book value divided by the total number of shares of our Common Stock outstanding as of June 30, 2026. After giving effect to (x) the sale by us of (i) shares of our Common Stock in the aggregate amount of $1.4 million at an assumed public offering price of $0.905 per share, and (ii) shares of our Common Stock, Pre-Funded Warrants and Common Warrants in the concurrent private placement in the aggregate amount of $6.8 million, in each instance, less the estimated commissions and estimated offering expenses payable by us, and (iii) the issuance of 27,800,000 shares of our Series 1 Non-Voting Convertible Preferred Stock having a stated value of $27. million, our pro forma as adjusted net tangible book value as of June 30, 2026 would have been $10.2 million, or $0.00 per share. This represents an immediate increase in pro forma net tangible book value of $0.02 per share to existing stockholders and an immediate dilution of $0.90 per share to investors in this offering. The following table illustrates this per share dilution.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54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0.905</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deficit per share as of June 30, 2026</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pro forma adjustments</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0.021</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78"/>
        </w:trPr>
        <w:tc>
          <w:tcPr>
            <w:tcW w:w="80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Increase per share attributable to new investors purchasing shares in this offering and in the concurrent</w:t>
            </w:r>
          </w:p>
        </w:tc>
        <w:tc>
          <w:tcPr>
            <w:tcW w:w="5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0.001</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8"/>
        </w:trPr>
        <w:tc>
          <w:tcPr>
            <w:tcW w:w="80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Pro forma as adjusted net tangible book value per share as of June 30, 2026 after giving effect to this</w:t>
            </w:r>
          </w:p>
        </w:tc>
        <w:tc>
          <w:tcPr>
            <w:tcW w:w="5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w:t>
            </w:r>
          </w:p>
        </w:tc>
        <w:tc>
          <w:tcPr>
            <w:tcW w:w="540" w:type="dxa"/>
            <w:vAlign w:val="bottom"/>
            <w:shd w:val="clear" w:color="auto" w:fill="CCEEFF"/>
          </w:tcPr>
          <w:p>
            <w:pPr>
              <w:spacing w:after="0"/>
              <w:rPr>
                <w:sz w:val="20"/>
                <w:szCs w:val="20"/>
                <w:color w:val="auto"/>
              </w:rPr>
            </w:pPr>
          </w:p>
        </w:tc>
        <w:tc>
          <w:tcPr>
            <w:tcW w:w="1580" w:type="dxa"/>
            <w:vAlign w:val="bottom"/>
            <w:gridSpan w:val="4"/>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0.003</w:t>
            </w:r>
          </w:p>
        </w:tc>
        <w:tc>
          <w:tcPr>
            <w:tcW w:w="80" w:type="dxa"/>
            <w:vAlign w:val="bottom"/>
            <w:shd w:val="clear" w:color="auto" w:fill="CCEEFF"/>
          </w:tcPr>
          <w:p>
            <w:pPr>
              <w:spacing w:after="0"/>
              <w:rPr>
                <w:sz w:val="20"/>
                <w:szCs w:val="20"/>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shares in this offering and in the concurrent private placement</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42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choose to raise additional capital due to market conditions or strategic considerations even if we believe we have sufficient funds for our current or future operating plans. To the extent that additional capital is raised through the sale of equity or securities convertible into our Common Stock, the issuance of these securities could result in further dilution to our stockholders.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4,814,612 shares of our Common Stock outstanding as of June 30, 2026. This number excludes the following:</w:t>
      </w:r>
    </w:p>
    <w:p>
      <w:pPr>
        <w:spacing w:after="0" w:line="162" w:lineRule="exact"/>
        <w:rPr>
          <w:sz w:val="20"/>
          <w:szCs w:val="20"/>
          <w:color w:val="auto"/>
        </w:rPr>
      </w:pPr>
    </w:p>
    <w:p>
      <w:pPr>
        <w:ind w:left="98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25,875 shares of Common Stock issuable upon exercise of outstanding stock options with a weighted average exercise price of $97.25 per share;</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209,168 shares of Common Stock issuable upon vesting of outstanding restricted stock units, or RSUs;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137,460 shares of Common Stock issuable upon vested RSUs having a delivery deferred to a future time;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138,718 shares of Common Stock available for future grant under our 2020 Employee, Director and Consultant Equity Incentive Plan;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27,800,000 shares of Common Stock issuable upon conversion of the Series 1 Non-Voting Convertible Preferred Stock;</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27,500,000 shares of Common Stock issuable upon exercise of the Lender Warrants at an exercise price of $0.78 per share;</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9,210,975 Common Warrant Shares issuable upon exercise of Common Warrants issued in the concurrent private placement at an exercise price of $0.78 per share;</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736,878 Common Warrant Shares issuable upon exercise of the Placement Agent Warrants at an exercise price of $0.78 per share; and</w:t>
      </w:r>
    </w:p>
    <w:p>
      <w:pPr>
        <w:spacing w:after="0" w:line="9"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Pre-Funded Warrant Shares issuable upon exercise of Pre-Funded Warrants issued in the concurrent private placement at an exercise price of $0.0001 per share.</w:t>
      </w:r>
    </w:p>
    <w:p>
      <w:pPr>
        <w:spacing w:after="0" w:line="1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options, RSUs and warrants are exercised or settle, as applicable, or other shares are issued, including shares issuable upon conversion of the Series 1 Non- Voting Convertible Preferred Stock, investors purchasing our securities in this offering may experience further dilution. In addition, we will need to raise additional capital, and, to the extent that additional capital is raised through the sale of equity or convertible debt securities, the issuance of these securities could result in further dilution to investors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ThinkEquity LLC has agreed to act as our exclusive placement agent in connection with this offering subject to the terms and conditions of the placement agency agreement dated October 27, 2026, which we refer to as the Placement Agency Agreement. The placement agent is not purchasing or selling any of the shares of Common Stock offered by this prospectus supplement, nor is it required to arrange the purchase or sale of any specific number or dollar amount of shares, but has agreed to use its reasonable best efforts to arrange for the sale of all of the shares of Common Stock offered hereby. We entered into the Purchase Agreement, directly with certain institutional investors in connection with this offering, and we will only sell to investors who have entered into the Purchase Agreement with us. The Purchase Agreement provides that the obligations of the investors in the offering are subject to certain conditions precedent, including but not limited to the absence of any material adverse change in our business and the receipt of certain opinions, letters, agreements and certificates from us, our auditor and our counsel.</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deliver 1,599,400 shares of Common Stock being offered pursuant to this prospectus supplement on or about October 27, 2026, subject to satisfaction of certain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offering price of the Shares we are offering was negotiated between us and the investors in the offering based on the trading price of our Common Stock prior to the offering, among other things.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agreed to pay to the placement agent a cash fee equal to 8% of the aggregate purchase price paid by the investors in respect of the securities at the closing of the offering . The following table shows the total placement agent cash fees we will pay in connection with the sale of the shares of Common Stock in this offering, assuming the purchase of all of the shares we are offering.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Placement Agent Fee per share</w:t>
            </w:r>
          </w:p>
        </w:tc>
        <w:tc>
          <w:tcPr>
            <w:tcW w:w="4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0.0724</w:t>
            </w: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Placement Agent Fees</w:t>
            </w:r>
          </w:p>
        </w:tc>
        <w:tc>
          <w:tcPr>
            <w:tcW w:w="4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115,797</w:t>
            </w: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agreed to reimburse the placement agent at closing for all reasonable and out-of-pocket expenses in connection with the placement agent’s engagement, including reasonable fees and expenses of the placement agent’s legal counsel and due diligence analysis up to $125,000. We expect that the total expenses of the offering payable by us, excluding placement agent’s fees of 8%, will be approximately $0.2 million, and the total expenses of the concurrent private placement payable by us, excluding placement agent’s fees of 8%, will be approximately $0.8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Placement Agent Warrants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closing of this offering, we have agreed to issue the placement agent such number of Common Warrants equal to 8% of the shares of Common Stock and Pre-Funded Warrants sold in the offering, or the Placement Agent Warrants. The Placement Agent Warrants will be exercisable at a per share exercise price of $0.78. The Placement Agent Warrants are exercisable, in whole or in part, immediately upon the date of issuance and expire on the five-year anniversary of the date of the initial exercise date. The Placement Agent Warrants and the shares of Common Stock issuable upon exercise of the Placement Agent Warrants, or Placement Agent Warrant Shares, are not being registered under the Securities Act, are not being offered pursuant to this prospectus supplement and the accompanying prospectus and are being offered pursuant to the exemption provided in Section 4(a)(2) under the Securities Act and/or Rule 506(b) of Regulation D promulgated thereunder.</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Placement Agent Warrants have been deemed compensation by Financial Industry Regulatory Authority, Inc., or FINRA. The Placement Agent Warrants provide for registration rights upon request, in certain cases. The sole demand registration right provided will not be greater than two years from the initial exercise date of the Placement Agent Warrants in compliance with FINRA Rule 5110(g)(8)(C). The piggyback registration rights provided will not be greater than two years from the initial exercise date of the Placement Agent Warrants in compliance with FINRA Rule 5110(g)(8)(D). We will bear all fees and expenses attendant to registering the Placement Agent Warrant Shares issuable on exercise of the warrants other than underwriting commissions incurred and payable by the holders. The exercise price and number of Placement Agent Warrant Shares issuable upon exercise of the Placement Agent Warrants may be adjusted in certain circumstances including in the event of a stock dividend or our recapitalization, reorganization, merger or consolidation.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Participation and Lock-up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of our officers and directors, or their respective affiliates, will participate in this offering on the same terms as the other investors. Our directors and officers have agreed to enter into lock-ups restricting the transfer of shares of or relating to our capital stock for 120 days following the effectiveness of the resale registration statement to be filed in connection with the concurrent private placement, subject to certain customary exceptions. This lock-up period applies to any shares the executive officers and directors, or their respective affiliates, may purchase in this offering and the concurrent private placement.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currently traded on The Nasdaq Capital Market under the symbol “HYFM.” On October 27, 2026, the last reported sale price of our Common Stock on The Nasdaq Capital Market was $0.789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 and specified other persons against some civil liabilities, including liabilities under the Securities Act and the Exchange Act, and to contribute to payments that the placement agent may be required to make in respect of such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fees received by it and any profit realized on the sale of the securities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placement agent may provide in the future, various advisory, investment and commercial banking and other services to us in the ordinary course of business, for which it may receive customary fees and commissions. We have no present arrangements with the placement agent for any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does not purport to be a complete statement of the terms and conditions of the Purchase Agreement and Placement Agency Agreement. Copies of the Purchase Agreement and Placement Agency Agreement will each be included as exhibits to our Current Report on Form 8-K to be filed with the SEC and incorporated by reference into the registration statement of which this prospectus supplement and the accompanying prospectus form a part. See “Where You Can Find More Information” and “Information Incorporated by Reference.”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action has been or will be taken in any jurisdiction (except in the United States) that would permit a public offering of the securities offered by this prospectus supplement and accompanying prospectus, or the possession, circulation or distribution of this prospectus supplement and accompanying prospectus or any other material relating to us or the securities offered hereby in any jurisdiction where action for that purpose is required. Accordingly, the securities offered hereby may not be offered or sold, directly or indirectly, and neither of this prospectus supplement and accompanying prospectus nor any other offering material or advertisements in connection with the securities offered hereby may be distributed or published, in or from any country or jurisdiction except in compliance with any applicable rules and regulations of any such country or jurisdiction.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PRIVATE PLACEMENT TRANSACTION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 concurrent private placement, we plan to issue and sell to the investors, (i) 6,971,575 Unregistered Shares, (ii) Pre-Funded Warrants to purchase up to 640,000 Pre-Funded Warrant Shares at a price per share of $0.9049 and an exercise price per Pre-Funded Warrant of $0.0001, and (iii) Common Warrants to purchase 9,210,975 Common Warrant Shares with an exercise price of $0.78.</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Unregistered Securities are not being registered under the Securities Act, are not being offered pursuant to this prospectus supplement and the accompanying prospectus and are being offered pursuant to the exemption provided in Section 4(a)(2) under the Securities Act and/or Rule 506(b) of Regulation D promulgated thereunder. Accordingly, investors may only sell the Unregistered Securities pursuant to an effective registration statement under the Securities Act covering the resale of those shares, an exemption under Rule 144 under the Securities Act or another applicable exemption under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Common Warrants are exercisable as of the date of issuance and will have a term of five and one-half years from the initial exercise date. The Common Warrants will be exercisable, at the option of the holder, in whole or in part, by delivering to us a duly executed exercise notice and, at any time a registration statement registering the resale of the Common Warrant Shares under the Securities Act is effective and available for the resale of such shares, or an exemption from registration under the Securities Act is available for the resale of such Common Warrant Shares, by payment in full in immediately available funds for the number of Common Warrant Shares.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Pre-Funded Warrants are exercisable beginning on the date of issuance and shall expire when exercised in full. The Pre-Funded Warrants will be exercisable, at the option of the holder, in whole or in part, by delivering to us a duly executed exercise notice and, at any time a registration statement registering the resale of the Pre-Funded Warrant Shares under the Securities Act is effective and available for the resale of such shares, or an exemption from registration under the Securities Act is available for the resale of such Pre-Funded Warrant Shares, by payment in full in immediately available funds for the number of Pre-Funded Warrant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Cashless Exercise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at the time of exercise there is no effective resale registration statement registering, or the prospectus contained therein is not available for the resale of the Common Warrant Shares, then the Common Warrants may be exercised, in whole or in part, at such time by means of a cashless exercise, in which case the holder would receive upon such exercise the net number of Common Warrant Shares determined according to the formula set forth in the Common Warrant.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Pre-Funded Warrants may also be exercised, in whole or in part, at any time by means of a cashless exercise, in which case the holder would receive upon such exercise the net number of Pre-Funded Warrant Shares determined according to the formula set forth in the Pre-Funded Warrant.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Limitation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holder will not have the right to exercise any portion of the Common Warrants and/or Pre-Funded Warrants if the holder (together with its affiliates) would beneficially own in excess of 4.99% (or, upon election of the holder, 9.99%) of the number of our shares of Common Stock outstanding immediately after giving effect to the exercise, as such percentage ownership is determined in accordance with the terms of the Common Warrants and Pre-Funded Warrants, respectively. However, any holder may increase or decrease such percentage, provided that any increase will not be effective until the 61st day after such election.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Anti-Dilution Adjustments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Common Warrants and Pre-Funded Warrants each have customary anti-dilution provisions. The exercise prices of the Common Warrants and Pre-Funded Warrants are each subject to appropriate adjustment in the event of certain stock dividends and distributions, stock splits, stock combinations, reclassifications or similar events affecting our shares of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applicable laws, the Common Warrants and Pre-Funded Warrants are transferrable, in whole or in part, without our consent, upon surrender of the warrant at our principal offices or our designated agent, as applicable, together with a written assignment of the warrant.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229"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There are no established trading markets for the Common Warrants or Pre-Funded Warrants, and we do not expect markets to develop. In addition, we do not intend to apply for the listing of the Common Warrants or Pre-Funded Warrants on any national securities exchange or other trading market.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of any fundamental transaction, as described in the Common Warrant and Pre-Funded Warrant, and generally including any merger or consolidation with or into another person, sale, lease, license, assignment, transfer, conveyance or other disposition of all or substantially all of our assets, purchase offer, tender offer or exchange offer, reclassification, reorganization or recapitalization of our shares of Common Stock or stock or share purchase or other business combination with another person or group of persons, then upon any subsequent exercise of a warrant, the holder will have the right to receive, as alternative consideration, for each Common Warrant Share or Pre-Funded Warrant Share that would have been issuable upon such exercise immediately prior to the occurrence of such fundamental transaction, the number of shares of common stock of the successor or acquiring corporation of our company, if it is the surviving corporation, and any additional consideration receivable upon or as a result of such transaction by a holder of the number of shares of Common Stock for which the warrant is exercisable immediately prior to such event. Notwithstanding the foregoing, within 30 days after the consummation of a fundamental transaction, a holder of the Common Warrant or Pre-Funded Warrant will have the right to require us to repurchase any Common Warrants or Pre-Funded Warrant from the holder pursuant to the terms and conditions described in the form of Common Warrant or Pre-Funded Warrant by paying to the holder an amount equal to the Black Scholes Value (as defined in each Common Warrant or Pre-Funded Warrant) of the remaining unexercised portion of the Common Warrant or Pre-Funded Warrant on the date of the fundamental transaction.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as a Stockholder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Common Warrants or Pre-Funded Warrants or by virtue of such holder’s ownership of our Common Stock, the holder of a Common Warrant or Pre-Funded Warrant will not have the rights or privileges of a holder of our Common Stock, including any voting rights, dividends or other rights, until the holder exercises the Common Warrant or Pre-Funded Warrant.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review a copy of the Purchase Agreement and the copies of the form of Common Warrant and form of Pre-Funded Warrant to be issued to the investors under the Purchase Agreement, which are executed or issued in connection with this offering and will be filed as exhibits to a Current Report on Form 8-K that we file with the SEC, for a complete description of the terms and conditions of the Common Warrant, Pre-Funded Warrant and the related transaction agreements.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shares of Common Stock offered by this prospectus supplement will be passed upon by Cozen O’Connor, Philadelphia, Pennsylvania. Certain legal matters in connection with this offering will be passed upon for the placement agent by Sheppard, Mullin, Richter &amp; Hampton LLP, New York, New York.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financial statements of Hydrofarm Holdings Group Inc. as of December 31, 2025 and 2024, and for each of the two years in the period ended December 31, 2025, incorporated by reference in this prospectus supplement by reference to Hydrofarm Holdings Group Inc.’s annual report on Form 10-K for the year ended December 31, 2025,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shares of Common Stock we are offering under this prospectus supplement. This prospectus supplement and the accompanying prospectus do not contain all of the information set forth in the registration statement and the exhibits to the registration statement. For further information with respect to us and the shares of Common Stock we are offering under this prospectus supplement, we refer you to the registration statement and the exhibits and schedules filed as a part of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currently subject to the reporting requirements of the Exchange Act and in accordance therewith file periodic reports, proxy statements and other information with the SEC. Our SEC filings are available to you on the SEC’s website at www.sec.gov and our website at www.hydrofarm.com. Our website and the information contained on that site, or connected to that site, are not incorporated into and are not a part of this prospectus supplement or the accompanying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the information or documents listed below that we have filed with the SEC (Commission File No. 001-39773):</w:t>
      </w:r>
    </w:p>
    <w:p>
      <w:pPr>
        <w:spacing w:after="0" w:line="18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u w:val="single" w:color="auto"/>
            <w:color w:val="0000EE"/>
          </w:rPr>
          <w:t>our Annual Report on Form 10-K for the year ended December 31, 2025, filed with the SEC on March 27, 2026 (the “Annual Report”)</w:t>
        </w:r>
      </w:hyperlink>
      <w:r>
        <w:rPr>
          <w:rFonts w:ascii="Times New Roman" w:cs="Times New Roman" w:eastAsia="Times New Roman" w:hAnsi="Times New Roman"/>
          <w:sz w:val="18"/>
          <w:szCs w:val="18"/>
          <w:color w:val="000000"/>
        </w:rPr>
        <w:t>;</w:t>
      </w:r>
    </w:p>
    <w:p>
      <w:pPr>
        <w:spacing w:after="0" w:line="27" w:lineRule="exact"/>
        <w:rPr>
          <w:rFonts w:ascii="Times New Roman" w:cs="Times New Roman" w:eastAsia="Times New Roman" w:hAnsi="Times New Roman"/>
          <w:sz w:val="18"/>
          <w:szCs w:val="18"/>
          <w:color w:val="0000EE"/>
        </w:rPr>
      </w:pP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portions of </w:t>
      </w:r>
      <w:hyperlink r:id="rId41">
        <w:r>
          <w:rPr>
            <w:rFonts w:ascii="Times New Roman" w:cs="Times New Roman" w:eastAsia="Times New Roman" w:hAnsi="Times New Roman"/>
            <w:sz w:val="18"/>
            <w:szCs w:val="18"/>
            <w:u w:val="single" w:color="auto"/>
            <w:color w:val="0000EE"/>
          </w:rPr>
          <w:t>our Definitive Proxy Statement on Schedule 14A, filed on April 30, 2026</w:t>
        </w:r>
      </w:hyperlink>
      <w:r>
        <w:rPr>
          <w:rFonts w:ascii="Times New Roman" w:cs="Times New Roman" w:eastAsia="Times New Roman" w:hAnsi="Times New Roman"/>
          <w:sz w:val="18"/>
          <w:szCs w:val="18"/>
          <w:color w:val="auto"/>
        </w:rPr>
        <w:t>, that are incorporated by reference into Part III of the Annual Report;</w:t>
      </w: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period ended </w:t>
      </w:r>
      <w:hyperlink r:id="rId42">
        <w:r>
          <w:rPr>
            <w:rFonts w:ascii="Times New Roman" w:cs="Times New Roman" w:eastAsia="Times New Roman" w:hAnsi="Times New Roman"/>
            <w:sz w:val="18"/>
            <w:szCs w:val="18"/>
            <w:u w:val="single" w:color="auto"/>
            <w:color w:val="0000EE"/>
          </w:rPr>
          <w:t>March 31,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3">
        <w:r>
          <w:rPr>
            <w:rFonts w:ascii="Times New Roman" w:cs="Times New Roman" w:eastAsia="Times New Roman" w:hAnsi="Times New Roman"/>
            <w:sz w:val="18"/>
            <w:szCs w:val="18"/>
            <w:u w:val="single" w:color="auto"/>
            <w:color w:val="0000EE"/>
          </w:rPr>
          <w:t>June 30,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15, 2026 and August 14, 2026, respectively;</w:t>
      </w: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20,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7,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14,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20,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26,</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5">
        <w:r>
          <w:rPr>
            <w:rFonts w:ascii="Times New Roman" w:cs="Times New Roman" w:eastAsia="Times New Roman" w:hAnsi="Times New Roman"/>
            <w:sz w:val="18"/>
            <w:szCs w:val="18"/>
            <w:u w:val="single" w:color="auto"/>
            <w:color w:val="0000EE"/>
          </w:rPr>
          <w:t>July 9, 2026</w:t>
        </w:r>
      </w:hyperlink>
      <w:hyperlink r:id="rId4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6">
        <w:r>
          <w:rPr>
            <w:rFonts w:ascii="Times New Roman" w:cs="Times New Roman" w:eastAsia="Times New Roman" w:hAnsi="Times New Roman"/>
            <w:sz w:val="18"/>
            <w:szCs w:val="18"/>
            <w:u w:val="single" w:color="auto"/>
            <w:color w:val="0000EE"/>
          </w:rPr>
          <w:t>August 6, 2026</w:t>
        </w:r>
      </w:hyperlink>
      <w:hyperlink r:id="rId4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7">
        <w:r>
          <w:rPr>
            <w:rFonts w:ascii="Times New Roman" w:cs="Times New Roman" w:eastAsia="Times New Roman" w:hAnsi="Times New Roman"/>
            <w:sz w:val="18"/>
            <w:szCs w:val="18"/>
            <w:u w:val="single" w:color="auto"/>
            <w:color w:val="0000EE"/>
          </w:rPr>
          <w:t>October 9, 2026</w:t>
        </w:r>
      </w:hyperlink>
      <w:hyperlink r:id="rId4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8">
        <w:r>
          <w:rPr>
            <w:rFonts w:ascii="Times New Roman" w:cs="Times New Roman" w:eastAsia="Times New Roman" w:hAnsi="Times New Roman"/>
            <w:sz w:val="18"/>
            <w:szCs w:val="18"/>
            <w:u w:val="single" w:color="auto"/>
            <w:color w:val="0000EE"/>
          </w:rPr>
          <w:t xml:space="preserve">October 27, 2026 (a.m.) </w:t>
        </w:r>
      </w:hyperlink>
      <w:hyperlink r:id="rId4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9">
        <w:r>
          <w:rPr>
            <w:rFonts w:ascii="Times New Roman" w:cs="Times New Roman" w:eastAsia="Times New Roman" w:hAnsi="Times New Roman"/>
            <w:sz w:val="18"/>
            <w:szCs w:val="18"/>
            <w:u w:val="single" w:color="auto"/>
            <w:color w:val="0000EE"/>
          </w:rPr>
          <w:t>October 27, 2026 (p.m.)</w:t>
        </w:r>
      </w:hyperlink>
      <w:hyperlink r:id="rId44">
        <w:r>
          <w:rPr>
            <w:rFonts w:ascii="Times New Roman" w:cs="Times New Roman" w:eastAsia="Times New Roman" w:hAnsi="Times New Roman"/>
            <w:sz w:val="18"/>
            <w:szCs w:val="18"/>
            <w:color w:val="000000"/>
          </w:rPr>
          <w:t>; and</w:t>
        </w:r>
      </w:hyperlink>
    </w:p>
    <w:p>
      <w:pPr>
        <w:jc w:val="both"/>
        <w:ind w:left="660" w:hanging="328"/>
        <w:spacing w:after="0" w:line="255" w:lineRule="auto"/>
        <w:tabs>
          <w:tab w:leader="none" w:pos="660" w:val="left"/>
        </w:tabs>
        <w:numPr>
          <w:ilvl w:val="0"/>
          <w:numId w:val="13"/>
        </w:numPr>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u w:val="single" w:color="auto"/>
            <w:color w:val="0000EE"/>
          </w:rPr>
          <w:t>the description of our capital stock contained in our registration statement on Form 8-A filed on December 7, 2020, including any amendment or</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report filed for the purpose of updating such description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includes the description of our Common Stock in Exhibit 4.2 of our Annual</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w:t>
      </w:r>
    </w:p>
    <w:p>
      <w:pPr>
        <w:spacing w:after="0" w:line="18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all documents (other than current reports furnished under Item 2.02 or Item 7.01 of Form 8-K and exhibits filed on such form that are related to such items) that are filed by us with the SEC pursuant to Sections 13(a), 13(c), 14 or 15(d) of the Exchange Act including those made after the date of this prospectus supplement, until we file a post-effective amendment to the applicable registration statement that indicates the termination of the offering of the shares of Common Stock made by this prospectus supplement and will become a part of this prospectus supplement from the date that such documents are filed with the SEC. These documents include periodic reports, such as Annual Reports on Form 10-K, Quarterly Reports on Form 10-Q and Current Reports on Form 8-K, as well as proxy statements.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as further supplemented may contain information that updates, modifies or is contrary to information in one or more of the documents incorporated by reference in this prospectus supplement. 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 respectively.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this prospectus supplement is delivered, upon written or oral request, a copy of any or all documents that are incorporated by reference into this prospectus supplement, but not delivered with the prospectus supplement, other than exhibits to such documents unless such exhibits are specifically incorporated by reference into the documents that this prospectus supplement incorporates. You should direct written requests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Hydrofarm Holdings Group,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1510 Main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Shoemakersville, PA 19555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(707) 765-9990</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may also access the documents incorporated by reference in this prospectus supplement on the SEC’s website at www.sec.gov or through our website at www.hydrofarm.com. The reference to our website is an inactive textual reference only and, except for the specific incorporated documents listed above, the information contained in or accessible through our website does not constitute a part of this prospectus supplement and is not incorporated by reference into this prospectus supplement.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statement contained in this prospectus supplement or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333-291444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142875</wp:posOffset>
            </wp:positionV>
            <wp:extent cx="1945640" cy="5740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94564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prospectus will allow us to issue, from time to time at prices and on terms to be determined at or prior to the time of the offering, up to $50,000,000 of any combination of the securities described in this prospectus, either individually or in units. We may also offer common stock or preferred stock upon conversion of or exchange for the debt securities; common stock upon conversion of or exchange for preferred stock; or common stock, preferred stock or debt securities upon the exercise of warrants, units or rights;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“HYFM.” On December 9, 2025, the last reported sale price of our common stock was $1.716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prospectus is subject to the offering limits in General Instruction I.B.6 of Form S-3. The aggregate market value of our voting and non-voting common stock held by non-affiliates calculated pursuant to General Instruction I.B.6 of Form S-3 is $12,833,408 which was calculated based on 4,131,945 shares of our voting and non-voting common stock outstanding held by non-affiliates and at a price of $3.1059 per share, the closing price of our common stock on October 13, 2025. During the last twelve months, we have made no offers of our common stock for sale pursuant to General Instruction I.B.6 of Form S-3.</w:t>
      </w:r>
    </w:p>
    <w:p>
      <w:pPr>
        <w:spacing w:after="0" w:line="17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included in any accompanying prospectus supplement and in the documents incorporated by reference in this prospectus for a discussion of the factors you should carefully consider before deciding to purchase these securities.</w:t>
      </w:r>
    </w:p>
    <w:p>
      <w:pPr>
        <w:spacing w:after="0" w:line="17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December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05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4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2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8260" w:type="dxa"/>
            <w:vAlign w:val="bottom"/>
            <w:gridSpan w:val="9"/>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21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8"/>
              </w:rPr>
              <w:t>PROSPECTUS SUMMARY</w:t>
            </w:r>
          </w:p>
        </w:tc>
        <w:tc>
          <w:tcPr>
            <w:tcW w:w="140" w:type="dxa"/>
            <w:vAlign w:val="bottom"/>
            <w:gridSpan w:val="2"/>
          </w:tcPr>
          <w:p>
            <w:pPr>
              <w:spacing w:after="0"/>
              <w:rPr>
                <w:sz w:val="24"/>
                <w:szCs w:val="24"/>
                <w:color w:val="auto"/>
              </w:rPr>
            </w:pPr>
          </w:p>
        </w:tc>
        <w:tc>
          <w:tcPr>
            <w:tcW w:w="8260" w:type="dxa"/>
            <w:vAlign w:val="bottom"/>
            <w:gridSpan w:val="9"/>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840" w:type="dxa"/>
            <w:vAlign w:val="bottom"/>
            <w:gridSpan w:val="5"/>
          </w:tcPr>
          <w:p>
            <w:pPr>
              <w:spacing w:after="0"/>
              <w:rPr>
                <w:sz w:val="24"/>
                <w:szCs w:val="24"/>
                <w:color w:val="auto"/>
              </w:rPr>
            </w:pPr>
          </w:p>
        </w:tc>
        <w:tc>
          <w:tcPr>
            <w:tcW w:w="8400" w:type="dxa"/>
            <w:vAlign w:val="bottom"/>
            <w:gridSpan w:val="11"/>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05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3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5160" w:type="dxa"/>
            <w:vAlign w:val="bottom"/>
            <w:gridSpan w:val="2"/>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29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9"/>
              </w:rPr>
              <w:t>DESCRIPTION OF COMMON STOCK</w:t>
            </w:r>
          </w:p>
        </w:tc>
        <w:tc>
          <w:tcPr>
            <w:tcW w:w="7540" w:type="dxa"/>
            <w:vAlign w:val="bottom"/>
            <w:gridSpan w:val="7"/>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05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DESCRIPTION OF PREFERRED STOCK</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30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100" w:type="dxa"/>
            <w:vAlign w:val="bottom"/>
          </w:tcPr>
          <w:p>
            <w:pPr>
              <w:spacing w:after="0"/>
              <w:rPr>
                <w:sz w:val="24"/>
                <w:szCs w:val="24"/>
                <w:color w:val="auto"/>
              </w:rPr>
            </w:pPr>
          </w:p>
        </w:tc>
        <w:tc>
          <w:tcPr>
            <w:tcW w:w="736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10</w:t>
            </w:r>
          </w:p>
        </w:tc>
      </w:tr>
      <w:tr>
        <w:trPr>
          <w:trHeight w:val="412"/>
        </w:trPr>
        <w:tc>
          <w:tcPr>
            <w:tcW w:w="105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16</w:t>
            </w:r>
          </w:p>
        </w:tc>
      </w:tr>
      <w:tr>
        <w:trPr>
          <w:trHeight w:val="412"/>
        </w:trPr>
        <w:tc>
          <w:tcPr>
            <w:tcW w:w="24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DESCRIPTION OF RIGHTS</w:t>
            </w:r>
          </w:p>
        </w:tc>
        <w:tc>
          <w:tcPr>
            <w:tcW w:w="802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17</w:t>
            </w:r>
          </w:p>
        </w:tc>
      </w:tr>
      <w:tr>
        <w:trPr>
          <w:trHeight w:val="412"/>
        </w:trPr>
        <w:tc>
          <w:tcPr>
            <w:tcW w:w="21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DESCRIPTION OF UNITS</w:t>
            </w:r>
          </w:p>
        </w:tc>
        <w:tc>
          <w:tcPr>
            <w:tcW w:w="836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99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CERTAIN PROVISIONS OF DELAWARE LAW AND OF THE COMPANY’S CERTIFICATE OF INCORPORATION AND BYLAWS</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19</w:t>
            </w:r>
          </w:p>
        </w:tc>
      </w:tr>
      <w:tr>
        <w:trPr>
          <w:trHeight w:val="412"/>
        </w:trPr>
        <w:tc>
          <w:tcPr>
            <w:tcW w:w="21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8400" w:type="dxa"/>
            <w:vAlign w:val="bottom"/>
            <w:gridSpan w:val="11"/>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r>
      <w:tr>
        <w:trPr>
          <w:trHeight w:val="412"/>
        </w:trPr>
        <w:tc>
          <w:tcPr>
            <w:tcW w:w="105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23</w:t>
            </w:r>
          </w:p>
        </w:tc>
      </w:tr>
      <w:tr>
        <w:trPr>
          <w:trHeight w:val="412"/>
        </w:trPr>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3"/>
          </w:tcPr>
          <w:p>
            <w:pPr>
              <w:spacing w:after="0"/>
              <w:rPr>
                <w:sz w:val="24"/>
                <w:szCs w:val="24"/>
                <w:color w:val="auto"/>
              </w:rPr>
            </w:pPr>
          </w:p>
        </w:tc>
        <w:tc>
          <w:tcPr>
            <w:tcW w:w="9040" w:type="dxa"/>
            <w:vAlign w:val="bottom"/>
            <w:gridSpan w:val="14"/>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24</w:t>
            </w:r>
          </w:p>
        </w:tc>
      </w:tr>
      <w:tr>
        <w:trPr>
          <w:trHeight w:val="412"/>
        </w:trPr>
        <w:tc>
          <w:tcPr>
            <w:tcW w:w="105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24</w:t>
            </w:r>
          </w:p>
        </w:tc>
      </w:tr>
      <w:tr>
        <w:trPr>
          <w:trHeight w:val="20"/>
        </w:trPr>
        <w:tc>
          <w:tcPr>
            <w:tcW w:w="3820" w:type="dxa"/>
            <w:vAlign w:val="bottom"/>
            <w:gridSpan w:val="1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05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INCORPORATION OF DOCUMENTS BY REFERENCE</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25</w:t>
            </w:r>
          </w:p>
        </w:tc>
      </w:tr>
      <w:tr>
        <w:trPr>
          <w:trHeight w:val="351"/>
        </w:trPr>
        <w:tc>
          <w:tcPr>
            <w:tcW w:w="7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utilizing a “shelf” registration process. Under this shelf registration process, we may offer shares of our common stock and preferred stock, various series of debt securities and/or warrants or rights to purchase any such securities, either individually or in units, in one or more offerings, with a total value of up to $50,000,000.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“Hydrofarm,” “HYFM,” “the Company,” “we,” “us,” “our” and similar terms refer to Hydrofarm Holdings Group, Inc.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130" cy="5653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36130" cy="5653405"/>
                    </a:xfrm>
                    <a:prstGeom prst="rect">
                      <a:avLst/>
                    </a:prstGeom>
                    <a:noFill/>
                  </pic:spPr>
                </pic:pic>
              </a:graphicData>
            </a:graphic>
          </wp:anchor>
        </w:drawing>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20" w:right="40"/>
        <w:spacing w:after="0" w:line="258" w:lineRule="auto"/>
        <w:rPr>
          <w:sz w:val="20"/>
          <w:szCs w:val="20"/>
          <w:color w:val="auto"/>
        </w:rPr>
      </w:pPr>
      <w:r>
        <w:rPr>
          <w:rFonts w:ascii="Times New Roman" w:cs="Times New Roman" w:eastAsia="Times New Roman" w:hAnsi="Times New Roman"/>
          <w:sz w:val="18"/>
          <w:szCs w:val="18"/>
          <w:color w:val="auto"/>
        </w:rPr>
        <w:t>We are a leading independent manufacturer and distributor of branded hydroponics equipment and supplies for controlled environment agriculture (“CEA”), including grow lights, climate control solutions, grow media and nutrients, as well as a broad portfolio of innovative, proprietary branded products. We primarily serve the U.S. and Canadian markets, and believe we are one of the leading companies in these markets in an otherwise fragmented industry. For over 40 years, we have helped growers make growing easier and more productive. Our mission is to empower growers, farmers and cultivators with products that enable greater quality, efficiency, consistency, and speed in their grow projects.</w:t>
      </w:r>
    </w:p>
    <w:p>
      <w:pPr>
        <w:spacing w:after="0" w:line="183" w:lineRule="exact"/>
        <w:rPr>
          <w:sz w:val="20"/>
          <w:szCs w:val="20"/>
          <w:color w:val="auto"/>
        </w:rPr>
      </w:pPr>
    </w:p>
    <w:p>
      <w:pPr>
        <w:ind w:left="20" w:right="40"/>
        <w:spacing w:after="0" w:line="232" w:lineRule="auto"/>
        <w:rPr>
          <w:sz w:val="20"/>
          <w:szCs w:val="20"/>
          <w:color w:val="auto"/>
        </w:rPr>
      </w:pPr>
      <w:r>
        <w:rPr>
          <w:rFonts w:ascii="Times New Roman" w:cs="Times New Roman" w:eastAsia="Times New Roman" w:hAnsi="Times New Roman"/>
          <w:sz w:val="18"/>
          <w:szCs w:val="18"/>
          <w:color w:val="auto"/>
        </w:rPr>
        <w:t>Hydroponics is the farming of plants using soilless grow media and often artificial lighting in a controlled indoor or greenhouse environment. Hydroponics is the primary category of CEA and we use the terms CEA and hydroponics interchangeably. Our products are used to grow, farm, and cultivate cannabis, flowers, fruits, plants, vegetables, grains and herbs in controlled environment settings that allow end users to control key farming variables including temperature, humidity,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light intensity spectrum, nutrient concentration and pH. Through CEA, growers are able to be more efficient with physical space, water and resources, while enjoying year-round and more rapid grow cycles as well as more predictable and abundant grow yields, when compared to other traditional growing methods.</w:t>
      </w:r>
    </w:p>
    <w:p>
      <w:pPr>
        <w:spacing w:after="0" w:line="203" w:lineRule="exact"/>
        <w:rPr>
          <w:sz w:val="20"/>
          <w:szCs w:val="20"/>
          <w:color w:val="auto"/>
        </w:rPr>
      </w:pPr>
    </w:p>
    <w:p>
      <w:pPr>
        <w:ind w:left="20" w:right="20"/>
        <w:spacing w:after="0" w:line="258" w:lineRule="auto"/>
        <w:rPr>
          <w:sz w:val="20"/>
          <w:szCs w:val="20"/>
          <w:color w:val="auto"/>
        </w:rPr>
      </w:pPr>
      <w:r>
        <w:rPr>
          <w:rFonts w:ascii="Times New Roman" w:cs="Times New Roman" w:eastAsia="Times New Roman" w:hAnsi="Times New Roman"/>
          <w:sz w:val="18"/>
          <w:szCs w:val="18"/>
          <w:color w:val="auto"/>
        </w:rPr>
        <w:t>We reach commercial farmers and consumers through a broad and diversified network of over 2,000 wholesale customer accounts, who we connect with primarily through our proprietary online ordering platform. Our products are distributed across the United States and Canada through a diversified range of retailers of commercial and home gardening equipment and supplies. Our customers include specialty hydroponics retailers, commercial resellers and greenhouse builders, garden centers, hardware stores, and e-commerce retailers. Specialty hydroponics retailers can provide growers with specialized merchandise assortments and knowledgeable staff</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Corporate Information and History</w:t>
      </w:r>
    </w:p>
    <w:p>
      <w:pPr>
        <w:spacing w:after="0" w:line="229" w:lineRule="exact"/>
        <w:rPr>
          <w:sz w:val="20"/>
          <w:szCs w:val="20"/>
          <w:color w:val="auto"/>
        </w:rPr>
      </w:pPr>
    </w:p>
    <w:p>
      <w:pPr>
        <w:ind w:left="20" w:right="40"/>
        <w:spacing w:after="0" w:line="256" w:lineRule="auto"/>
        <w:rPr>
          <w:sz w:val="20"/>
          <w:szCs w:val="20"/>
          <w:color w:val="auto"/>
        </w:rPr>
      </w:pPr>
      <w:r>
        <w:rPr>
          <w:rFonts w:ascii="Times New Roman" w:cs="Times New Roman" w:eastAsia="Times New Roman" w:hAnsi="Times New Roman"/>
          <w:sz w:val="18"/>
          <w:szCs w:val="18"/>
          <w:color w:val="auto"/>
        </w:rPr>
        <w:t>We were incorporated in Delaware in January 2017 under the name Innovation Acquisition One Corp. Our predecessor company, originally called Applied Hydroponics, Inc., was founded in 1977 in Northern California. We changed our name to Hydrofarm Holdings Group, Inc. on August 3, 2018. Our principal executive offices are located at 1510 Main Street, Shoemakersville, Pennsylvania 19555 and our telephone number is (707) 765-9990. Our website address is www.hydrofarm.com. The information contained on, or that can be accessed through, our website is not, and shall not be deemed to be part of, this prospectus. We have included our website address in this prospectus solely as an inactive textual reference. Investors should not rely on any such information in deciding whether to purchase our securities.</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130" cy="44100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36130" cy="4410075"/>
                    </a:xfrm>
                    <a:prstGeom prst="rect">
                      <a:avLst/>
                    </a:prstGeom>
                    <a:noFill/>
                  </pic:spPr>
                </pic:pic>
              </a:graphicData>
            </a:graphic>
          </wp:anchor>
        </w:drawing>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Offerings Under This Prospectus</w:t>
      </w:r>
    </w:p>
    <w:p>
      <w:pPr>
        <w:spacing w:after="0" w:line="229"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Under this prospectus, we may offer shares of our common stock and preferred stock, various series of debt securities, and/or warrants or rights to purchase any of such securities, either individually or in units, with a total value of up to $50,000,000,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3" w:lineRule="exact"/>
        <w:rPr>
          <w:sz w:val="20"/>
          <w:szCs w:val="20"/>
          <w:color w:val="auto"/>
        </w:rPr>
      </w:pPr>
    </w:p>
    <w:p>
      <w:pPr>
        <w:ind w:left="660" w:hanging="315"/>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7"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or sinking fund terms, if any;</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w:t>
      </w:r>
    </w:p>
    <w:p>
      <w:pPr>
        <w:spacing w:after="0" w:line="207" w:lineRule="exact"/>
        <w:rPr>
          <w:sz w:val="20"/>
          <w:szCs w:val="20"/>
          <w:color w:val="auto"/>
        </w:rPr>
      </w:pPr>
    </w:p>
    <w:p>
      <w:pPr>
        <w:ind w:left="20" w:right="100"/>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76" w:lineRule="exact"/>
        <w:rPr>
          <w:sz w:val="20"/>
          <w:szCs w:val="20"/>
          <w:color w:val="auto"/>
        </w:rPr>
      </w:pPr>
    </w:p>
    <w:p>
      <w:pPr>
        <w:jc w:val="both"/>
        <w:ind w:left="20" w:right="28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660" w:hanging="315"/>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7"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it is accompanied by a prospectus supplement.</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significant risk. The prospectus supplement applicable to each offering of our securities will contain a discussion of the risks applicable to an investment in Hydrofarm.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and the other documents or reports incorporated by reference in this prospectus, discuss some of the factors that could contribute to these differences. These forward-looking statements include, among other things, statements about:</w:t>
      </w:r>
    </w:p>
    <w:p>
      <w:pPr>
        <w:spacing w:after="0" w:line="196" w:lineRule="exact"/>
        <w:rPr>
          <w:sz w:val="20"/>
          <w:szCs w:val="20"/>
          <w:color w:val="auto"/>
        </w:rPr>
      </w:pPr>
    </w:p>
    <w:p>
      <w:pPr>
        <w:ind w:left="660" w:right="4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conditions, including oversupply and decreasing prices of our customers' products which, in turn, have materially adversely impacted our sales and other results of operations and which may continue to do so in the future;</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tariffs or interruptions to global trade;</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future charges associated with the impairment of our long-lived assets, inventory allowances and purchase commitment losses, and accounts receivable reserves;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continued listing standards of The Nasdaq Capital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transition the Chief Executive Officer role and facilitate the continued succession of the Company's leadership;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our restructuring activities on our expenses and cash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that may result from equity financings while our stock prices are depressed;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impacting our customers, including related crop prices and other factors impacting growers;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effects of public health epidemics, including the COVID-19 pandemic, on our business, results of operations and financial condition;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our supply chain;</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legislation and regulations pertaining to agricultural products and the use and cultivation of cannabis in the United States and Canada;</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perceptions and acceptance of cannabis use;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various crops and other factors affecting growers;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and expectations regarding our acquisitions, dispositions and strategic alliances;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non-cancellable leases under which many of our facilities operate, and our ability to renew or terminate our leases;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and relationships with, a limited base of key suppliers for certain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technological advances;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e-commerce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being a public company;</w:t>
      </w:r>
    </w:p>
    <w:p>
      <w:pPr>
        <w:spacing w:after="0" w:line="9"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appropriate acquisition targets, successfully acquire identified targets or successfully integrate the business of acquired companies;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marketing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 disruption or breach of our information technology systems or cyber-attack;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level of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or the performance of third parties on which we depend;</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our reputation or to the reputation of our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in the prices of the products we distribute;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industry pressures;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businesses within our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health and safety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defend against litigation, including claims related to intellectual property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shortages and relationships with key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price of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marketability of our common stock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in “Risk Factors.”</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9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we intend to use the net proceeds from the sale of the securities for general corporate purposes. General corporate purposes may include, among other things, working capital additions, repayment of indebtedness, repurchases of our common shares, capital expenditures, acquisitions and other strategic investments. The net proceeds may be invested temporarily in short-term securities until they are used for their stated purpose.</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are authorized to issue 300,000,000 shares of common stock, par value $0.0001 per share. As of September 30, 2025, we had 4,667,004 shares of common stock outstanding and approximately 74 stockholders of record of our common stock.</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provisions of our common stock does not purport to be complete. You should refer to the section of this prospectus entitled “Certain Provisions of Delaware Law and of the Company’s Certificate of Incorporation and Bylaws” and our amended and restated certificate of incorporation (as amended, the “Certificate of Incorporation”) and our amended and restated by-laws (the “Bylaws”), both of which are included as exhibits to the registration statement of which this prospectus is a part. The summary below is also qualified by provisions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of record on all matters on which the holders are entitled to vote (or consent 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receive, ratably, dividends only if, when and as declared by our board of directors out of funds legally available therefor and after provision is made for each class of capital stock having preference over the common stock. As of the date of this prospectus, we may not declare a dividend in light of our Senior Secured Revolving Credit Facility with JPMorgan Chase Bank, N.A., as administrative agent, issuing bank and swingline lender, and the lenders from time-to-time party thereto.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Liquidation Rights</w:t>
      </w:r>
    </w:p>
    <w:p>
      <w:pPr>
        <w:spacing w:after="0" w:line="22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winding-up, the holders of our common stock may be entitled to share, ratably, in all assets remaining available for distribution after payment of all liabilities and after provision is made for each class of capital stock having preference over the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Preemptive and Similar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our common stock have no preemptive or similar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for quotation on The Nasdaq Capital Market under the symbol “HYFM.”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preferred stock and the description of the terms of any particular series of preferred stock that we choose to issue hereunder are not complete. These descriptions are qualified in their entirety by reference to our Certificate of Incorporation and the certificate of designation relating to any series of preferred stock issued by us. The rights, preferences, privileges and restrictions of the preferred stock of each series will be fixed by the certificate of designation relating to that series.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of directors is authorized, without action by the stockholders, to designate and issue up to an aggregate of 50,000,000 shares of preferred stock in one or more series. Any or all of these rights may be greater than the rights of our common stock.</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shares of preferred stock may be issued from time to time in one or more series, each of which will have such distinctive designation or title as shall be determined by our board of directors prior to the issuance of any shares thereof. Preferred stock will have such voting powers, full or limited, or no voting powers, and such preferences and relative, participating, optional, convertible or other special rights and such qualifications, limitations or restrictions thereof, as shall be stated in such resolution or resolutions providing for the issue of such class or series of preferred stock as may be adopted from time to time by our board of directors prior to the issuance of any shares thereof. The number of authorized shares of preferred stock may be increased or decreased (but not below the number of shares thereof then outstanding) by the affirmative vote of the holders of a majority of the voting power of all the then outstanding shares of our capital stock entitled to vote generally in the election of the directors, voting together as a single class, without a separate vote of the holders of the preferred stock, or any series thereof, unless a vote of any such holders is required pursuant to any preferred stock designation.</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issuance of such preferred stock could adversely affect the rights of the holders of common stock and, therefore, reduce the value of the common stock. It is not possible to state the actual effect of the issuance of any shares of preferred stock on the rights of holders of the common stock until the board of directors determines the specific rights of the holders of the preferred stock; however, these effects may include:</w:t>
      </w:r>
    </w:p>
    <w:p>
      <w:pPr>
        <w:spacing w:after="0" w:line="17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dividends on the 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the common stock;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preventing a change in control of the Company without further action by the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preferred stock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that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(“Trust Indenture Act”). We use the term “debenture trustee” to refer to either the trustee under the senior indenture or the trustee under the subordinated indenture, as applicable.</w:t>
      </w:r>
    </w:p>
    <w:p>
      <w:pPr>
        <w:spacing w:after="0" w:line="18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ind w:left="660" w:right="80" w:hanging="328"/>
        <w:spacing w:after="0" w:line="26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a series of 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at the time outstanding occurs and is continuing, then the debenture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8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ind w:left="660" w:right="280" w:hanging="328"/>
        <w:spacing w:after="0" w:line="253"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We will periodically file statements with the applicable debenture trustee regarding our compliance with specified covenants in the applicable indenture.</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7" w:lineRule="exact"/>
        <w:rPr>
          <w:rFonts w:ascii="Times New Roman" w:cs="Times New Roman" w:eastAsia="Times New Roman" w:hAnsi="Times New Roman"/>
          <w:sz w:val="18"/>
          <w:szCs w:val="18"/>
          <w:color w:val="auto"/>
        </w:rPr>
      </w:pPr>
    </w:p>
    <w:p>
      <w:pPr>
        <w:ind w:left="660" w:right="400" w:hanging="328"/>
        <w:spacing w:after="0" w:line="26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7"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07"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holders of a majority in principal amount of the outstanding debt securities of any series may rescind an acceleration and its consequences, including any related payment default that resulted from the acceleration.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ind w:left="660" w:right="20" w:hanging="328"/>
        <w:spacing w:after="0" w:line="257"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 w:lineRule="exact"/>
        <w:rPr>
          <w:rFonts w:ascii="Times New Roman" w:cs="Times New Roman" w:eastAsia="Times New Roman" w:hAnsi="Times New Roman"/>
          <w:sz w:val="18"/>
          <w:szCs w:val="18"/>
          <w:color w:val="auto"/>
        </w:rPr>
      </w:pPr>
    </w:p>
    <w:p>
      <w:pPr>
        <w:ind w:left="660" w:right="140" w:hanging="328"/>
        <w:spacing w:after="0" w:line="26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to it by the indentures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9"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common stock and the number of shares of common stock to be received upon exercise of the warrants;</w:t>
      </w:r>
    </w:p>
    <w:p>
      <w:pPr>
        <w:ind w:left="660" w:right="44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preferred stock, the number of shares of preferred stock to be received upon exercise, and a description of that series of our preferred stock;</w:t>
      </w:r>
    </w:p>
    <w:p>
      <w:pPr>
        <w:ind w:left="660" w:right="12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jc w:val="both"/>
        <w:ind w:left="660" w:right="340" w:hanging="328"/>
        <w:spacing w:after="0" w:line="265" w:lineRule="auto"/>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9"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9" w:lineRule="exact"/>
        <w:rPr>
          <w:rFonts w:ascii="Times New Roman" w:cs="Times New Roman" w:eastAsia="Times New Roman" w:hAnsi="Times New Roman"/>
          <w:sz w:val="18"/>
          <w:szCs w:val="18"/>
          <w:color w:val="auto"/>
        </w:rPr>
      </w:pPr>
    </w:p>
    <w:p>
      <w:pPr>
        <w:ind w:left="660" w:right="74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stock, preferred stock and/or debt securities will be separately transferable;</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may be sold separately or with other securities as parts of units;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we had no issued and outstanding warrants.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spacing w:after="0" w:line="19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rights distribution;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preferred stock or other securities purchasable upon exercise of the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are transferrable and the date, if any, on and after which the rights may be separately transferred;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to exercise the rights will expire;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holders of rights will be entitled to exercise;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offering,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termination and cancellation rights,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any backstop or standby purchaser or purchasers and the terms of their commitment,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stockholders are entitled to oversubscription rights,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 and</w:t>
      </w:r>
    </w:p>
    <w:p>
      <w:pPr>
        <w:spacing w:after="0" w:line="9" w:lineRule="exact"/>
        <w:rPr>
          <w:rFonts w:ascii="Times New Roman" w:cs="Times New Roman" w:eastAsia="Times New Roman" w:hAnsi="Times New Roman"/>
          <w:sz w:val="18"/>
          <w:szCs w:val="18"/>
          <w:color w:val="auto"/>
        </w:rPr>
      </w:pPr>
    </w:p>
    <w:p>
      <w:pPr>
        <w:ind w:left="660" w:right="520" w:hanging="328"/>
        <w:spacing w:after="0" w:line="26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 as applicable.</w:t>
      </w:r>
    </w:p>
    <w:p>
      <w:pPr>
        <w:spacing w:after="0" w:line="1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one or more debt securities, warrants or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12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and address of the unit agent, if any,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CERTIFICATE OF INCORPORATION AND BYLAWS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Takeover Statute</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Section 203 of the Delaware General Corporation Law (“DGCL”), subject to certain exceptions, prohibits a Delaware corporation from engaging in any “business combination” (as defined below) with any “interested stockholder” (as defined below) for a period of three years following the date that such stockholder became an interested stockholder, unless: (1) prior to such date, the board of directors of the corporation approved either the business combination or the transaction that resulted in the stockholder becoming an interested stockholder; (2) 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(x) by persons who are directors and also officers and (y) by employee stock plans in which employee participants do not have the right to determine confidentially whether shares held subject to the plan will be tendered in a tender or exchange offer; or (3) on or subsequent to such date,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Section 203 of the Delaware General Corporation Law defines “business combination” to include: (1) any merger or consolidation involving the corporation and the interested stockholder; (2) any sale, transfer, pledge or other disposition of 10% or more of the assets of the corporation involving the interested stockholder; (3) subject to certain exceptions, any transaction that results in the issuance or transfer by the corporation of any stock of the corporation to the interested stockholder; (4) any transaction involving the corporation that has the effect of increasing the proportionate share of the stock of any class or series of the corporation beneficially owned by the interested stockholder; or (5) the receipt by the interested stockholder of the benefit of any loans, advances, guarantees, pledges or other financial benefits provided by or through the corporation. 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of Directors and Indemnification of Directors and Officers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Delaware law, a corporation may indemnify any individual made a party or threatened to be made a party to any type of proceeding, other than an action by or in the right of the corporation, because he or she is or was an officer, director, employee or agent of the corporation or was serving at the request of the corporation as an officer, director, employee or agent of another corporation or entity against expenses, judgments, fines and amounts paid in settlement actually and reasonably incurred in connection with such proceeding if (1) he or she acted in good faith and in a manner he or she reasonably believed to be in or not opposed to the best interests of the corporation or (2) in the case of a criminal proceeding, he or she had no reasonable cause to believe that his or her conduct was unlawful. A corporation may indemnify any individual made a party or threatened to be made a party to any threatened, pending or completed action or suit brought by or in the right of the corporation because he or she was an officer, director, employee or agent of the corporation, or is or was serving at the request of the corporation as a director, officer, employee or agent of another corporation or other entity, against expenses actually and reasonably incurred in connection with such action or suit if he or she acted in good faith and in a manner he or she reasonably believed to be in or not opposed to the best interests of the corporation, provided that such indemnification will be denied if the individual is found liable to the corporation unless, in such a case, the court determines the person is nonetheless entitled to indemnification for such expenses. A corporation must indemnify a present or former director or officer who successfully defends himself or herself in a proceeding to which he or she was a party because he or she was a director or officer of the corporation against expenses actually and reasonably incurred by him or her. Expenses incurred by an officer or director, or any employees or agents as deemed appropriate by the board of directors, in defending civil or criminal proceedings may be paid by the corporation in advance of the final disposition of such proceedings upon receipt of an undertaking by or on behalf of such director, officer, employee or agent to repay such amount if it shall ultimately be determined that he or she is not entitled to be indemnified by the corporation. The Delaware law regarding indemnification and expense advancement is not exclusive of any other rights which may be granted by our Certificate of Incorporation or our Bylaws, a vote of stockholders or disinterested directors, agreement or otherwise.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Under Delaware law, termination of any proceeding by conviction or upon a plea of nolo contendere or its equivalent does not, of itself, create a presumption that such person is prohibited from being indemnified.</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Delaware law permits a corporation to adopt a provision in its certificate of incorporation eliminating or limiting the personal liability of a director, but not an officer, in his or her capacity as such, to the corporation or its stockholders for monetary damages for breach of fiduciary duty as a director, except that such provision may not limit the liability of a director for (1) any breach of the director’s duty of loyalty to the corporation or its stockholders, (2) acts or omissions not in good faith or that involve intentional misconduct or a knowing violation of law, (3) unlawful payment of dividends or stock purchases or redemptions or (4) any transaction from which the director derived an improper personal benefit. Our Certificate of Incorporation provides that, to the fullest extent permitted under Delaware law, no Company director shall be liable to us or our stockholders for monetary damages for breach of fiduciary duty as a director.</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Bylaws require indemnification, to the fullest extent permitted under Delaware law, of any person who is or was a director or officer of the Company or any of its direct or indirect wholly-owned subsidiaries and who is or was a party or is threatened to be made a party to, or was or is otherwise directly involved in (including as a witness), any threatened, pending or completed action, suit or proceeding, whether civil, criminal, administrative or investigative, by reason of the fact that such person is or was a director or officer of the Company or any direct or indirect wholly-owned subsidiary of the Company, or is or was serving at our request as a director, officer, employee, partner, member or agent of another corporation, partnership, limited liability company, joint venture, trust, employee benefit plan or other enterprise, whether the basis of such proceeding is alleged action in an official capacity or in any other capacity, against expenses (including attorneys’ fees), judgments, fines and amounts paid in settlement actually and reasonably incurred by such person in connection with such action, suit or proceeding; provided that the foregoing shall not apply to a director or officer with respect to a proceeding that was commenced by such director or officer except under certain circumstances.</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our Bylaws provide that expenses incurred by or on behalf of a current or former director or officer in connection with defending any action, suit or proceeding will be advanced to the director or officer by us upon the request of the director or officer, which request, if required by law, will include an undertaking by or on behalf of the director or officer to repay the amounts advanced if ultimately it is determined that the director or officer was not entitled to be indemnified against the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indemnification rights provided in our Bylaws are not exclusive of any other right to which persons seeking indemnification may otherwise be entitled.</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permitted by Delaware law, our Bylaws authorize us to purchase and maintain insurance to protect any director, officer, employee or agent against claims and liabilities that such persons may incur in such capacities.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Charter Documents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Authorized but Unissued Shares</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authorized but unissued shares of our common stock and our preferred stock are available for future issuance without stockholder approval, subject to the requirements of any national securities exchange on which our common stock is listed, should we so qualify for listing.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Stockholder Action by Written Consent</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provide that no action shall be taken by our stockholders except at an annual or special meeting of our stockholders called in accordance with our Bylaws and no action shall be taken by our stockholders by written consent, subject to the rights of any series of preferred stock permitting the holders of such series of preferred stock to act by written consent.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Special Meetings of Stockholders</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except as otherwise required by law or provided by the resolution or resolutions adopted by our board of directors designating the rights, powers and preferences of any series of preferred stock, special meetings of our stockholders may be called only by (a) our board of directors pursuant to a resolution approved by a majority of the total number of our directors that we would have if there were no vacancies or (b) the chair of our board of directors, and any power of our stockholders to call a special meeting is specifically denied.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Advance Notice Requirements for Stockholder Proposals and Director Nominations</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Bylaws provide for an advance notice procedure for stockholder proposals to be brought before an annual meeting of stockholders, including proposed nominations of candidates for election to our board of directors. In order for any matter to be “properly brought” before a meeting, a stockholder must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of Certificate of Incorporation or Bylaws</w:t>
      </w:r>
    </w:p>
    <w:p>
      <w:pPr>
        <w:spacing w:after="0" w:line="22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unless a corporation’s certificate of incorporation requires a greater percentage. Our Certificate of Incorporation provides that certain provisions of our Certificate of Incorporation (namely, those provisions relating to (i) directors; (ii) limitation of director liability, indemnification and advancement of expenses and renunciation of corporate opportunities; (iii) meetings of stockholders; and (iv) amendments to our Certificate of Incorporation and Bylaws) may not be altered, amended or repealed in any respect (including by merger, consolidation or otherwise), nor may any provision inconsistent therewith be adopted, unless such alteration, amendment, repeal or adoption is approved by the affirmative vote of the holders of at least sixty-six and two-thirds percent (66 2/3%) of the voting power of all of our then-outstanding shares then entitled to vote generally in an election of directors, voting together as a single class. Our Certificate of Incorporation and Bylaws also provide that approval of stockholders holding sixty-six and two-thirds percent (66 2/3%) of the voting power of all of our then-outstanding shares entitled to vote generally in an election of directors, voting together as a single class, is required for stockholders to make, alter, amend, or repeal any provision of our Bylaws. Our board of directors retains the right to alter, amend or repeal our Bylaws.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Classified Board of Directors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for a classified board of directors consisting of three classes of approximately equal size, each serving staggered three-year terms. Only the directors in one class will be subject to election by a plurality of the votes cast at each annual meeting of stockholders, with the directors in the other classes continuing for the remainder of their respective three-year terms. Stockholders do not have the ability to cumulate votes for the election of directors.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76"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9" w:lineRule="exact"/>
        <w:rPr>
          <w:sz w:val="20"/>
          <w:szCs w:val="20"/>
          <w:color w:val="auto"/>
        </w:rPr>
      </w:pPr>
    </w:p>
    <w:p>
      <w:pPr>
        <w:ind w:left="660" w:right="40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ind w:left="660" w:hanging="328"/>
        <w:spacing w:after="0" w:line="255"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(“FINRA”).</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Cozen O’Connor, P.C., Philadelphia, Pennsylvania, will pass upon the validity of the issuance of the securities to be offered by this prospectus. Additional legal matters may be passed upon for us, any underwriters, dealers or agents, by counsel that we will name in the applicable prospectus supplement.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financial statements of Hydrofarm Holdings Group,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Exchange Act and file annual, quarterly and current reports, proxy statements and other information with the SEC. SEC filings are available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1"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www.hydrofarm.com,</w:t>
      </w:r>
      <w:r>
        <w:rPr>
          <w:rFonts w:ascii="Times New Roman" w:cs="Times New Roman" w:eastAsia="Times New Roman" w:hAnsi="Times New Roman"/>
          <w:sz w:val="18"/>
          <w:szCs w:val="18"/>
          <w:color w:val="auto"/>
        </w:rPr>
        <w:t xml:space="preserve"> through which you can access our SEC filings. The information set forth on our website is not part of this prospectus.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The documents we are incorporating by reference are:</w:t>
      </w:r>
    </w:p>
    <w:p>
      <w:pPr>
        <w:spacing w:after="0" w:line="19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u w:val="single" w:color="auto"/>
            <w:color w:val="0000EE"/>
          </w:rPr>
          <w:t>our Annual Report on Form 10-K for the fiscal year ended December 31, 2024, filed with the SEC on March 5, 2025</w:t>
        </w:r>
      </w:hyperlink>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0000EE"/>
        </w:rPr>
      </w:pPr>
    </w:p>
    <w:p>
      <w:pPr>
        <w:jc w:val="both"/>
        <w:ind w:left="660" w:right="260" w:hanging="328"/>
        <w:spacing w:after="0" w:line="312" w:lineRule="auto"/>
        <w:tabs>
          <w:tab w:leader="none" w:pos="6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portions of </w:t>
      </w:r>
      <w:hyperlink r:id="rId82">
        <w:r>
          <w:rPr>
            <w:rFonts w:ascii="Times New Roman" w:cs="Times New Roman" w:eastAsia="Times New Roman" w:hAnsi="Times New Roman"/>
            <w:sz w:val="17"/>
            <w:szCs w:val="17"/>
            <w:u w:val="single" w:color="auto"/>
            <w:color w:val="0000EE"/>
          </w:rPr>
          <w:t>our definitive proxy statement on Schedule 14A that we filed with the SEC on April 17,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that are incorporated by reference into </w:t>
      </w:r>
      <w:hyperlink r:id="rId81">
        <w:r>
          <w:rPr>
            <w:rFonts w:ascii="Times New Roman" w:cs="Times New Roman" w:eastAsia="Times New Roman" w:hAnsi="Times New Roman"/>
            <w:sz w:val="17"/>
            <w:szCs w:val="17"/>
            <w:u w:val="single" w:color="auto"/>
            <w:color w:val="0000EE"/>
          </w:rPr>
          <w:t>our Annual Report on Form 10-K for the fiscal year ended December 31, 2024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and deemed “filed” with the SEC under the Exchange Act;</w:t>
      </w:r>
    </w:p>
    <w:p>
      <w:pPr>
        <w:spacing w:after="0" w:line="139" w:lineRule="exact"/>
        <w:rPr>
          <w:rFonts w:ascii="Times New Roman" w:cs="Times New Roman" w:eastAsia="Times New Roman" w:hAnsi="Times New Roman"/>
          <w:sz w:val="17"/>
          <w:szCs w:val="17"/>
          <w:color w:val="auto"/>
        </w:rPr>
      </w:pPr>
    </w:p>
    <w:p>
      <w:pPr>
        <w:ind w:left="660" w:right="320" w:hanging="328"/>
        <w:spacing w:after="0" w:line="282" w:lineRule="auto"/>
        <w:tabs>
          <w:tab w:leader="none" w:pos="660" w:val="left"/>
        </w:tabs>
        <w:numPr>
          <w:ilvl w:val="0"/>
          <w:numId w:val="33"/>
        </w:numPr>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auto"/>
          </w:rPr>
          <w:t xml:space="preserve">our Quarterly Reports on Form 10-Q for the fiscal quarters ended on </w:t>
        </w:r>
        <w:r>
          <w:rPr>
            <w:rFonts w:ascii="Times New Roman" w:cs="Times New Roman" w:eastAsia="Times New Roman" w:hAnsi="Times New Roman"/>
            <w:sz w:val="18"/>
            <w:szCs w:val="18"/>
            <w:u w:val="single" w:color="auto"/>
            <w:color w:val="0000EE"/>
          </w:rPr>
          <w:t>March 31, 2025, filed with the SEC on May 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30, 2025, filed</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u w:val="single" w:color="auto"/>
            <w:color w:val="0000EE"/>
          </w:rPr>
          <w:t>with the SEC on August 12, 2025</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84">
        <w:r>
          <w:rPr>
            <w:rFonts w:ascii="Times New Roman" w:cs="Times New Roman" w:eastAsia="Times New Roman" w:hAnsi="Times New Roman"/>
            <w:sz w:val="18"/>
            <w:szCs w:val="18"/>
            <w:u w:val="single" w:color="auto"/>
            <w:color w:val="0000EE"/>
          </w:rPr>
          <w:t>September 30, 2025, filed with the SEC on November 12, 2025</w:t>
        </w:r>
      </w:hyperlink>
      <w:hyperlink r:id="rId83">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660" w:right="300" w:hanging="328"/>
        <w:spacing w:after="0" w:line="282" w:lineRule="auto"/>
        <w:tabs>
          <w:tab w:leader="none" w:pos="660" w:val="left"/>
        </w:tabs>
        <w:numPr>
          <w:ilvl w:val="0"/>
          <w:numId w:val="33"/>
        </w:numPr>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18,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October 2, 2025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November 12,</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Item 7.01 and Item 9.01);</w:t>
        </w:r>
      </w:hyperlink>
    </w:p>
    <w:p>
      <w:pPr>
        <w:spacing w:after="0" w:line="161" w:lineRule="exact"/>
        <w:rPr>
          <w:rFonts w:ascii="Times New Roman" w:cs="Times New Roman" w:eastAsia="Times New Roman" w:hAnsi="Times New Roman"/>
          <w:sz w:val="18"/>
          <w:szCs w:val="18"/>
          <w:color w:val="0000EE"/>
        </w:rPr>
      </w:pPr>
    </w:p>
    <w:p>
      <w:pPr>
        <w:ind w:left="660" w:right="380" w:hanging="328"/>
        <w:spacing w:after="0" w:line="282" w:lineRule="auto"/>
        <w:tabs>
          <w:tab w:leader="none" w:pos="660" w:val="left"/>
        </w:tabs>
        <w:numPr>
          <w:ilvl w:val="0"/>
          <w:numId w:val="33"/>
        </w:numPr>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u w:val="single" w:color="auto"/>
            <w:color w:val="0000EE"/>
          </w:rPr>
          <w:t>the description of our common stock contained in our Registration Statement on Form 8-A initially filed on December 7, 2020, including any</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amendment or report filed for the purpose of updating such description</w:t>
        </w:r>
        <w:r>
          <w:rPr>
            <w:rFonts w:ascii="Times New Roman" w:cs="Times New Roman" w:eastAsia="Times New Roman" w:hAnsi="Times New Roman"/>
            <w:sz w:val="18"/>
            <w:szCs w:val="18"/>
            <w:color w:val="000000"/>
          </w:rPr>
          <w:t>; and</w:t>
        </w:r>
      </w:hyperlink>
    </w:p>
    <w:p>
      <w:pPr>
        <w:spacing w:after="0" w:line="161" w:lineRule="exact"/>
        <w:rPr>
          <w:rFonts w:ascii="Times New Roman" w:cs="Times New Roman" w:eastAsia="Times New Roman" w:hAnsi="Times New Roman"/>
          <w:sz w:val="18"/>
          <w:szCs w:val="18"/>
          <w:color w:val="0000EE"/>
        </w:rPr>
      </w:pPr>
    </w:p>
    <w:p>
      <w:pPr>
        <w:ind w:left="660" w:right="10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after the date of this prospectus and prior to the termination or completion of the offering of securities under this prospectus (other than portions of those made pursuant to Item 2.02 or Item 7.01 of Form 8-K or other information “furnished” and not filed with the SEC), shall be deemed to be incorporated by reference in this prospectus and to be a part hereof from the date of filing such reports and other documents.</w:t>
      </w:r>
    </w:p>
    <w:p>
      <w:pPr>
        <w:spacing w:after="0" w:line="18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001-39773.</w:t>
      </w:r>
    </w:p>
    <w:p>
      <w:pPr>
        <w:spacing w:after="0" w:line="225" w:lineRule="exact"/>
        <w:rPr>
          <w:rFonts w:ascii="Times New Roman" w:cs="Times New Roman" w:eastAsia="Times New Roman" w:hAnsi="Times New Roman"/>
          <w:sz w:val="18"/>
          <w:szCs w:val="18"/>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You may request, orally or in writing, a copy of any or all of the documents incorporated herein by reference. These documents will be provided to you at no cost, by contacting:</w:t>
      </w:r>
    </w:p>
    <w:p>
      <w:pPr>
        <w:spacing w:after="0" w:line="16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Hydrofarm Holdings Group, Inc.</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1510 Main Street</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Shoemakersville, PA 19555</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(707) 765-9990</w:t>
      </w:r>
    </w:p>
    <w:p>
      <w:pPr>
        <w:spacing w:after="0" w:line="20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http://www.hydrofarm.com</w:t>
      </w:r>
      <w:r>
        <w:rPr>
          <w:rFonts w:ascii="Times New Roman" w:cs="Times New Roman" w:eastAsia="Times New Roman" w:hAnsi="Times New Roman"/>
          <w:sz w:val="18"/>
          <w:szCs w:val="18"/>
          <w:color w:val="auto"/>
        </w:rPr>
        <w:t>. The information contained on, or that can be accessed through, our website is not a part of this prospectus. We have included our website address in this prospectus solely as an inactive textual reference.</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1663065</wp:posOffset>
            </wp:positionV>
            <wp:extent cx="1945640" cy="5740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194564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Hydrofarm Holdings Group, Inc.</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$50,000,000</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December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22"/>
          <w:szCs w:val="22"/>
          <w:b w:val="1"/>
          <w:bCs w:val="1"/>
          <w:color w:val="auto"/>
        </w:rPr>
        <w:t>1,599,400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2371090</wp:posOffset>
            </wp:positionV>
            <wp:extent cx="21342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424815</wp:posOffset>
            </wp:positionV>
            <wp:extent cx="1945640" cy="5740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194564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156845</wp:posOffset>
            </wp:positionV>
            <wp:extent cx="21342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32"/>
          <w:szCs w:val="32"/>
          <w:b w:val="1"/>
          <w:bCs w:val="1"/>
          <w:color w:val="auto"/>
        </w:rPr>
        <w:t>ThinkEquity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October 27, 2026</w:t>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lowerLetter"/>
      <w:start w:val="1"/>
    </w:lvl>
  </w:abstractNum>
  <w:abstractNum w:abstractNumId="1">
    <w:nsid w:val="519B500D"/>
    <w:multiLevelType w:val="hybridMultilevel"/>
    <w:lvl w:ilvl="0">
      <w:lvlJc w:val="left"/>
      <w:lvlText w:val="%1."/>
      <w:numFmt w:val="lowerLetter"/>
      <w:start w:val="2"/>
    </w:lvl>
  </w:abstractNum>
  <w:abstractNum w:abstractNumId="2">
    <w:nsid w:val="431BD7B7"/>
    <w:multiLevelType w:val="hybridMultilevel"/>
    <w:lvl w:ilvl="0">
      <w:lvlJc w:val="left"/>
      <w:lvlText w:val="(%1)"/>
      <w:numFmt w:val="lowerLetter"/>
      <w:start w:val="25"/>
    </w:lvl>
  </w:abstractNum>
  <w:abstractNum w:abstractNumId="3">
    <w:nsid w:val="3F2DBA31"/>
    <w:multiLevelType w:val="hybridMultilevel"/>
    <w:lvl w:ilvl="0">
      <w:lvlJc w:val="left"/>
      <w:lvlText w:val="(%1)"/>
      <w:numFmt w:val="decimal"/>
      <w:start w:val="1"/>
    </w:lvl>
    <w:lvl w:ilvl="1">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jpe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jpe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jpeg"/><Relationship Id="rId92" Type="http://schemas.openxmlformats.org/officeDocument/2006/relationships/image" Target="media/image69.png"/><Relationship Id="rId40" Type="http://schemas.openxmlformats.org/officeDocument/2006/relationships/hyperlink" Target="http://www.sec.gov/ix?doc=/Archives/edgar/data/0001695295/000169529526000010/hyfm-20251231.htm" TargetMode="External"/><Relationship Id="rId41" Type="http://schemas.openxmlformats.org/officeDocument/2006/relationships/hyperlink" Target="http://www.sec.gov/ix?doc=/Archives/edgar/data/0001695295/000143774926014214/hyfm20260414_def14a.htm" TargetMode="External"/><Relationship Id="rId42" Type="http://schemas.openxmlformats.org/officeDocument/2006/relationships/hyperlink" Target="http://www.sec.gov/ix?doc=/Archives/edgar/data/0001695295/000143774926017373/hyfm20260331_10q.htm" TargetMode="External"/><Relationship Id="rId43" Type="http://schemas.openxmlformats.org/officeDocument/2006/relationships/hyperlink" Target="http://www.sec.gov/ix?doc=/Archives/edgar/data/0001695295/000143774926028012/hyfm20260630_10q.htm" TargetMode="External"/><Relationship Id="rId44" Type="http://schemas.openxmlformats.org/officeDocument/2006/relationships/hyperlink" Target="http://www.sec.gov/ix?doc=/Archives/edgar/data/0001695295/000143774926021845/hyfm20260625c_8k.htm" TargetMode="External"/><Relationship Id="rId45" Type="http://schemas.openxmlformats.org/officeDocument/2006/relationships/hyperlink" Target="http://www.sec.gov/ix?doc=/Archives/edgar/data/0001695295/000143774926023198/hyfm20260707_8k.htm" TargetMode="External"/><Relationship Id="rId46" Type="http://schemas.openxmlformats.org/officeDocument/2006/relationships/hyperlink" Target="http://www.sec.gov/ix?doc=/Archives/edgar/data/0001695295/000143774926026270/hyfm20260729_8k.htm" TargetMode="External"/><Relationship Id="rId47" Type="http://schemas.openxmlformats.org/officeDocument/2006/relationships/hyperlink" Target="http://www.sec.gov/ix?doc=/Archives/edgar/data/0001695295/000143774926032448/hyfm20261008_8k.htm" TargetMode="External"/><Relationship Id="rId48" Type="http://schemas.openxmlformats.org/officeDocument/2006/relationships/hyperlink" Target="http://www.sec.gov/ix?doc=/Archives/edgar/data/0001695295/000143774926033573/hyfm20261027_8k.htm" TargetMode="External"/><Relationship Id="rId49" Type="http://schemas.openxmlformats.org/officeDocument/2006/relationships/hyperlink" Target="http://www.sec.gov/ix?doc=/Archives/edgar/data/0001695295/000143774926033664/hyfm20261027c_8k.htm" TargetMode="External"/><Relationship Id="rId50" Type="http://schemas.openxmlformats.org/officeDocument/2006/relationships/hyperlink" Target="http://www.sec.gov/Archives/edgar/data/0001695295/000110465920132843/tm2037797d1_8a12b.htm" TargetMode="External"/><Relationship Id="rId81" Type="http://schemas.openxmlformats.org/officeDocument/2006/relationships/hyperlink" Target="http://www.sec.gov/ix?doc=/Archives/edgar/data/0001695295/000162828025010266/hyfm-20241231.htm" TargetMode="External"/><Relationship Id="rId82" Type="http://schemas.openxmlformats.org/officeDocument/2006/relationships/hyperlink" Target="http://www.sec.gov/ix?doc=/Archives/edgar/data/0001695295/000114036125014304/ny20044516x1_def14a.htm" TargetMode="External"/><Relationship Id="rId83" Type="http://schemas.openxmlformats.org/officeDocument/2006/relationships/hyperlink" Target="http://www.sec.gov/ix?doc=/Archives/edgar/data/0001695295/000162828025039772/hyfm-20250630.htm" TargetMode="External"/><Relationship Id="rId84" Type="http://schemas.openxmlformats.org/officeDocument/2006/relationships/hyperlink" Target="http://www.sec.gov/ix?doc=/Archives/edgar/data/0001695295/000169529525000010/hyfm-20250930.htm" TargetMode="External"/><Relationship Id="rId85" Type="http://schemas.openxmlformats.org/officeDocument/2006/relationships/hyperlink" Target="http://www.sec.gov/ix?doc=/Archives/edgar/data/0001695295/000169529525000014/hyfm-202511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2026-10-29T17:10:54Z</dcterms:created>
  <dcterms:modified xsi:type="dcterms:W3CDTF">2026-10-29T17:10:54Z</dcterms:modified>
</cp:coreProperties>
</file>